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bookmarkStart w:id="0" w:name="_GoBack"/>
      <w:bookmarkEnd w:id="0"/>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2025</w:t>
      </w:r>
      <w:r>
        <w:rPr>
          <w:rFonts w:hint="eastAsia" w:ascii="方正小标宋简体" w:eastAsia="方正小标宋简体"/>
          <w:sz w:val="84"/>
          <w:szCs w:val="84"/>
        </w:rPr>
        <w:t>年度</w:t>
      </w:r>
    </w:p>
    <w:p>
      <w:pPr>
        <w:widowControl/>
        <w:jc w:val="center"/>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福建省仓山监狱</w:t>
      </w: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pPr>
        <w:widowControl/>
        <w:rPr>
          <w:sz w:val="84"/>
          <w:szCs w:val="84"/>
        </w:rPr>
      </w:pPr>
      <w:r>
        <w:rPr>
          <w:sz w:val="84"/>
          <w:szCs w:val="84"/>
        </w:rPr>
        <w:br w:type="page"/>
      </w:r>
    </w:p>
    <w:p>
      <w:pPr>
        <w:pStyle w:val="4"/>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pPr>
        <w:pStyle w:val="4"/>
        <w:rPr>
          <w:rFonts w:asciiTheme="majorEastAsia" w:hAnsiTheme="majorEastAsia" w:eastAsiaTheme="majorEastAsia"/>
          <w:sz w:val="36"/>
          <w:lang w:eastAsia="zh-CN"/>
        </w:rPr>
      </w:pPr>
    </w:p>
    <w:p>
      <w:pPr>
        <w:pStyle w:val="4"/>
        <w:rPr>
          <w:rFonts w:hint="default" w:ascii="仿宋" w:hAnsi="仿宋" w:eastAsia="仿宋"/>
          <w:sz w:val="36"/>
          <w:lang w:val="en-US"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单位概况</w:t>
      </w:r>
      <w:r>
        <w:rPr>
          <w:rFonts w:ascii="仿宋" w:hAnsi="仿宋" w:eastAsia="仿宋"/>
          <w:sz w:val="36"/>
          <w:lang w:eastAsia="zh-CN"/>
        </w:rPr>
        <w:t>……………………………………</w:t>
      </w:r>
      <w:r>
        <w:rPr>
          <w:rFonts w:hint="eastAsia" w:ascii="仿宋" w:hAnsi="仿宋" w:eastAsia="仿宋"/>
          <w:sz w:val="36"/>
          <w:lang w:val="en-US" w:eastAsia="zh-CN"/>
        </w:rPr>
        <w:t>4</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sz w:val="36"/>
          <w:lang w:eastAsia="zh-CN"/>
        </w:rPr>
        <w:t>……………………………………</w:t>
      </w:r>
      <w:r>
        <w:rPr>
          <w:rFonts w:hint="eastAsia" w:ascii="仿宋" w:hAnsi="仿宋" w:eastAsia="仿宋"/>
          <w:sz w:val="36"/>
          <w:lang w:val="en-US" w:eastAsia="zh-CN"/>
        </w:rPr>
        <w:t>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6</w:t>
      </w:r>
    </w:p>
    <w:p>
      <w:pPr>
        <w:pStyle w:val="4"/>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val="en-US" w:eastAsia="zh-CN"/>
        </w:rPr>
        <w:t>2025</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sz w:val="36"/>
          <w:lang w:val="en-US" w:eastAsia="zh-CN"/>
        </w:rPr>
        <w:t>7</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8</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9</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10</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11</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12</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13</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14</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15</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16</w:t>
      </w:r>
    </w:p>
    <w:p>
      <w:pPr>
        <w:pStyle w:val="4"/>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17</w:t>
      </w:r>
    </w:p>
    <w:p>
      <w:pPr>
        <w:widowControl/>
        <w:rPr>
          <w:rFonts w:hint="default" w:ascii="仿宋" w:hAnsi="仿宋" w:eastAsia="仿宋"/>
          <w:b/>
          <w:sz w:val="40"/>
          <w:lang w:val="en-US" w:eastAsia="zh-CN"/>
        </w:rPr>
      </w:pPr>
      <w:r>
        <w:rPr>
          <w:rFonts w:hint="eastAsia" w:ascii="仿宋" w:hAnsi="仿宋" w:eastAsia="仿宋"/>
          <w:b/>
          <w:sz w:val="36"/>
          <w:szCs w:val="36"/>
        </w:rPr>
        <w:t>第三部分</w:t>
      </w:r>
      <w:r>
        <w:rPr>
          <w:rFonts w:ascii="仿宋" w:hAnsi="仿宋" w:eastAsia="仿宋"/>
          <w:b/>
          <w:sz w:val="36"/>
          <w:szCs w:val="36"/>
        </w:rPr>
        <w:t xml:space="preserve"> </w:t>
      </w:r>
      <w:r>
        <w:rPr>
          <w:rFonts w:hint="eastAsia" w:ascii="仿宋" w:hAnsi="仿宋" w:eastAsia="仿宋"/>
          <w:b/>
          <w:sz w:val="36"/>
          <w:szCs w:val="36"/>
          <w:lang w:val="en-US" w:eastAsia="zh-CN"/>
        </w:rPr>
        <w:t>2025</w:t>
      </w:r>
      <w:r>
        <w:rPr>
          <w:rFonts w:hint="eastAsia" w:ascii="仿宋" w:hAnsi="仿宋" w:eastAsia="仿宋"/>
          <w:b/>
          <w:sz w:val="36"/>
          <w:szCs w:val="36"/>
        </w:rPr>
        <w:t>年度</w:t>
      </w:r>
      <w:r>
        <w:rPr>
          <w:rFonts w:hint="eastAsia" w:ascii="仿宋" w:hAnsi="仿宋" w:eastAsia="仿宋"/>
          <w:b/>
          <w:sz w:val="36"/>
          <w:szCs w:val="36"/>
          <w:lang w:eastAsia="zh-CN"/>
        </w:rPr>
        <w:t>单位</w:t>
      </w:r>
      <w:r>
        <w:rPr>
          <w:rFonts w:hint="eastAsia" w:ascii="仿宋" w:hAnsi="仿宋" w:eastAsia="仿宋"/>
          <w:b/>
          <w:sz w:val="36"/>
          <w:szCs w:val="36"/>
        </w:rPr>
        <w:t>预算情况说明</w:t>
      </w:r>
      <w:r>
        <w:rPr>
          <w:rFonts w:ascii="仿宋" w:hAnsi="仿宋" w:eastAsia="仿宋"/>
          <w:sz w:val="36"/>
          <w:lang w:eastAsia="zh-CN"/>
        </w:rPr>
        <w:t>…</w:t>
      </w:r>
      <w:r>
        <w:rPr>
          <w:rFonts w:ascii="仿宋" w:hAnsi="仿宋" w:eastAsia="仿宋"/>
          <w:sz w:val="36"/>
        </w:rPr>
        <w:t>…………</w:t>
      </w:r>
      <w:r>
        <w:rPr>
          <w:rFonts w:hint="eastAsia" w:ascii="仿宋" w:hAnsi="仿宋" w:eastAsia="仿宋"/>
          <w:sz w:val="36"/>
          <w:lang w:val="en-US" w:eastAsia="zh-CN"/>
        </w:rPr>
        <w:t xml:space="preserve"> 18</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19</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21</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22</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pPr>
        <w:pStyle w:val="4"/>
        <w:spacing w:before="3"/>
        <w:rPr>
          <w:rFonts w:hint="default" w:ascii="仿宋" w:hAnsi="仿宋" w:eastAsia="仿宋"/>
          <w:sz w:val="26"/>
          <w:lang w:val="en-US" w:eastAsia="zh-CN"/>
        </w:rPr>
      </w:pPr>
      <w:r>
        <w:rPr>
          <w:rFonts w:hint="eastAsia" w:ascii="仿宋" w:hAnsi="仿宋" w:eastAsia="仿宋"/>
          <w:b/>
          <w:sz w:val="36"/>
          <w:szCs w:val="36"/>
          <w:lang w:eastAsia="zh-CN"/>
        </w:rPr>
        <w:t>第四部分</w:t>
      </w:r>
      <w:r>
        <w:rPr>
          <w:rFonts w:ascii="仿宋" w:hAnsi="仿宋" w:eastAsia="仿宋"/>
          <w:b/>
          <w:sz w:val="36"/>
          <w:szCs w:val="36"/>
          <w:lang w:eastAsia="zh-CN"/>
        </w:rPr>
        <w:t xml:space="preserve"> </w:t>
      </w:r>
      <w:r>
        <w:rPr>
          <w:rFonts w:hint="eastAsia" w:ascii="仿宋" w:hAnsi="仿宋" w:eastAsia="仿宋"/>
          <w:b/>
          <w:sz w:val="36"/>
          <w:szCs w:val="36"/>
          <w:lang w:eastAsia="zh-CN"/>
        </w:rPr>
        <w:t>名词解释</w:t>
      </w:r>
      <w:r>
        <w:rPr>
          <w:rFonts w:hint="eastAsia" w:ascii="仿宋" w:hAnsi="仿宋" w:eastAsia="仿宋"/>
          <w:b/>
          <w:sz w:val="36"/>
          <w:szCs w:val="36"/>
          <w:lang w:val="en-US" w:eastAsia="zh-CN"/>
        </w:rPr>
        <w:t xml:space="preserve"> </w:t>
      </w:r>
      <w:r>
        <w:rPr>
          <w:rFonts w:ascii="仿宋" w:hAnsi="仿宋" w:eastAsia="仿宋"/>
          <w:sz w:val="36"/>
          <w:lang w:eastAsia="zh-CN"/>
        </w:rPr>
        <w:t>…………………………………</w:t>
      </w:r>
      <w:r>
        <w:rPr>
          <w:rFonts w:hint="eastAsia" w:ascii="仿宋" w:hAnsi="仿宋" w:eastAsia="仿宋"/>
          <w:sz w:val="36"/>
          <w:lang w:val="en-US" w:eastAsia="zh-CN"/>
        </w:rPr>
        <w:t>24</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56"/>
          <w:szCs w:val="36"/>
          <w:lang w:eastAsia="zh-CN"/>
        </w:rPr>
      </w:pPr>
      <w:r>
        <w:rPr>
          <w:rFonts w:hint="eastAsia" w:ascii="黑体" w:hAnsi="黑体" w:eastAsia="黑体"/>
          <w:sz w:val="56"/>
          <w:szCs w:val="36"/>
          <w:lang w:eastAsia="zh-CN"/>
        </w:rPr>
        <w:t>第一部分</w:t>
      </w:r>
    </w:p>
    <w:p>
      <w:pPr>
        <w:pStyle w:val="4"/>
        <w:jc w:val="center"/>
        <w:rPr>
          <w:rFonts w:ascii="黑体" w:hAnsi="黑体" w:eastAsia="黑体"/>
          <w:sz w:val="56"/>
          <w:szCs w:val="36"/>
          <w:lang w:eastAsia="zh-CN"/>
        </w:rPr>
      </w:pPr>
      <w:r>
        <w:rPr>
          <w:rFonts w:hint="eastAsia" w:ascii="黑体" w:hAnsi="黑体" w:eastAsia="黑体"/>
          <w:sz w:val="56"/>
          <w:szCs w:val="36"/>
          <w:lang w:eastAsia="zh-CN"/>
        </w:rPr>
        <w:t>单位概况</w:t>
      </w:r>
    </w:p>
    <w:p>
      <w:pPr>
        <w:pStyle w:val="4"/>
        <w:rPr>
          <w:rFonts w:ascii="黑体" w:hAnsi="黑体" w:eastAsia="黑体"/>
          <w:sz w:val="36"/>
          <w:szCs w:val="36"/>
          <w:lang w:eastAsia="zh-CN"/>
        </w:rPr>
      </w:pPr>
    </w:p>
    <w:p>
      <w:pPr>
        <w:pStyle w:val="4"/>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4"/>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福建省仓山监狱</w:t>
      </w:r>
      <w:r>
        <w:rPr>
          <w:rFonts w:hint="eastAsia" w:ascii="仿宋" w:hAnsi="仿宋" w:eastAsia="仿宋"/>
          <w:sz w:val="32"/>
          <w:szCs w:val="32"/>
        </w:rPr>
        <w:t>的主要职责是：</w:t>
      </w:r>
    </w:p>
    <w:p>
      <w:pPr>
        <w:ind w:firstLine="640" w:firstLineChars="200"/>
        <w:rPr>
          <w:rFonts w:hint="eastAsia" w:ascii="仿宋" w:hAnsi="仿宋" w:eastAsia="仿宋"/>
          <w:sz w:val="32"/>
          <w:szCs w:val="32"/>
        </w:rPr>
      </w:pPr>
      <w:r>
        <w:rPr>
          <w:rFonts w:hint="eastAsia" w:ascii="仿宋" w:hAnsi="仿宋" w:eastAsia="仿宋"/>
          <w:sz w:val="32"/>
          <w:szCs w:val="32"/>
        </w:rPr>
        <w:t xml:space="preserve">（一）贯彻执行党和国家有关监狱工作的方针、政策和法律、法规，分析掌握本监狱工作情况，研究制定本监狱发展规划和年度工作计划并组织实施。 </w:t>
      </w:r>
    </w:p>
    <w:p>
      <w:pPr>
        <w:ind w:firstLine="640" w:firstLineChars="200"/>
        <w:rPr>
          <w:rFonts w:hint="eastAsia" w:ascii="仿宋" w:hAnsi="仿宋" w:eastAsia="仿宋"/>
          <w:sz w:val="32"/>
          <w:szCs w:val="32"/>
        </w:rPr>
      </w:pPr>
      <w:r>
        <w:rPr>
          <w:rFonts w:hint="eastAsia" w:ascii="仿宋" w:hAnsi="仿宋" w:eastAsia="仿宋"/>
          <w:sz w:val="32"/>
          <w:szCs w:val="32"/>
        </w:rPr>
        <w:t>（二）组织和实施各级法院判决分配至本监狱罪犯的刑罚执行与改造，并实施规范化管理。</w:t>
      </w:r>
    </w:p>
    <w:p>
      <w:pPr>
        <w:ind w:firstLine="640" w:firstLineChars="200"/>
        <w:rPr>
          <w:rFonts w:hint="eastAsia" w:ascii="仿宋" w:hAnsi="仿宋" w:eastAsia="仿宋"/>
          <w:sz w:val="32"/>
          <w:szCs w:val="32"/>
        </w:rPr>
      </w:pPr>
      <w:r>
        <w:rPr>
          <w:rFonts w:hint="eastAsia" w:ascii="仿宋" w:hAnsi="仿宋" w:eastAsia="仿宋"/>
          <w:sz w:val="32"/>
          <w:szCs w:val="32"/>
        </w:rPr>
        <w:t>（三）负责本监狱经济工作，管理本监狱经费和国有资产。</w:t>
      </w:r>
    </w:p>
    <w:p>
      <w:pPr>
        <w:ind w:firstLine="640" w:firstLineChars="200"/>
        <w:rPr>
          <w:rFonts w:hint="eastAsia" w:ascii="仿宋" w:hAnsi="仿宋" w:eastAsia="仿宋"/>
          <w:sz w:val="32"/>
          <w:szCs w:val="32"/>
        </w:rPr>
      </w:pPr>
      <w:r>
        <w:rPr>
          <w:rFonts w:hint="eastAsia" w:ascii="仿宋" w:hAnsi="仿宋" w:eastAsia="仿宋"/>
          <w:sz w:val="32"/>
          <w:szCs w:val="32"/>
        </w:rPr>
        <w:t>（四）负责本监狱狱政、生产、生活基本建设的统筹规划以及重大建设项目的资金筹措、工程施工和监管场所的使用与维护。</w:t>
      </w:r>
    </w:p>
    <w:p>
      <w:pPr>
        <w:ind w:firstLine="640" w:firstLineChars="200"/>
        <w:rPr>
          <w:rFonts w:hint="eastAsia" w:ascii="仿宋" w:hAnsi="仿宋" w:eastAsia="仿宋"/>
          <w:sz w:val="32"/>
          <w:szCs w:val="32"/>
        </w:rPr>
      </w:pPr>
      <w:r>
        <w:rPr>
          <w:rFonts w:hint="eastAsia" w:ascii="仿宋" w:hAnsi="仿宋" w:eastAsia="仿宋"/>
          <w:sz w:val="32"/>
          <w:szCs w:val="32"/>
        </w:rPr>
        <w:t>（五）负责本监狱机关的党务工作，管理本监狱警察队伍和职工，加强思想政治工作，提高队伍素质。</w:t>
      </w:r>
    </w:p>
    <w:p>
      <w:pPr>
        <w:ind w:firstLine="640" w:firstLineChars="200"/>
        <w:rPr>
          <w:rFonts w:hint="eastAsia" w:ascii="仿宋" w:hAnsi="仿宋" w:eastAsia="仿宋"/>
          <w:sz w:val="32"/>
          <w:szCs w:val="32"/>
        </w:rPr>
      </w:pPr>
      <w:r>
        <w:rPr>
          <w:rFonts w:hint="eastAsia" w:ascii="仿宋" w:hAnsi="仿宋" w:eastAsia="仿宋"/>
          <w:sz w:val="32"/>
          <w:szCs w:val="32"/>
        </w:rPr>
        <w:t>（六）负责本监狱警戒设施、交通通讯设施、武器装备及监管技术装备管理。</w:t>
      </w:r>
    </w:p>
    <w:p>
      <w:pPr>
        <w:ind w:firstLine="640" w:firstLineChars="200"/>
        <w:rPr>
          <w:rFonts w:ascii="仿宋" w:hAnsi="仿宋" w:eastAsia="仿宋"/>
          <w:sz w:val="32"/>
          <w:szCs w:val="32"/>
        </w:rPr>
      </w:pPr>
      <w:r>
        <w:rPr>
          <w:rFonts w:hint="eastAsia" w:ascii="仿宋" w:hAnsi="仿宋" w:eastAsia="仿宋"/>
          <w:sz w:val="32"/>
          <w:szCs w:val="32"/>
        </w:rPr>
        <w:t>（七）承办上级党委和上级机关交办的其他事项。</w:t>
      </w:r>
    </w:p>
    <w:p>
      <w:pPr>
        <w:pStyle w:val="4"/>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eastAsia="zh-CN"/>
        </w:rPr>
        <w:t>福建省仓山监狱</w:t>
      </w:r>
      <w:r>
        <w:rPr>
          <w:rFonts w:hint="eastAsia" w:ascii="仿宋" w:hAnsi="仿宋" w:eastAsia="仿宋"/>
          <w:sz w:val="32"/>
          <w:szCs w:val="32"/>
        </w:rPr>
        <w:t>包括</w:t>
      </w:r>
      <w:r>
        <w:rPr>
          <w:rFonts w:hint="eastAsia" w:ascii="仿宋" w:hAnsi="仿宋" w:eastAsia="仿宋" w:cs="仿宋_GB2312"/>
          <w:sz w:val="32"/>
          <w:szCs w:val="32"/>
          <w:lang w:val="en-US" w:eastAsia="zh-CN"/>
        </w:rPr>
        <w:t>29</w:t>
      </w:r>
      <w:r>
        <w:rPr>
          <w:rFonts w:hint="eastAsia" w:ascii="仿宋" w:hAnsi="仿宋" w:eastAsia="仿宋"/>
          <w:sz w:val="32"/>
          <w:szCs w:val="32"/>
        </w:rPr>
        <w:t>个机关行政</w:t>
      </w:r>
      <w:r>
        <w:rPr>
          <w:rFonts w:hint="eastAsia" w:ascii="仿宋" w:hAnsi="仿宋" w:eastAsia="仿宋"/>
          <w:sz w:val="32"/>
          <w:szCs w:val="32"/>
          <w:lang w:eastAsia="zh-CN"/>
        </w:rPr>
        <w:t>科</w:t>
      </w:r>
      <w:r>
        <w:rPr>
          <w:rFonts w:hint="eastAsia" w:ascii="仿宋" w:hAnsi="仿宋" w:eastAsia="仿宋"/>
          <w:sz w:val="32"/>
          <w:szCs w:val="32"/>
        </w:rPr>
        <w:t>室，经</w:t>
      </w:r>
      <w:r>
        <w:rPr>
          <w:rFonts w:hint="eastAsia" w:ascii="仿宋" w:hAnsi="仿宋" w:eastAsia="仿宋"/>
          <w:sz w:val="32"/>
          <w:szCs w:val="32"/>
          <w:lang w:val="en-US" w:eastAsia="zh-CN"/>
        </w:rPr>
        <w:t>费性质为财政拨款</w:t>
      </w:r>
      <w:r>
        <w:rPr>
          <w:rFonts w:hint="eastAsia" w:ascii="仿宋" w:hAnsi="仿宋" w:eastAsia="仿宋"/>
          <w:sz w:val="32"/>
          <w:szCs w:val="32"/>
        </w:rPr>
        <w:t>。</w:t>
      </w:r>
    </w:p>
    <w:p>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p>
    <w:p>
      <w:pPr>
        <w:ind w:firstLine="640" w:firstLineChars="200"/>
        <w:rPr>
          <w:rFonts w:hint="eastAsia" w:ascii="仿宋" w:hAnsi="仿宋" w:eastAsia="仿宋"/>
          <w:sz w:val="32"/>
          <w:szCs w:val="32"/>
        </w:rPr>
      </w:pPr>
      <w:r>
        <w:rPr>
          <w:rFonts w:hint="eastAsia" w:ascii="仿宋" w:hAnsi="仿宋" w:eastAsia="仿宋" w:cs="仿宋_GB2312"/>
          <w:sz w:val="32"/>
          <w:szCs w:val="32"/>
          <w:lang w:val="en-US" w:eastAsia="zh-CN"/>
        </w:rPr>
        <w:t>2025</w:t>
      </w:r>
      <w:r>
        <w:rPr>
          <w:rFonts w:hint="eastAsia" w:ascii="仿宋" w:hAnsi="仿宋" w:eastAsia="仿宋"/>
          <w:sz w:val="32"/>
          <w:szCs w:val="32"/>
        </w:rPr>
        <w:t>年，</w:t>
      </w:r>
      <w:r>
        <w:rPr>
          <w:rFonts w:hint="eastAsia" w:ascii="仿宋" w:hAnsi="仿宋" w:eastAsia="仿宋" w:cs="仿宋_GB2312"/>
          <w:sz w:val="32"/>
          <w:szCs w:val="32"/>
          <w:lang w:eastAsia="zh-CN"/>
        </w:rPr>
        <w:t>福建省仓山监狱</w:t>
      </w:r>
      <w:r>
        <w:rPr>
          <w:rFonts w:hint="eastAsia" w:ascii="仿宋" w:hAnsi="仿宋" w:eastAsia="仿宋"/>
          <w:sz w:val="32"/>
          <w:szCs w:val="32"/>
        </w:rPr>
        <w:t>主要任务是：</w:t>
      </w:r>
      <w:r>
        <w:rPr>
          <w:rFonts w:hint="eastAsia" w:ascii="仿宋" w:hAnsi="仿宋" w:eastAsia="仿宋"/>
          <w:sz w:val="32"/>
          <w:szCs w:val="32"/>
          <w:lang w:val="en-US" w:eastAsia="zh-CN"/>
        </w:rPr>
        <w:t>2025</w:t>
      </w:r>
      <w:r>
        <w:rPr>
          <w:rFonts w:hint="eastAsia" w:ascii="仿宋" w:hAnsi="仿宋" w:eastAsia="仿宋"/>
          <w:sz w:val="32"/>
          <w:szCs w:val="32"/>
        </w:rPr>
        <w:t>年，本单位坚持以习近平新时代中国特色社会主义思想为指导，深入学习贯彻习近平法治思想和党的二十大及历次全会精神，认真贯彻落实全省司法行政工作会议、全省监狱系统工作会议精神，坚持稳中求进的工作总基调，以建设“五大监狱”、强化“五大保障”为目标，以开展</w:t>
      </w:r>
      <w:r>
        <w:rPr>
          <w:rFonts w:hint="eastAsia" w:ascii="仿宋" w:hAnsi="仿宋" w:eastAsia="仿宋"/>
          <w:sz w:val="32"/>
          <w:szCs w:val="32"/>
          <w:lang w:eastAsia="zh-CN"/>
        </w:rPr>
        <w:t>学习</w:t>
      </w:r>
      <w:r>
        <w:rPr>
          <w:rFonts w:hint="eastAsia" w:ascii="仿宋" w:hAnsi="仿宋" w:eastAsia="仿宋"/>
          <w:sz w:val="32"/>
          <w:szCs w:val="32"/>
        </w:rPr>
        <w:t>贯彻</w:t>
      </w:r>
      <w:r>
        <w:rPr>
          <w:rFonts w:hint="eastAsia" w:ascii="仿宋" w:hAnsi="仿宋" w:eastAsia="仿宋"/>
          <w:sz w:val="32"/>
          <w:szCs w:val="32"/>
          <w:lang w:eastAsia="zh-CN"/>
        </w:rPr>
        <w:t>落实学习贯彻习近平新时代中国特色社会主义思想主题教育</w:t>
      </w:r>
      <w:r>
        <w:rPr>
          <w:rFonts w:hint="eastAsia" w:ascii="仿宋" w:hAnsi="仿宋" w:eastAsia="仿宋"/>
          <w:sz w:val="32"/>
          <w:szCs w:val="32"/>
        </w:rPr>
        <w:t>为引领，以实施“三争”行动为抓手，统筹抓好监狱各项工作，确保了持续监管安全稳定，全面完成了全年各项工作任务，监狱各项工作和全面建设实现新进展、取得新成效。围绕上述任务，重点完成了以下工作：</w:t>
      </w:r>
    </w:p>
    <w:p>
      <w:pPr>
        <w:ind w:firstLine="640" w:firstLineChars="200"/>
        <w:rPr>
          <w:rFonts w:hint="eastAsia" w:ascii="仿宋" w:hAnsi="仿宋" w:eastAsia="仿宋"/>
          <w:sz w:val="32"/>
          <w:szCs w:val="32"/>
        </w:rPr>
      </w:pPr>
      <w:r>
        <w:rPr>
          <w:rFonts w:hint="eastAsia" w:ascii="仿宋" w:hAnsi="仿宋" w:eastAsia="仿宋"/>
          <w:sz w:val="32"/>
          <w:szCs w:val="32"/>
        </w:rPr>
        <w:t>（一）切实把好主题教育这一引领，筑牢团结奋进思想根基。</w:t>
      </w:r>
    </w:p>
    <w:p>
      <w:pPr>
        <w:ind w:firstLine="640" w:firstLineChars="200"/>
        <w:rPr>
          <w:rFonts w:hint="eastAsia" w:ascii="仿宋" w:hAnsi="仿宋" w:eastAsia="仿宋"/>
          <w:sz w:val="32"/>
          <w:szCs w:val="32"/>
        </w:rPr>
      </w:pPr>
      <w:r>
        <w:rPr>
          <w:rFonts w:hint="eastAsia" w:ascii="仿宋" w:hAnsi="仿宋" w:eastAsia="仿宋"/>
          <w:sz w:val="32"/>
          <w:szCs w:val="32"/>
        </w:rPr>
        <w:t>（二）切实用好“三争”行动这一抓手,营造创先争优浓厚氛围。</w:t>
      </w:r>
    </w:p>
    <w:p>
      <w:pPr>
        <w:ind w:firstLine="640" w:firstLineChars="200"/>
        <w:rPr>
          <w:rFonts w:hint="eastAsia" w:ascii="仿宋" w:hAnsi="仿宋" w:eastAsia="仿宋"/>
          <w:sz w:val="32"/>
          <w:szCs w:val="32"/>
        </w:rPr>
      </w:pPr>
      <w:r>
        <w:rPr>
          <w:rFonts w:hint="eastAsia" w:ascii="仿宋" w:hAnsi="仿宋" w:eastAsia="仿宋"/>
          <w:sz w:val="32"/>
          <w:szCs w:val="32"/>
        </w:rPr>
        <w:t>（三）切实履好罪犯改造这一职能,不负拯救灵魂职责使命。</w:t>
      </w:r>
    </w:p>
    <w:p>
      <w:pPr>
        <w:ind w:firstLine="640" w:firstLineChars="200"/>
        <w:rPr>
          <w:rFonts w:hint="eastAsia" w:ascii="仿宋" w:hAnsi="仿宋" w:eastAsia="仿宋"/>
          <w:sz w:val="32"/>
          <w:szCs w:val="32"/>
        </w:rPr>
      </w:pPr>
      <w:r>
        <w:rPr>
          <w:rFonts w:hint="eastAsia" w:ascii="仿宋" w:hAnsi="仿宋" w:eastAsia="仿宋"/>
          <w:sz w:val="32"/>
          <w:szCs w:val="32"/>
        </w:rPr>
        <w:t>（四）切实守好监狱安全这一底线，夯实监狱建设发展基础。</w:t>
      </w:r>
    </w:p>
    <w:p>
      <w:pPr>
        <w:ind w:firstLine="640" w:firstLineChars="200"/>
        <w:rPr>
          <w:rFonts w:hint="eastAsia" w:ascii="仿宋" w:hAnsi="仿宋" w:eastAsia="仿宋"/>
          <w:sz w:val="32"/>
          <w:szCs w:val="32"/>
        </w:rPr>
      </w:pPr>
      <w:r>
        <w:rPr>
          <w:rFonts w:hint="eastAsia" w:ascii="仿宋" w:hAnsi="仿宋" w:eastAsia="仿宋"/>
          <w:sz w:val="32"/>
          <w:szCs w:val="32"/>
        </w:rPr>
        <w:t>（五）切实抓好队伍建设这一根本，打造忠诚干净担当队伍。</w:t>
      </w:r>
    </w:p>
    <w:p>
      <w:pPr>
        <w:ind w:firstLine="640" w:firstLineChars="200"/>
        <w:rPr>
          <w:rFonts w:ascii="仿宋" w:hAnsi="仿宋" w:eastAsia="仿宋" w:cs="仿宋_GB2312"/>
          <w:sz w:val="32"/>
          <w:szCs w:val="32"/>
        </w:rPr>
      </w:pPr>
      <w:r>
        <w:rPr>
          <w:rFonts w:hint="eastAsia" w:ascii="仿宋" w:hAnsi="仿宋" w:eastAsia="仿宋"/>
          <w:sz w:val="32"/>
          <w:szCs w:val="32"/>
        </w:rPr>
        <w:t>（六）切实扛好管党治警这一责任，塑造风清气正政治生态。</w:t>
      </w: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56"/>
          <w:szCs w:val="36"/>
          <w:lang w:eastAsia="zh-CN"/>
        </w:rPr>
      </w:pPr>
      <w:r>
        <w:rPr>
          <w:rFonts w:hint="eastAsia" w:ascii="黑体" w:hAnsi="黑体" w:eastAsia="黑体"/>
          <w:sz w:val="56"/>
          <w:szCs w:val="36"/>
          <w:lang w:eastAsia="zh-CN"/>
        </w:rPr>
        <w:t>第二部分</w:t>
      </w:r>
    </w:p>
    <w:p>
      <w:pPr>
        <w:pStyle w:val="4"/>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年度单位预算表</w:t>
      </w:r>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楷体" w:hAnsi="楷体" w:eastAsia="楷体"/>
          <w:sz w:val="28"/>
          <w:szCs w:val="28"/>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800100</wp:posOffset>
            </wp:positionV>
            <wp:extent cx="5565775" cy="6248400"/>
            <wp:effectExtent l="0" t="0" r="15875" b="0"/>
            <wp:wrapSquare wrapText="bothSides"/>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8"/>
                    <a:stretch>
                      <a:fillRect/>
                    </a:stretch>
                  </pic:blipFill>
                  <pic:spPr>
                    <a:xfrm>
                      <a:off x="0" y="0"/>
                      <a:ext cx="5565775" cy="6248400"/>
                    </a:xfrm>
                    <a:prstGeom prst="rect">
                      <a:avLst/>
                    </a:prstGeom>
                    <a:noFill/>
                    <a:ln>
                      <a:noFill/>
                    </a:ln>
                  </pic:spPr>
                </pic:pic>
              </a:graphicData>
            </a:graphic>
          </wp:anchor>
        </w:drawing>
      </w:r>
      <w:r>
        <w:rPr>
          <w:rFonts w:hint="eastAsia" w:ascii="黑体" w:hAnsi="黑体" w:eastAsia="黑体"/>
          <w:sz w:val="32"/>
          <w:szCs w:val="32"/>
        </w:rPr>
        <w:t>一、收支预算总表</w:t>
      </w:r>
    </w:p>
    <w:p>
      <w:pPr>
        <w:pStyle w:val="2"/>
        <w:ind w:left="0" w:leftChars="0" w:firstLine="0" w:firstLineChars="0"/>
        <w:rPr>
          <w:rFonts w:hint="eastAsia" w:ascii="楷体" w:hAnsi="楷体" w:eastAsia="楷体" w:cs="Times New Roman"/>
          <w:kern w:val="0"/>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drawing>
          <wp:anchor distT="0" distB="0" distL="114300" distR="114300" simplePos="0" relativeHeight="251660288" behindDoc="0" locked="0" layoutInCell="1" allowOverlap="1">
            <wp:simplePos x="0" y="0"/>
            <wp:positionH relativeFrom="column">
              <wp:posOffset>123825</wp:posOffset>
            </wp:positionH>
            <wp:positionV relativeFrom="paragraph">
              <wp:posOffset>676275</wp:posOffset>
            </wp:positionV>
            <wp:extent cx="8854440" cy="3459480"/>
            <wp:effectExtent l="0" t="0" r="3810" b="7620"/>
            <wp:wrapSquare wrapText="bothSides"/>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pic:cNvPicPr>
                  </pic:nvPicPr>
                  <pic:blipFill>
                    <a:blip r:embed="rId9"/>
                    <a:stretch>
                      <a:fillRect/>
                    </a:stretch>
                  </pic:blipFill>
                  <pic:spPr>
                    <a:xfrm>
                      <a:off x="0" y="0"/>
                      <a:ext cx="8854440" cy="3459480"/>
                    </a:xfrm>
                    <a:prstGeom prst="rect">
                      <a:avLst/>
                    </a:prstGeom>
                    <a:noFill/>
                    <a:ln>
                      <a:noFill/>
                    </a:ln>
                  </pic:spPr>
                </pic:pic>
              </a:graphicData>
            </a:graphic>
          </wp:anchor>
        </w:drawing>
      </w:r>
      <w:r>
        <w:rPr>
          <w:rFonts w:hint="eastAsia" w:ascii="黑体" w:hAnsi="黑体" w:eastAsia="黑体"/>
          <w:sz w:val="32"/>
          <w:szCs w:val="32"/>
        </w:rPr>
        <w:t>二、收入预算总表</w:t>
      </w:r>
    </w:p>
    <w:p>
      <w:pPr>
        <w:tabs>
          <w:tab w:val="left" w:pos="7513"/>
        </w:tabs>
        <w:adjustRightInd w:val="0"/>
        <w:snapToGrid w:val="0"/>
        <w:spacing w:line="600" w:lineRule="exact"/>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p>
      <w:pPr>
        <w:tabs>
          <w:tab w:val="left" w:pos="7513"/>
        </w:tabs>
        <w:spacing w:line="300" w:lineRule="auto"/>
        <w:ind w:firstLine="424"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8859520" cy="4008755"/>
            <wp:effectExtent l="0" t="0" r="17780" b="10795"/>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pic:cNvPicPr>
                  </pic:nvPicPr>
                  <pic:blipFill>
                    <a:blip r:embed="rId10"/>
                    <a:stretch>
                      <a:fillRect/>
                    </a:stretch>
                  </pic:blipFill>
                  <pic:spPr>
                    <a:xfrm>
                      <a:off x="0" y="0"/>
                      <a:ext cx="8859520" cy="4008755"/>
                    </a:xfrm>
                    <a:prstGeom prst="rect">
                      <a:avLst/>
                    </a:prstGeom>
                    <a:noFill/>
                    <a:ln>
                      <a:noFill/>
                    </a:ln>
                  </pic:spPr>
                </pic:pic>
              </a:graphicData>
            </a:graphic>
          </wp:inline>
        </w:drawing>
      </w:r>
    </w:p>
    <w:p>
      <w:pPr>
        <w:numPr>
          <w:ilvl w:val="0"/>
          <w:numId w:val="1"/>
        </w:num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财政拨款收支预算总表</w:t>
      </w:r>
    </w:p>
    <w:p>
      <w:pPr>
        <w:pStyle w:val="2"/>
        <w:numPr>
          <w:ilvl w:val="0"/>
          <w:numId w:val="0"/>
        </w:numPr>
        <w:ind w:leftChars="174" w:right="-139" w:rightChars="0"/>
      </w:pPr>
      <w:r>
        <w:drawing>
          <wp:anchor distT="0" distB="0" distL="114300" distR="114300" simplePos="0" relativeHeight="251661312" behindDoc="0" locked="0" layoutInCell="1" allowOverlap="1">
            <wp:simplePos x="0" y="0"/>
            <wp:positionH relativeFrom="column">
              <wp:posOffset>31750</wp:posOffset>
            </wp:positionH>
            <wp:positionV relativeFrom="paragraph">
              <wp:posOffset>238125</wp:posOffset>
            </wp:positionV>
            <wp:extent cx="5272405" cy="5732780"/>
            <wp:effectExtent l="0" t="0" r="4445" b="1270"/>
            <wp:wrapSquare wrapText="bothSides"/>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pic:cNvPicPr>
                  </pic:nvPicPr>
                  <pic:blipFill>
                    <a:blip r:embed="rId11"/>
                    <a:stretch>
                      <a:fillRect/>
                    </a:stretch>
                  </pic:blipFill>
                  <pic:spPr>
                    <a:xfrm>
                      <a:off x="0" y="0"/>
                      <a:ext cx="5272405" cy="5732780"/>
                    </a:xfrm>
                    <a:prstGeom prst="rect">
                      <a:avLst/>
                    </a:prstGeom>
                    <a:noFill/>
                    <a:ln>
                      <a:noFill/>
                    </a:ln>
                  </pic:spPr>
                </pic:pic>
              </a:graphicData>
            </a:graphic>
          </wp:anchor>
        </w:drawing>
      </w: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p>
      <w:pPr>
        <w:tabs>
          <w:tab w:val="left" w:pos="7513"/>
        </w:tabs>
        <w:spacing w:line="360" w:lineRule="auto"/>
        <w:rPr>
          <w:rFonts w:ascii="黑体" w:hAnsi="黑体" w:eastAsia="黑体"/>
          <w:sz w:val="32"/>
          <w:szCs w:val="32"/>
        </w:rPr>
      </w:pPr>
    </w:p>
    <w:p>
      <w:pPr>
        <w:pStyle w:val="2"/>
        <w:sectPr>
          <w:pgSz w:w="11906" w:h="16838"/>
          <w:pgMar w:top="1440" w:right="1800" w:bottom="1440" w:left="1800" w:header="851" w:footer="992" w:gutter="0"/>
          <w:cols w:space="425" w:num="1"/>
          <w:docGrid w:type="lines" w:linePitch="312" w:charSpace="0"/>
        </w:sectPr>
      </w:pPr>
      <w:r>
        <w:drawing>
          <wp:anchor distT="0" distB="0" distL="114300" distR="114300" simplePos="0" relativeHeight="251662336" behindDoc="0" locked="0" layoutInCell="1" allowOverlap="1">
            <wp:simplePos x="0" y="0"/>
            <wp:positionH relativeFrom="column">
              <wp:posOffset>123825</wp:posOffset>
            </wp:positionH>
            <wp:positionV relativeFrom="paragraph">
              <wp:posOffset>-367665</wp:posOffset>
            </wp:positionV>
            <wp:extent cx="5335905" cy="4258945"/>
            <wp:effectExtent l="0" t="0" r="17145" b="8255"/>
            <wp:wrapSquare wrapText="bothSides"/>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pic:cNvPicPr>
                  </pic:nvPicPr>
                  <pic:blipFill>
                    <a:blip r:embed="rId12"/>
                    <a:stretch>
                      <a:fillRect/>
                    </a:stretch>
                  </pic:blipFill>
                  <pic:spPr>
                    <a:xfrm>
                      <a:off x="0" y="0"/>
                      <a:ext cx="5335905" cy="4258945"/>
                    </a:xfrm>
                    <a:prstGeom prst="rect">
                      <a:avLst/>
                    </a:prstGeom>
                    <a:noFill/>
                    <a:ln>
                      <a:noFill/>
                    </a:ln>
                  </pic:spPr>
                </pic:pic>
              </a:graphicData>
            </a:graphic>
          </wp:anchor>
        </w:drawing>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drawing>
          <wp:anchor distT="0" distB="0" distL="114300" distR="114300" simplePos="0" relativeHeight="251663360" behindDoc="0" locked="0" layoutInCell="1" allowOverlap="1">
            <wp:simplePos x="0" y="0"/>
            <wp:positionH relativeFrom="column">
              <wp:posOffset>-50800</wp:posOffset>
            </wp:positionH>
            <wp:positionV relativeFrom="paragraph">
              <wp:posOffset>173990</wp:posOffset>
            </wp:positionV>
            <wp:extent cx="5269230" cy="1158875"/>
            <wp:effectExtent l="0" t="0" r="7620" b="3175"/>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5269230" cy="1158875"/>
                    </a:xfrm>
                    <a:prstGeom prst="rect">
                      <a:avLst/>
                    </a:prstGeom>
                    <a:noFill/>
                    <a:ln>
                      <a:noFill/>
                    </a:ln>
                  </pic:spPr>
                </pic:pic>
              </a:graphicData>
            </a:graphic>
          </wp:anchor>
        </w:drawing>
      </w:r>
      <w:r>
        <w:rPr>
          <w:rFonts w:hint="eastAsia" w:ascii="楷体" w:hAnsi="楷体" w:eastAsia="楷体" w:cs="Times New Roman"/>
          <w:kern w:val="0"/>
          <w:szCs w:val="21"/>
        </w:rPr>
        <w:t>备注：本</w:t>
      </w:r>
      <w:r>
        <w:rPr>
          <w:rFonts w:hint="eastAsia" w:ascii="楷体" w:hAnsi="楷体" w:eastAsia="楷体" w:cs="Times New Roman"/>
          <w:kern w:val="0"/>
          <w:szCs w:val="21"/>
          <w:lang w:eastAsia="zh-CN"/>
        </w:rPr>
        <w:t>单位</w:t>
      </w:r>
      <w:r>
        <w:rPr>
          <w:rFonts w:hint="eastAsia" w:ascii="楷体" w:hAnsi="楷体" w:eastAsia="楷体" w:cs="Times New Roman"/>
          <w:kern w:val="0"/>
          <w:szCs w:val="21"/>
          <w:lang w:val="en-US" w:eastAsia="zh-CN"/>
        </w:rPr>
        <w:t>2025</w:t>
      </w:r>
      <w:r>
        <w:rPr>
          <w:rFonts w:hint="eastAsia" w:ascii="楷体" w:hAnsi="楷体" w:eastAsia="楷体" w:cs="Times New Roman"/>
          <w:kern w:val="0"/>
          <w:szCs w:val="21"/>
        </w:rPr>
        <w:t>年没有使用政府性基金预算拨款安排的支出。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drawing>
          <wp:anchor distT="0" distB="0" distL="114300" distR="114300" simplePos="0" relativeHeight="251665408" behindDoc="0" locked="0" layoutInCell="1" allowOverlap="1">
            <wp:simplePos x="0" y="0"/>
            <wp:positionH relativeFrom="column">
              <wp:posOffset>-9525</wp:posOffset>
            </wp:positionH>
            <wp:positionV relativeFrom="paragraph">
              <wp:posOffset>116840</wp:posOffset>
            </wp:positionV>
            <wp:extent cx="5269230" cy="1010285"/>
            <wp:effectExtent l="0" t="0" r="7620" b="1841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269230" cy="1010285"/>
                    </a:xfrm>
                    <a:prstGeom prst="rect">
                      <a:avLst/>
                    </a:prstGeom>
                    <a:noFill/>
                    <a:ln>
                      <a:noFill/>
                    </a:ln>
                  </pic:spPr>
                </pic:pic>
              </a:graphicData>
            </a:graphic>
          </wp:anchor>
        </w:drawing>
      </w:r>
      <w:r>
        <w:rPr>
          <w:rFonts w:hint="eastAsia" w:ascii="楷体" w:hAnsi="楷体" w:eastAsia="楷体" w:cs="Times New Roman"/>
          <w:kern w:val="0"/>
          <w:szCs w:val="21"/>
        </w:rPr>
        <w:t>备注：本</w:t>
      </w:r>
      <w:r>
        <w:rPr>
          <w:rFonts w:hint="eastAsia" w:ascii="楷体" w:hAnsi="楷体" w:eastAsia="楷体" w:cs="Times New Roman"/>
          <w:kern w:val="0"/>
          <w:szCs w:val="21"/>
          <w:lang w:eastAsia="zh-CN"/>
        </w:rPr>
        <w:t>单位</w:t>
      </w:r>
      <w:r>
        <w:rPr>
          <w:rFonts w:hint="eastAsia" w:ascii="楷体" w:hAnsi="楷体" w:eastAsia="楷体" w:cs="Times New Roman"/>
          <w:kern w:val="0"/>
          <w:szCs w:val="21"/>
          <w:lang w:val="en-US" w:eastAsia="zh-CN"/>
        </w:rPr>
        <w:t>2025</w:t>
      </w:r>
      <w:r>
        <w:rPr>
          <w:rFonts w:hint="eastAsia" w:ascii="楷体" w:hAnsi="楷体" w:eastAsia="楷体" w:cs="Times New Roman"/>
          <w:kern w:val="0"/>
          <w:szCs w:val="21"/>
        </w:rPr>
        <w:t>年没有使用国有资本经营预算拨款安排的支出。</w:t>
      </w:r>
    </w:p>
    <w:p>
      <w:pPr>
        <w:tabs>
          <w:tab w:val="left" w:pos="7513"/>
        </w:tabs>
        <w:adjustRightInd w:val="0"/>
        <w:snapToGrid w:val="0"/>
        <w:spacing w:line="600" w:lineRule="exact"/>
        <w:rPr>
          <w:rFonts w:ascii="黑体" w:hAnsi="黑体" w:eastAsia="黑体"/>
          <w:sz w:val="32"/>
          <w:szCs w:val="32"/>
        </w:rPr>
      </w:pPr>
      <w:r>
        <w:drawing>
          <wp:anchor distT="0" distB="0" distL="114300" distR="114300" simplePos="0" relativeHeight="251664384" behindDoc="0" locked="0" layoutInCell="1" allowOverlap="1">
            <wp:simplePos x="0" y="0"/>
            <wp:positionH relativeFrom="column">
              <wp:posOffset>-66675</wp:posOffset>
            </wp:positionH>
            <wp:positionV relativeFrom="paragraph">
              <wp:posOffset>723900</wp:posOffset>
            </wp:positionV>
            <wp:extent cx="5273040" cy="1783715"/>
            <wp:effectExtent l="0" t="0" r="3810" b="6985"/>
            <wp:wrapSquare wrapText="bothSides"/>
            <wp:docPr id="331"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263"/>
                    <pic:cNvPicPr>
                      <a:picLocks noChangeAspect="1"/>
                    </pic:cNvPicPr>
                  </pic:nvPicPr>
                  <pic:blipFill>
                    <a:blip r:embed="rId15"/>
                    <a:stretch>
                      <a:fillRect/>
                    </a:stretch>
                  </pic:blipFill>
                  <pic:spPr>
                    <a:xfrm>
                      <a:off x="0" y="0"/>
                      <a:ext cx="5273040" cy="1783715"/>
                    </a:xfrm>
                    <a:prstGeom prst="rect">
                      <a:avLst/>
                    </a:prstGeom>
                    <a:noFill/>
                    <a:ln>
                      <a:noFill/>
                    </a:ln>
                  </pic:spPr>
                </pic:pic>
              </a:graphicData>
            </a:graphic>
          </wp:anchor>
        </w:drawing>
      </w:r>
      <w:r>
        <w:rPr>
          <w:rFonts w:hint="eastAsia" w:ascii="黑体" w:hAnsi="黑体" w:eastAsia="黑体"/>
          <w:sz w:val="32"/>
          <w:szCs w:val="32"/>
        </w:rPr>
        <w:t>八、一般公共预算支出经济分类情况表</w:t>
      </w: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drawing>
          <wp:inline distT="0" distB="0" distL="114300" distR="114300">
            <wp:extent cx="5273040" cy="6294120"/>
            <wp:effectExtent l="0" t="0" r="3810" b="11430"/>
            <wp:docPr id="332"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64"/>
                    <pic:cNvPicPr>
                      <a:picLocks noChangeAspect="1"/>
                    </pic:cNvPicPr>
                  </pic:nvPicPr>
                  <pic:blipFill>
                    <a:blip r:embed="rId16"/>
                    <a:stretch>
                      <a:fillRect/>
                    </a:stretch>
                  </pic:blipFill>
                  <pic:spPr>
                    <a:xfrm>
                      <a:off x="0" y="0"/>
                      <a:ext cx="5273040" cy="6294120"/>
                    </a:xfrm>
                    <a:prstGeom prst="rect">
                      <a:avLst/>
                    </a:prstGeom>
                    <a:noFill/>
                    <a:ln>
                      <a:noFill/>
                    </a:ln>
                  </pic:spPr>
                </pic:pic>
              </a:graphicData>
            </a:graphic>
          </wp:inline>
        </w:drawing>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p>
      <w:pPr>
        <w:pStyle w:val="4"/>
        <w:jc w:val="both"/>
      </w:pPr>
      <w:r>
        <w:drawing>
          <wp:inline distT="0" distB="0" distL="114300" distR="114300">
            <wp:extent cx="5272405" cy="2127250"/>
            <wp:effectExtent l="0" t="0" r="4445" b="6350"/>
            <wp:docPr id="333"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265"/>
                    <pic:cNvPicPr>
                      <a:picLocks noChangeAspect="1"/>
                    </pic:cNvPicPr>
                  </pic:nvPicPr>
                  <pic:blipFill>
                    <a:blip r:embed="rId17"/>
                    <a:stretch>
                      <a:fillRect/>
                    </a:stretch>
                  </pic:blipFill>
                  <pic:spPr>
                    <a:xfrm>
                      <a:off x="0" y="0"/>
                      <a:ext cx="5272405" cy="2127250"/>
                    </a:xfrm>
                    <a:prstGeom prst="rect">
                      <a:avLst/>
                    </a:prstGeom>
                    <a:noFill/>
                    <a:ln>
                      <a:noFill/>
                    </a:ln>
                  </pic:spPr>
                </pic:pic>
              </a:graphicData>
            </a:graphic>
          </wp:inline>
        </w:drawing>
      </w: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pPr>
    </w:p>
    <w:p>
      <w:pPr>
        <w:pStyle w:val="4"/>
        <w:jc w:val="both"/>
        <w:rPr>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56"/>
          <w:szCs w:val="36"/>
          <w:lang w:eastAsia="zh-CN"/>
        </w:rPr>
      </w:pPr>
      <w:r>
        <w:rPr>
          <w:rFonts w:hint="eastAsia" w:ascii="黑体" w:hAnsi="黑体" w:eastAsia="黑体"/>
          <w:sz w:val="56"/>
          <w:szCs w:val="36"/>
          <w:lang w:eastAsia="zh-CN"/>
        </w:rPr>
        <w:t>第三部分</w:t>
      </w:r>
    </w:p>
    <w:p>
      <w:pPr>
        <w:pStyle w:val="4"/>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cs="仿宋_GB2312"/>
          <w:sz w:val="32"/>
          <w:szCs w:val="32"/>
          <w:lang w:eastAsia="zh-CN"/>
        </w:rPr>
        <w:t>仓山监狱</w:t>
      </w:r>
      <w:r>
        <w:rPr>
          <w:rFonts w:hint="eastAsia" w:ascii="仿宋" w:hAnsi="仿宋" w:eastAsia="仿宋"/>
          <w:sz w:val="32"/>
          <w:szCs w:val="32"/>
        </w:rPr>
        <w:t>收入预算为</w:t>
      </w:r>
      <w:r>
        <w:rPr>
          <w:rFonts w:hint="eastAsia" w:ascii="宋体" w:hAnsi="宋体" w:eastAsia="仿宋"/>
          <w:sz w:val="32"/>
          <w:szCs w:val="32"/>
          <w:lang w:val="en-US" w:eastAsia="zh-CN"/>
        </w:rPr>
        <w:t>20981.66</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cs="仿宋"/>
          <w:color w:val="000000" w:themeColor="text1"/>
          <w:sz w:val="32"/>
          <w:szCs w:val="32"/>
          <w:lang w:val="en-US" w:eastAsia="zh-CN"/>
          <w14:textFill>
            <w14:solidFill>
              <w14:schemeClr w14:val="tx1"/>
            </w14:solidFill>
          </w14:textFill>
        </w:rPr>
        <w:t>969.43</w:t>
      </w:r>
      <w:r>
        <w:rPr>
          <w:rFonts w:hint="eastAsia" w:ascii="仿宋" w:hAnsi="仿宋" w:eastAsia="仿宋"/>
          <w:sz w:val="32"/>
          <w:szCs w:val="32"/>
        </w:rPr>
        <w:t>万元，主要原因</w:t>
      </w:r>
      <w:r>
        <w:rPr>
          <w:rFonts w:hint="eastAsia" w:ascii="仿宋" w:hAnsi="仿宋" w:eastAsia="仿宋" w:cs="仿宋"/>
          <w:sz w:val="32"/>
          <w:szCs w:val="32"/>
        </w:rPr>
        <w:t>是</w:t>
      </w:r>
      <w:r>
        <w:rPr>
          <w:rFonts w:hint="eastAsia" w:ascii="仿宋" w:hAnsi="仿宋" w:eastAsia="仿宋" w:cs="仿宋"/>
          <w:sz w:val="32"/>
          <w:szCs w:val="32"/>
          <w:lang w:val="en-US" w:eastAsia="zh-CN"/>
        </w:rPr>
        <w:t>上年结转结余增加，因此导致总收入有所增加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宋体" w:hAnsi="宋体" w:eastAsia="仿宋"/>
          <w:sz w:val="32"/>
          <w:szCs w:val="32"/>
          <w:lang w:val="en-US" w:eastAsia="zh-CN"/>
        </w:rPr>
        <w:t>19894.66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上年结转结余</w:t>
      </w:r>
      <w:r>
        <w:rPr>
          <w:rFonts w:hint="eastAsia" w:ascii="仿宋" w:hAnsi="仿宋" w:eastAsia="仿宋" w:cs="仿宋_GB2312"/>
          <w:sz w:val="32"/>
          <w:szCs w:val="32"/>
          <w:lang w:val="en-US" w:eastAsia="zh-CN"/>
        </w:rPr>
        <w:t>1087</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宋体" w:hAnsi="宋体" w:eastAsia="仿宋"/>
          <w:sz w:val="32"/>
          <w:szCs w:val="32"/>
          <w:lang w:val="en-US" w:eastAsia="zh-CN"/>
        </w:rPr>
        <w:t>20981.66</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cs="仿宋"/>
          <w:sz w:val="32"/>
          <w:szCs w:val="32"/>
          <w:lang w:val="en-US" w:eastAsia="zh-CN"/>
        </w:rPr>
        <w:t>969.43</w:t>
      </w:r>
      <w:r>
        <w:rPr>
          <w:rFonts w:hint="eastAsia" w:ascii="仿宋" w:hAnsi="仿宋" w:eastAsia="仿宋"/>
          <w:sz w:val="32"/>
          <w:szCs w:val="32"/>
        </w:rPr>
        <w:t>万元，主要原因是</w:t>
      </w:r>
      <w:r>
        <w:rPr>
          <w:rFonts w:hint="eastAsia" w:ascii="仿宋" w:hAnsi="仿宋" w:eastAsia="仿宋" w:cs="仿宋"/>
          <w:sz w:val="32"/>
          <w:szCs w:val="32"/>
          <w:lang w:val="en-US" w:eastAsia="zh-CN"/>
        </w:rPr>
        <w:t>本年结转结余资金较上年减少</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16945.68</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4035.98</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szCs w:val="32"/>
          <w:lang w:val="en-US" w:eastAsia="zh-CN"/>
        </w:rPr>
        <w:t>2025年度一般公共预算拨款支出</w:t>
      </w:r>
      <w:r>
        <w:rPr>
          <w:rFonts w:hint="eastAsia" w:ascii="宋体" w:hAnsi="宋体" w:eastAsia="仿宋"/>
          <w:sz w:val="32"/>
          <w:szCs w:val="32"/>
          <w:lang w:val="en-US" w:eastAsia="zh-CN"/>
        </w:rPr>
        <w:t>19894.66</w:t>
      </w:r>
      <w:r>
        <w:rPr>
          <w:rFonts w:hint="eastAsia" w:ascii="仿宋" w:hAnsi="仿宋" w:eastAsia="仿宋" w:cs="仿宋"/>
          <w:sz w:val="32"/>
          <w:szCs w:val="32"/>
          <w:lang w:val="en-US" w:eastAsia="zh-CN"/>
        </w:rPr>
        <w:t>万元，比上年减少</w:t>
      </w:r>
      <w:r>
        <w:rPr>
          <w:rFonts w:hint="eastAsia" w:ascii="仿宋" w:hAnsi="仿宋" w:eastAsia="仿宋" w:cs="仿宋"/>
          <w:color w:val="000000" w:themeColor="text1"/>
          <w:sz w:val="32"/>
          <w:szCs w:val="32"/>
          <w:lang w:val="en-US" w:eastAsia="zh-CN"/>
          <w14:textFill>
            <w14:solidFill>
              <w14:schemeClr w14:val="tx1"/>
            </w14:solidFill>
          </w14:textFill>
        </w:rPr>
        <w:t>903.7</w:t>
      </w:r>
      <w:r>
        <w:rPr>
          <w:rFonts w:hint="eastAsia" w:ascii="仿宋" w:hAnsi="仿宋" w:eastAsia="仿宋" w:cs="仿宋"/>
          <w:sz w:val="32"/>
          <w:szCs w:val="32"/>
          <w:lang w:val="en-US" w:eastAsia="zh-CN"/>
        </w:rPr>
        <w:t>万元，降低4.35%，主要原因是</w:t>
      </w:r>
      <w:r>
        <w:rPr>
          <w:rFonts w:hint="eastAsia" w:ascii="仿宋" w:hAnsi="仿宋" w:eastAsia="仿宋"/>
          <w:sz w:val="32"/>
          <w:szCs w:val="32"/>
        </w:rPr>
        <w:t>在职人数减少导致的财政拨款减少</w:t>
      </w:r>
      <w:r>
        <w:rPr>
          <w:rFonts w:hint="eastAsia" w:ascii="仿宋" w:hAnsi="仿宋" w:eastAsia="仿宋"/>
          <w:sz w:val="32"/>
          <w:szCs w:val="32"/>
          <w:lang w:eastAsia="zh-CN"/>
        </w:rPr>
        <w:t>。</w:t>
      </w:r>
      <w:r>
        <w:rPr>
          <w:rFonts w:hint="eastAsia" w:ascii="仿宋" w:hAnsi="仿宋" w:eastAsia="仿宋" w:cs="仿宋"/>
          <w:sz w:val="32"/>
          <w:szCs w:val="32"/>
          <w:lang w:val="en-US" w:eastAsia="zh-CN"/>
        </w:rPr>
        <w:t>按照党中央、国务院和省委、省政府关于过紧日子的有关要求，厉行节约办一切事业，大力压减一般性支出，重点压减了行政运行支出，同时合理保障了监狱工作业务基本运转等工作的支出需求，体现在有关支出科目中</w:t>
      </w:r>
      <w:r>
        <w:rPr>
          <w:rFonts w:hint="eastAsia" w:ascii="仿宋" w:hAnsi="仿宋" w:eastAsia="仿宋" w:cs="仿宋_GB2312"/>
          <w:sz w:val="32"/>
          <w:szCs w:val="32"/>
        </w:rPr>
        <w:t>。</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一）20407-公共安全支出（监狱）1466.78万元。主要用于监狱民警职工日常公用经费、在职人员工资福利支出、狱政设施建设维护、狱政管理和教育改造支出等。</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（二）2080501-行政单位离退休757.73万元。主要用于监狱离退休民警职工离退休费支出。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（三）2080505-机关事业单位基本养老保险缴费支出</w:t>
      </w:r>
      <w:r>
        <w:rPr>
          <w:rFonts w:hint="eastAsia" w:ascii="仿宋" w:hAnsi="仿宋" w:eastAsia="仿宋" w:cs="仿宋_GB2312"/>
          <w:sz w:val="32"/>
          <w:szCs w:val="32"/>
        </w:rPr>
        <w:t>1328.03</w:t>
      </w:r>
      <w:r>
        <w:rPr>
          <w:rFonts w:hint="eastAsia" w:ascii="仿宋" w:hAnsi="仿宋" w:eastAsia="仿宋" w:cs="仿宋_GB2312"/>
          <w:sz w:val="32"/>
          <w:szCs w:val="32"/>
          <w:lang w:val="en-US" w:eastAsia="zh-CN"/>
        </w:rPr>
        <w:t>万元。主要用于在职人员养老保险缴费支出。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（四）2080506-机关事业单位职业年金缴费支出198万元。主要用于在职人员职业年金缴费支出。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（五）2101101-行政单位医疗893.79万元。主要用于在职人员医疗保险费缴交支出。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（六）2210201-住房公积金1789.87万元。主要用于在职人员住房公积金支出。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（七）2210202-提租补贴</w:t>
      </w:r>
      <w:r>
        <w:rPr>
          <w:rFonts w:hint="eastAsia" w:ascii="仿宋" w:hAnsi="仿宋" w:eastAsia="仿宋" w:cs="仿宋_GB2312"/>
          <w:sz w:val="32"/>
          <w:szCs w:val="32"/>
        </w:rPr>
        <w:t>259.44</w:t>
      </w:r>
      <w:r>
        <w:rPr>
          <w:rFonts w:hint="eastAsia" w:ascii="仿宋" w:hAnsi="仿宋" w:eastAsia="仿宋" w:cs="仿宋_GB2312"/>
          <w:sz w:val="32"/>
          <w:szCs w:val="32"/>
          <w:lang w:val="en-US" w:eastAsia="zh-CN"/>
        </w:rPr>
        <w:t>万元。主要用于在职人员提租补贴支出</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本单位2025年度没有使用政府性基金预算拨款安排的支出。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本单位2025年度没有使用国有资本经营预算拨款安排的支出。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五、一般公共预算拨款基本支出情况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16945.68</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15450.25</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1495.43</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，与上年持平</w:t>
      </w:r>
      <w:r>
        <w:rPr>
          <w:rFonts w:hint="eastAsia" w:ascii="仿宋" w:hAnsi="仿宋" w:eastAsia="仿宋" w:cs="仿宋_GB2312"/>
          <w:sz w:val="32"/>
          <w:szCs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3</w:t>
      </w:r>
      <w:r>
        <w:rPr>
          <w:rFonts w:hint="eastAsia" w:ascii="仿宋" w:hAnsi="仿宋" w:eastAsia="仿宋" w:cs="宋体"/>
          <w:kern w:val="0"/>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50</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：保障接待人员预计较上年有所增加情况的需要</w:t>
      </w:r>
      <w:r>
        <w:rPr>
          <w:rFonts w:hint="eastAsia" w:ascii="仿宋" w:hAnsi="仿宋" w:eastAsia="仿宋" w:cs="仿宋_GB2312"/>
          <w:sz w:val="32"/>
          <w:szCs w:val="32"/>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44</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24</w:t>
      </w:r>
      <w:r>
        <w:rPr>
          <w:rFonts w:hint="eastAsia" w:ascii="仿宋" w:hAnsi="仿宋" w:eastAsia="仿宋" w:cs="宋体"/>
          <w:kern w:val="0"/>
          <w:sz w:val="32"/>
          <w:szCs w:val="32"/>
        </w:rPr>
        <w:t>万元，</w:t>
      </w:r>
      <w:r>
        <w:rPr>
          <w:rFonts w:hint="eastAsia" w:ascii="仿宋" w:hAnsi="仿宋" w:eastAsia="仿宋" w:cs="仿宋_GB2312"/>
          <w:sz w:val="32"/>
          <w:szCs w:val="32"/>
        </w:rPr>
        <w:t>比上年减少</w:t>
      </w:r>
      <w:r>
        <w:rPr>
          <w:rFonts w:hint="eastAsia" w:ascii="仿宋" w:hAnsi="仿宋" w:eastAsia="仿宋" w:cs="仿宋_GB2312"/>
          <w:sz w:val="32"/>
          <w:szCs w:val="32"/>
          <w:lang w:val="en-US" w:eastAsia="zh-CN"/>
        </w:rPr>
        <w:t>6</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r>
        <w:rPr>
          <w:rFonts w:hint="eastAsia" w:ascii="仿宋" w:hAnsi="仿宋" w:eastAsia="仿宋" w:cs="仿宋_GB2312"/>
          <w:sz w:val="32"/>
          <w:szCs w:val="32"/>
          <w:lang w:eastAsia="zh-CN"/>
        </w:rPr>
        <w:t>，主要原因是：</w:t>
      </w:r>
      <w:r>
        <w:rPr>
          <w:rFonts w:hint="eastAsia" w:ascii="仿宋" w:hAnsi="仿宋" w:eastAsia="仿宋"/>
          <w:sz w:val="32"/>
          <w:szCs w:val="32"/>
          <w:lang w:val="en-US" w:eastAsia="zh-CN"/>
        </w:rPr>
        <w:t>是</w:t>
      </w:r>
      <w:r>
        <w:rPr>
          <w:rFonts w:hint="eastAsia" w:ascii="仿宋" w:hAnsi="仿宋" w:eastAsia="仿宋"/>
          <w:sz w:val="32"/>
          <w:szCs w:val="32"/>
        </w:rPr>
        <w:t>严格落实过紧日子要求，压减</w:t>
      </w:r>
      <w:r>
        <w:rPr>
          <w:rFonts w:hint="eastAsia" w:ascii="仿宋" w:hAnsi="仿宋" w:eastAsia="仿宋"/>
          <w:sz w:val="32"/>
          <w:szCs w:val="32"/>
          <w:lang w:eastAsia="zh-CN"/>
        </w:rPr>
        <w:t>公务车辆运行经费</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20</w:t>
      </w:r>
      <w:r>
        <w:rPr>
          <w:rFonts w:hint="eastAsia" w:ascii="仿宋" w:hAnsi="仿宋" w:eastAsia="仿宋" w:cs="宋体"/>
          <w:kern w:val="0"/>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20</w:t>
      </w:r>
      <w:r>
        <w:rPr>
          <w:rFonts w:hint="eastAsia" w:ascii="仿宋" w:hAnsi="仿宋" w:eastAsia="仿宋" w:cs="仿宋_GB2312"/>
          <w:kern w:val="0"/>
          <w:sz w:val="32"/>
          <w:szCs w:val="32"/>
        </w:rPr>
        <w:t>万元，</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w:t>
      </w:r>
      <w:r>
        <w:rPr>
          <w:rFonts w:hint="eastAsia" w:ascii="仿宋" w:hAnsi="仿宋" w:eastAsia="仿宋" w:cs="仿宋"/>
          <w:sz w:val="32"/>
          <w:szCs w:val="32"/>
          <w:lang w:val="en-US" w:eastAsia="zh-CN"/>
        </w:rPr>
        <w:t>上年公车购置未计划购置车辆，本年公车购置计划1辆，因此公车购置费比上年增加20万元</w:t>
      </w:r>
      <w:r>
        <w:rPr>
          <w:rFonts w:hint="eastAsia" w:ascii="仿宋" w:hAnsi="仿宋" w:eastAsia="仿宋" w:cs="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福建省仓山监狱</w:t>
      </w:r>
      <w:r>
        <w:rPr>
          <w:rFonts w:hint="eastAsia" w:ascii="仿宋" w:hAnsi="仿宋" w:eastAsia="仿宋" w:cs="仿宋_GB2312"/>
          <w:kern w:val="0"/>
          <w:sz w:val="32"/>
          <w:szCs w:val="32"/>
        </w:rPr>
        <w:t>按照全面实施预算绩效管理的要求，编制绩效目标并公开。</w:t>
      </w:r>
    </w:p>
    <w:p>
      <w:pPr>
        <w:tabs>
          <w:tab w:val="left" w:pos="4410"/>
        </w:tabs>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hint="eastAsia" w:ascii="仿宋" w:hAnsi="仿宋" w:eastAsia="仿宋"/>
          <w:b/>
          <w:sz w:val="32"/>
          <w:szCs w:val="32"/>
        </w:rPr>
      </w:pPr>
      <w:r>
        <w:rPr>
          <w:rFonts w:ascii="仿宋" w:hAnsi="仿宋" w:eastAsia="仿宋"/>
          <w:b/>
          <w:sz w:val="32"/>
          <w:szCs w:val="32"/>
        </w:rPr>
        <w:t>1.项目支出绩效目标表</w:t>
      </w:r>
    </w:p>
    <w:p>
      <w:pPr>
        <w:spacing w:line="590" w:lineRule="exact"/>
        <w:ind w:firstLine="627" w:firstLineChars="196"/>
        <w:rPr>
          <w:rFonts w:hint="eastAsia" w:ascii="仿宋" w:hAnsi="仿宋" w:eastAsia="仿宋" w:cs="仿宋_GB2312"/>
          <w:kern w:val="0"/>
          <w:sz w:val="32"/>
          <w:szCs w:val="32"/>
          <w:lang w:eastAsia="zh-CN"/>
        </w:rPr>
      </w:pPr>
      <w:r>
        <w:rPr>
          <w:rFonts w:hint="eastAsia" w:ascii="仿宋" w:hAnsi="仿宋" w:eastAsia="仿宋" w:cs="仿宋_GB2312"/>
          <w:kern w:val="0"/>
          <w:sz w:val="32"/>
          <w:szCs w:val="32"/>
        </w:rPr>
        <w:t>本</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无项目支出绩效目标表</w:t>
      </w:r>
      <w:r>
        <w:rPr>
          <w:rFonts w:hint="eastAsia" w:ascii="仿宋" w:hAnsi="仿宋" w:eastAsia="仿宋" w:cs="仿宋_GB2312"/>
          <w:kern w:val="0"/>
          <w:sz w:val="32"/>
          <w:szCs w:val="32"/>
          <w:lang w:eastAsia="zh-CN"/>
        </w:rPr>
        <w:t>。</w:t>
      </w:r>
    </w:p>
    <w:p>
      <w:pPr>
        <w:spacing w:line="590" w:lineRule="exact"/>
        <w:ind w:firstLine="643" w:firstLineChars="200"/>
        <w:rPr>
          <w:rFonts w:ascii="仿宋" w:hAnsi="仿宋" w:eastAsia="仿宋" w:cs="仿宋_GB2312"/>
          <w:sz w:val="32"/>
          <w:szCs w:val="32"/>
        </w:rPr>
      </w:pPr>
      <w:r>
        <w:rPr>
          <w:rFonts w:hint="eastAsia" w:ascii="仿宋" w:hAnsi="仿宋" w:eastAsia="仿宋"/>
          <w:b/>
          <w:sz w:val="32"/>
          <w:szCs w:val="32"/>
        </w:rPr>
        <w:t>2.</w:t>
      </w:r>
      <w:r>
        <w:rPr>
          <w:rFonts w:hint="eastAsia" w:ascii="仿宋" w:hAnsi="仿宋" w:eastAsia="仿宋"/>
          <w:b/>
          <w:sz w:val="32"/>
          <w:szCs w:val="32"/>
          <w:lang w:eastAsia="zh-CN"/>
        </w:rPr>
        <w:t>单位</w:t>
      </w:r>
      <w:r>
        <w:rPr>
          <w:rFonts w:hint="eastAsia" w:ascii="仿宋" w:hAnsi="仿宋" w:eastAsia="仿宋"/>
          <w:b/>
          <w:sz w:val="32"/>
          <w:szCs w:val="32"/>
        </w:rPr>
        <w:t>整体支出绩效目标表</w:t>
      </w:r>
    </w:p>
    <w:p>
      <w:pPr>
        <w:spacing w:line="590" w:lineRule="exact"/>
        <w:ind w:firstLine="630" w:firstLineChars="300"/>
        <w:rPr>
          <w:rFonts w:ascii="仿宋" w:hAnsi="仿宋" w:eastAsia="仿宋"/>
          <w:b/>
          <w:sz w:val="32"/>
          <w:szCs w:val="32"/>
        </w:rPr>
      </w:pPr>
      <w:r>
        <w:drawing>
          <wp:anchor distT="0" distB="0" distL="114300" distR="114300" simplePos="0" relativeHeight="251666432" behindDoc="0" locked="0" layoutInCell="1" allowOverlap="1">
            <wp:simplePos x="0" y="0"/>
            <wp:positionH relativeFrom="column">
              <wp:posOffset>219075</wp:posOffset>
            </wp:positionH>
            <wp:positionV relativeFrom="paragraph">
              <wp:posOffset>254000</wp:posOffset>
            </wp:positionV>
            <wp:extent cx="5272405" cy="4528820"/>
            <wp:effectExtent l="0" t="0" r="4445"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272405" cy="4528820"/>
                    </a:xfrm>
                    <a:prstGeom prst="rect">
                      <a:avLst/>
                    </a:prstGeom>
                    <a:noFill/>
                    <a:ln>
                      <a:noFill/>
                    </a:ln>
                  </pic:spPr>
                </pic:pic>
              </a:graphicData>
            </a:graphic>
          </wp:anchor>
        </w:drawing>
      </w:r>
      <w:r>
        <w:rPr>
          <w:rFonts w:hint="eastAsia" w:ascii="仿宋" w:hAnsi="仿宋" w:eastAsia="仿宋"/>
          <w:b/>
          <w:sz w:val="32"/>
          <w:szCs w:val="32"/>
        </w:rPr>
        <w:t>3</w:t>
      </w:r>
      <w:r>
        <w:rPr>
          <w:rFonts w:ascii="仿宋" w:hAnsi="仿宋" w:eastAsia="仿宋"/>
          <w:b/>
          <w:sz w:val="32"/>
          <w:szCs w:val="32"/>
        </w:rPr>
        <w:t>.有关情况说明</w:t>
      </w:r>
    </w:p>
    <w:p>
      <w:pPr>
        <w:spacing w:line="590" w:lineRule="exact"/>
        <w:ind w:firstLine="627" w:firstLineChars="196"/>
        <w:rPr>
          <w:rFonts w:hint="eastAsia" w:ascii="仿宋" w:hAnsi="仿宋" w:eastAsia="仿宋" w:cs="仿宋_GB2312"/>
          <w:kern w:val="0"/>
          <w:sz w:val="32"/>
          <w:szCs w:val="32"/>
          <w:lang w:eastAsia="zh-CN"/>
        </w:rPr>
      </w:pPr>
      <w:r>
        <w:rPr>
          <w:rFonts w:hint="eastAsia" w:ascii="仿宋" w:hAnsi="仿宋" w:eastAsia="仿宋" w:cs="仿宋_GB2312"/>
          <w:kern w:val="0"/>
          <w:sz w:val="32"/>
          <w:szCs w:val="32"/>
        </w:rPr>
        <w:t>本</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无其他需要说明的绩效目标情况</w:t>
      </w:r>
      <w:r>
        <w:rPr>
          <w:rFonts w:hint="eastAsia" w:ascii="仿宋" w:hAnsi="仿宋" w:eastAsia="仿宋" w:cs="仿宋_GB2312"/>
          <w:kern w:val="0"/>
          <w:sz w:val="32"/>
          <w:szCs w:val="32"/>
          <w:lang w:eastAsia="zh-CN"/>
        </w:rPr>
        <w:t>。</w:t>
      </w:r>
    </w:p>
    <w:p>
      <w:pPr>
        <w:spacing w:line="600" w:lineRule="exact"/>
        <w:rPr>
          <w:rFonts w:ascii="黑体" w:hAnsi="黑体" w:eastAsia="黑体"/>
          <w:sz w:val="32"/>
          <w:szCs w:val="32"/>
        </w:rPr>
      </w:pPr>
      <w:r>
        <w:rPr>
          <w:rFonts w:hint="eastAsia" w:ascii="黑体" w:hAnsi="黑体" w:eastAsia="黑体"/>
          <w:sz w:val="32"/>
          <w:szCs w:val="32"/>
        </w:rPr>
        <w:t xml:space="preserve">    八、其他重要事项说明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sz w:val="32"/>
          <w:szCs w:val="32"/>
        </w:rPr>
        <w:t>年，</w:t>
      </w:r>
      <w:r>
        <w:rPr>
          <w:rFonts w:hint="eastAsia" w:ascii="仿宋" w:hAnsi="仿宋" w:eastAsia="仿宋" w:cs="仿宋_GB2312"/>
          <w:kern w:val="0"/>
          <w:sz w:val="32"/>
          <w:szCs w:val="32"/>
          <w:lang w:eastAsia="zh-CN"/>
        </w:rPr>
        <w:t>仓山监狱</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1495.43</w:t>
      </w:r>
      <w:r>
        <w:rPr>
          <w:rFonts w:hint="eastAsia" w:ascii="仿宋" w:hAnsi="仿宋" w:eastAsia="仿宋"/>
          <w:sz w:val="32"/>
          <w:szCs w:val="32"/>
        </w:rPr>
        <w:t>万元，</w:t>
      </w:r>
      <w:r>
        <w:rPr>
          <w:rFonts w:hint="eastAsia" w:ascii="仿宋" w:hAnsi="仿宋" w:eastAsia="仿宋" w:cs="仿宋_GB2312"/>
          <w:sz w:val="32"/>
          <w:szCs w:val="32"/>
        </w:rPr>
        <w:t>比上年减少</w:t>
      </w:r>
      <w:r>
        <w:rPr>
          <w:rFonts w:hint="eastAsia" w:ascii="仿宋" w:hAnsi="仿宋" w:eastAsia="仿宋" w:cs="仿宋_GB2312"/>
          <w:sz w:val="32"/>
          <w:szCs w:val="32"/>
          <w:lang w:val="en-US" w:eastAsia="zh-CN"/>
        </w:rPr>
        <w:t>187.01</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11.12</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落实过紧日子要求，压缩一般性支出</w:t>
      </w:r>
      <w:r>
        <w:rPr>
          <w:rFonts w:hint="eastAsia" w:ascii="仿宋" w:hAnsi="仿宋" w:eastAsia="仿宋" w:cs="仿宋_GB2312"/>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2025</w:t>
      </w:r>
      <w:r>
        <w:rPr>
          <w:rFonts w:hint="eastAsia" w:ascii="仿宋" w:hAnsi="仿宋" w:eastAsia="仿宋"/>
          <w:kern w:val="0"/>
          <w:sz w:val="32"/>
          <w:szCs w:val="32"/>
        </w:rPr>
        <w:t>年，</w:t>
      </w:r>
      <w:r>
        <w:rPr>
          <w:rFonts w:hint="eastAsia" w:ascii="仿宋" w:hAnsi="仿宋" w:eastAsia="仿宋"/>
          <w:kern w:val="0"/>
          <w:sz w:val="32"/>
          <w:szCs w:val="32"/>
          <w:lang w:eastAsia="zh-CN"/>
        </w:rPr>
        <w:t>仓山监狱</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2578.34</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744.84</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390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1443.5</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仓山监狱</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10</w:t>
      </w:r>
      <w:r>
        <w:rPr>
          <w:rFonts w:hint="eastAsia" w:ascii="仿宋" w:hAnsi="仿宋" w:eastAsia="仿宋"/>
          <w:sz w:val="32"/>
          <w:szCs w:val="32"/>
        </w:rPr>
        <w:t>辆，其中：副部（省）级以上领导用车</w:t>
      </w:r>
      <w:r>
        <w:rPr>
          <w:rFonts w:hint="eastAsia" w:ascii="仿宋" w:hAnsi="仿宋" w:eastAsia="仿宋"/>
          <w:sz w:val="32"/>
          <w:szCs w:val="32"/>
          <w:lang w:val="en-US" w:eastAsia="zh-CN"/>
        </w:rPr>
        <w:t>0</w:t>
      </w:r>
      <w:r>
        <w:rPr>
          <w:rFonts w:hint="eastAsia" w:ascii="仿宋" w:hAnsi="仿宋" w:eastAsia="仿宋"/>
          <w:sz w:val="32"/>
          <w:szCs w:val="32"/>
        </w:rPr>
        <w:t>辆、主要领导干部用车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10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2025</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仿宋_GB2312"/>
          <w:kern w:val="0"/>
          <w:sz w:val="32"/>
          <w:szCs w:val="32"/>
          <w:lang w:val="en-US" w:eastAsia="zh-CN"/>
        </w:rPr>
        <w:t>1</w:t>
      </w:r>
      <w:r>
        <w:rPr>
          <w:rFonts w:hint="eastAsia" w:ascii="仿宋" w:hAnsi="仿宋" w:eastAsia="仿宋"/>
          <w:sz w:val="32"/>
          <w:szCs w:val="32"/>
        </w:rPr>
        <w:t>辆，</w:t>
      </w:r>
      <w:r>
        <w:rPr>
          <w:rFonts w:hint="eastAsia" w:ascii="仿宋" w:hAnsi="仿宋" w:eastAsia="仿宋"/>
          <w:sz w:val="32"/>
          <w:szCs w:val="32"/>
          <w:lang w:eastAsia="zh-CN"/>
        </w:rPr>
        <w:t>其中：</w:t>
      </w:r>
      <w:r>
        <w:rPr>
          <w:rFonts w:hint="eastAsia" w:ascii="仿宋" w:hAnsi="仿宋" w:eastAsia="仿宋" w:cs="仿宋_GB2312"/>
          <w:kern w:val="0"/>
          <w:sz w:val="32"/>
          <w:szCs w:val="32"/>
        </w:rPr>
        <w:t>执法执勤用车</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r>
        <w:rPr>
          <w:rFonts w:hint="eastAsia" w:ascii="黑体" w:hAnsi="黑体" w:eastAsia="黑体"/>
          <w:sz w:val="56"/>
        </w:rPr>
        <w:t>第四部分</w:t>
      </w:r>
    </w:p>
    <w:p>
      <w:pPr>
        <w:jc w:val="center"/>
        <w:rPr>
          <w:rFonts w:ascii="黑体" w:hAnsi="黑体" w:eastAsia="黑体"/>
          <w:sz w:val="56"/>
        </w:rPr>
      </w:pPr>
      <w:r>
        <w:rPr>
          <w:rFonts w:hint="eastAsia" w:ascii="黑体" w:hAnsi="黑体" w:eastAsia="黑体"/>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4"/>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4"/>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4"/>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4"/>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4"/>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4"/>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D5E41"/>
    <w:multiLevelType w:val="singleLevel"/>
    <w:tmpl w:val="7B8D5E4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02626518"/>
    <w:rsid w:val="032A5557"/>
    <w:rsid w:val="049043C3"/>
    <w:rsid w:val="08C42FAB"/>
    <w:rsid w:val="0A232419"/>
    <w:rsid w:val="0B323AE2"/>
    <w:rsid w:val="0D43174B"/>
    <w:rsid w:val="0E8B5169"/>
    <w:rsid w:val="119721D6"/>
    <w:rsid w:val="13847972"/>
    <w:rsid w:val="1695644C"/>
    <w:rsid w:val="242A3D9D"/>
    <w:rsid w:val="2B17542E"/>
    <w:rsid w:val="326C0551"/>
    <w:rsid w:val="33C07C3D"/>
    <w:rsid w:val="3E086B57"/>
    <w:rsid w:val="40740AE6"/>
    <w:rsid w:val="408B003D"/>
    <w:rsid w:val="4D424BF3"/>
    <w:rsid w:val="4E4920CB"/>
    <w:rsid w:val="58847AF3"/>
    <w:rsid w:val="58A1048B"/>
    <w:rsid w:val="5BCD1176"/>
    <w:rsid w:val="5C8B178A"/>
    <w:rsid w:val="5C995B30"/>
    <w:rsid w:val="5F08270F"/>
    <w:rsid w:val="6106166E"/>
    <w:rsid w:val="65000502"/>
    <w:rsid w:val="65CB6069"/>
    <w:rsid w:val="6D4E5733"/>
    <w:rsid w:val="711A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26" w:hangingChars="26"/>
    </w:pPr>
    <w:rPr>
      <w:rFonts w:ascii="华文中宋" w:hAnsi="华文中宋" w:eastAsia="华文中宋"/>
      <w:sz w:val="24"/>
      <w:szCs w:val="20"/>
    </w:rPr>
  </w:style>
  <w:style w:type="paragraph" w:customStyle="1" w:styleId="3">
    <w:name w:val="Body Text Indent1"/>
    <w:basedOn w:val="1"/>
    <w:qFormat/>
    <w:uiPriority w:val="0"/>
    <w:pPr>
      <w:ind w:left="420" w:leftChars="200"/>
    </w:pPr>
  </w:style>
  <w:style w:type="paragraph" w:styleId="4">
    <w:name w:val="Body Text"/>
    <w:basedOn w:val="1"/>
    <w:link w:val="12"/>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3"/>
    <w:unhideWhenUsed/>
    <w:qFormat/>
    <w:uiPriority w:val="99"/>
    <w:pPr>
      <w:spacing w:line="240" w:lineRule="auto"/>
    </w:pPr>
    <w:rPr>
      <w:sz w:val="18"/>
      <w:szCs w:val="18"/>
    </w:rPr>
  </w:style>
  <w:style w:type="paragraph" w:styleId="6">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4"/>
    <w:qFormat/>
    <w:uiPriority w:val="1"/>
    <w:rPr>
      <w:rFonts w:ascii="Times New Roman" w:hAnsi="Times New Roman" w:eastAsia="Times New Roman" w:cs="Times New Roman"/>
      <w:kern w:val="0"/>
      <w:sz w:val="20"/>
      <w:szCs w:val="20"/>
      <w:lang w:eastAsia="en-US"/>
    </w:rPr>
  </w:style>
  <w:style w:type="character" w:customStyle="1" w:styleId="13">
    <w:name w:val="批注框文本 Char"/>
    <w:basedOn w:val="9"/>
    <w:link w:val="5"/>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列出段落1"/>
    <w:basedOn w:val="1"/>
    <w:qFormat/>
    <w:uiPriority w:val="34"/>
    <w:pPr>
      <w:ind w:firstLine="420" w:firstLineChars="200"/>
    </w:pPr>
  </w:style>
  <w:style w:type="paragraph" w:styleId="16">
    <w:name w:val="List Paragraph"/>
    <w:basedOn w:val="1"/>
    <w:unhideWhenUsed/>
    <w:qFormat/>
    <w:uiPriority w:val="99"/>
    <w:pPr>
      <w:ind w:firstLine="420" w:firstLineChars="200"/>
    </w:pPr>
  </w:style>
  <w:style w:type="paragraph" w:customStyle="1" w:styleId="17">
    <w:name w:val="MsoNormal"/>
    <w:basedOn w:val="1"/>
    <w:qFormat/>
    <w:uiPriority w:val="0"/>
  </w:style>
  <w:style w:type="paragraph" w:customStyle="1" w:styleId="18">
    <w:name w:val="MsoBody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EC48-E3B8-4BA6-83AC-32DFED7968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4273</Words>
  <Characters>4576</Characters>
  <Lines>90</Lines>
  <Paragraphs>25</Paragraphs>
  <TotalTime>12</TotalTime>
  <ScaleCrop>false</ScaleCrop>
  <LinksUpToDate>false</LinksUpToDate>
  <CharactersWithSpaces>4602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农村小地主</cp:lastModifiedBy>
  <cp:lastPrinted>2024-04-02T02:55:00Z</cp:lastPrinted>
  <dcterms:modified xsi:type="dcterms:W3CDTF">2025-06-24T06:51:45Z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0B5621B5763541328402F3083333826B_13</vt:lpwstr>
  </property>
</Properties>
</file>