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distribute"/>
        <w:rPr>
          <w:rFonts w:ascii="方正小标宋简体" w:hAnsi="方正小标宋简体" w:eastAsia="方正小标宋简体" w:cs="方正小标宋简体"/>
          <w:color w:val="000000" w:themeColor="text1"/>
          <w:kern w:val="32"/>
          <w:sz w:val="44"/>
          <w:szCs w:val="44"/>
        </w:rPr>
      </w:pPr>
      <w:r>
        <w:rPr>
          <w:rFonts w:hint="eastAsia" w:ascii="方正小标宋简体" w:hAnsi="方正小标宋简体" w:eastAsia="方正小标宋简体" w:cs="方正小标宋简体"/>
          <w:color w:val="000000" w:themeColor="text1"/>
          <w:kern w:val="32"/>
          <w:sz w:val="44"/>
          <w:szCs w:val="44"/>
        </w:rPr>
        <w:t>提请减刑建议书</w:t>
      </w:r>
    </w:p>
    <w:p>
      <w:pPr>
        <w:wordWrap w:val="0"/>
        <w:jc w:val="right"/>
        <w:rPr>
          <w:rFonts w:ascii="Times New Roman" w:hAnsi="Times New Roman" w:eastAsia="楷体_GB2312" w:cs="楷体_GB2312"/>
          <w:color w:val="000000" w:themeColor="text1"/>
          <w:kern w:val="32"/>
          <w:sz w:val="32"/>
          <w:szCs w:val="32"/>
        </w:rPr>
      </w:pPr>
      <w:r>
        <w:rPr>
          <w:rFonts w:hint="eastAsia" w:ascii="Times New Roman" w:hAnsi="Times New Roman" w:eastAsia="楷体_GB2312" w:cs="楷体_GB2312"/>
          <w:color w:val="000000" w:themeColor="text1"/>
          <w:kern w:val="32"/>
          <w:sz w:val="32"/>
          <w:szCs w:val="32"/>
        </w:rPr>
        <w:t>〔20</w:t>
      </w:r>
      <w:r>
        <w:rPr>
          <w:rFonts w:hint="eastAsia" w:ascii="Times New Roman" w:hAnsi="Times New Roman" w:eastAsia="楷体_GB2312" w:cs="楷体_GB2312"/>
          <w:color w:val="000000" w:themeColor="text1"/>
          <w:kern w:val="32"/>
          <w:sz w:val="32"/>
          <w:szCs w:val="32"/>
          <w:lang w:val="en-US" w:eastAsia="zh-CN"/>
        </w:rPr>
        <w:t>25</w:t>
      </w:r>
      <w:r>
        <w:rPr>
          <w:rFonts w:hint="eastAsia" w:ascii="Times New Roman" w:hAnsi="Times New Roman" w:eastAsia="楷体_GB2312" w:cs="楷体_GB2312"/>
          <w:color w:val="000000" w:themeColor="text1"/>
          <w:kern w:val="32"/>
          <w:sz w:val="32"/>
          <w:szCs w:val="32"/>
        </w:rPr>
        <w:t>〕闽福狱减字第</w:t>
      </w:r>
      <w:r>
        <w:rPr>
          <w:rFonts w:hint="eastAsia" w:ascii="Times New Roman" w:hAnsi="Times New Roman" w:eastAsia="楷体_GB2312" w:cs="楷体_GB2312"/>
          <w:color w:val="000000" w:themeColor="text1"/>
          <w:kern w:val="32"/>
          <w:sz w:val="32"/>
          <w:szCs w:val="32"/>
          <w:lang w:val="en-US" w:eastAsia="zh-CN"/>
        </w:rPr>
        <w:t>342</w:t>
      </w:r>
      <w:r>
        <w:rPr>
          <w:rFonts w:hint="eastAsia" w:ascii="Times New Roman" w:hAnsi="Times New Roman" w:eastAsia="楷体_GB2312" w:cs="楷体_GB2312"/>
          <w:color w:val="000000" w:themeColor="text1"/>
          <w:kern w:val="32"/>
          <w:sz w:val="32"/>
          <w:szCs w:val="32"/>
        </w:rPr>
        <w:t>号</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仿宋_GB2312" w:hAnsi="宋体" w:eastAsia="仿宋_GB2312" w:cs="Calibri"/>
          <w:kern w:val="32"/>
          <w:sz w:val="32"/>
          <w:szCs w:val="32"/>
        </w:rPr>
      </w:pPr>
      <w:r>
        <w:rPr>
          <w:rFonts w:hint="eastAsia" w:ascii="Times New Roman" w:hAnsi="Times New Roman" w:eastAsia="仿宋_GB2312" w:cs="Times New Roman"/>
          <w:color w:val="000000" w:themeColor="text1"/>
          <w:kern w:val="32"/>
          <w:sz w:val="32"/>
          <w:szCs w:val="32"/>
        </w:rPr>
        <w:t xml:space="preserve">    </w:t>
      </w:r>
      <w:r>
        <w:rPr>
          <w:rFonts w:hint="eastAsia" w:ascii="仿宋_GB2312" w:hAnsi="宋体" w:eastAsia="仿宋_GB2312" w:cs="Calibri"/>
          <w:kern w:val="32"/>
          <w:sz w:val="32"/>
          <w:szCs w:val="32"/>
        </w:rPr>
        <w:t>罪犯刘万贵</w:t>
      </w:r>
      <w:bookmarkStart w:id="0" w:name="_GoBack"/>
      <w:bookmarkEnd w:id="0"/>
      <w:r>
        <w:rPr>
          <w:rFonts w:hint="eastAsia" w:ascii="仿宋_GB2312" w:hAnsi="宋体" w:eastAsia="仿宋_GB2312" w:cs="Calibri"/>
          <w:kern w:val="32"/>
          <w:sz w:val="32"/>
          <w:szCs w:val="32"/>
        </w:rPr>
        <w:t>。</w:t>
      </w: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textAlignment w:val="auto"/>
        <w:rPr>
          <w:rFonts w:ascii="仿宋_GB2312" w:hAnsi="宋体" w:eastAsia="仿宋_GB2312" w:cs="Calibri"/>
          <w:kern w:val="32"/>
          <w:sz w:val="32"/>
          <w:szCs w:val="32"/>
        </w:rPr>
      </w:pPr>
      <w:r>
        <w:rPr>
          <w:rFonts w:hint="eastAsia" w:ascii="仿宋_GB2312" w:hAnsi="宋体" w:eastAsia="仿宋_GB2312" w:cs="Calibri"/>
          <w:kern w:val="32"/>
          <w:sz w:val="32"/>
          <w:szCs w:val="32"/>
        </w:rPr>
        <w:t>福建省泉州市中级人民法院于2016年10月18日作出（2016）闽05刑初30号刑事附带民事判决，以被告人刘万贵犯故意伤害罪，判处有期徒刑十五年，剥夺政治权利三年。被告人刘万贵、陈开振、陈开宝、刘伟镔、李亮、附带民事诉讼被告人黄志生、尤爱珍、黄福亮、刘清云共同赔偿附带民事诉讼原告人齐保凤、王南飞、王雨辰、吴雪娣的经济损失人民币346054.4元，被告人黄志生、尤爱珍、黄福亮、刘清云</w:t>
      </w:r>
      <w:r>
        <w:rPr>
          <w:rFonts w:hint="eastAsia" w:ascii="仿宋_GB2312" w:hAnsi="宋体" w:eastAsia="仿宋_GB2312" w:cs="Calibri"/>
          <w:kern w:val="32"/>
          <w:sz w:val="32"/>
          <w:szCs w:val="32"/>
          <w:lang w:eastAsia="zh-CN"/>
        </w:rPr>
        <w:t>预缴四万元，</w:t>
      </w:r>
      <w:r>
        <w:rPr>
          <w:rFonts w:hint="eastAsia" w:ascii="仿宋_GB2312" w:hAnsi="宋体" w:eastAsia="仿宋_GB2312" w:cs="Calibri"/>
          <w:kern w:val="32"/>
          <w:sz w:val="32"/>
          <w:szCs w:val="32"/>
        </w:rPr>
        <w:t>被告人刘万贵应承担人民币173054.4元，</w:t>
      </w:r>
      <w:r>
        <w:rPr>
          <w:rFonts w:hint="eastAsia" w:ascii="仿宋_GB2312" w:hAnsi="宋体" w:eastAsia="仿宋_GB2312" w:cs="Calibri"/>
          <w:kern w:val="32"/>
          <w:sz w:val="32"/>
          <w:szCs w:val="32"/>
          <w:lang w:eastAsia="zh-CN"/>
        </w:rPr>
        <w:t>已缴交五万元；</w:t>
      </w:r>
      <w:r>
        <w:rPr>
          <w:rFonts w:hint="eastAsia" w:ascii="仿宋_GB2312" w:hAnsi="宋体" w:eastAsia="仿宋_GB2312" w:cs="Calibri"/>
          <w:kern w:val="32"/>
          <w:sz w:val="32"/>
          <w:szCs w:val="32"/>
        </w:rPr>
        <w:t>上列被告人及附带民事诉讼被告人应对上诉赔偿款项互负连带赔偿责任</w:t>
      </w:r>
      <w:r>
        <w:rPr>
          <w:rFonts w:hint="eastAsia" w:ascii="仿宋_GB2312" w:hAnsi="宋体" w:eastAsia="仿宋_GB2312" w:cs="Calibri"/>
          <w:kern w:val="32"/>
          <w:sz w:val="32"/>
          <w:szCs w:val="32"/>
          <w:lang w:val="en-US" w:eastAsia="zh-CN"/>
        </w:rPr>
        <w:t>256054.4元</w:t>
      </w:r>
      <w:r>
        <w:rPr>
          <w:rFonts w:hint="eastAsia" w:ascii="仿宋_GB2312" w:hAnsi="宋体" w:eastAsia="仿宋_GB2312" w:cs="Calibri"/>
          <w:kern w:val="32"/>
          <w:sz w:val="32"/>
          <w:szCs w:val="32"/>
        </w:rPr>
        <w:t>。宣判后，被告人不服，提出上诉，福建省高级人民法院于2017年2月22日作出（2016）闽刑终430号刑事裁定，驳回上诉，维持原判。刑期自2015年3月24日起至2030年3月23日止。于2017年4月20日送福建省福州监狱执行刑罚。2019年7月23日福州市中级人民法院作出（2019）闽01刑更4336号刑事裁定，减去有期徒刑七个月，剥夺政治权利三年不变</w:t>
      </w:r>
      <w:r>
        <w:rPr>
          <w:rFonts w:hint="eastAsia" w:ascii="仿宋_GB2312" w:hAnsi="宋体" w:eastAsia="仿宋_GB2312" w:cs="Calibri"/>
          <w:kern w:val="32"/>
          <w:sz w:val="32"/>
          <w:szCs w:val="32"/>
          <w:lang w:eastAsia="zh-CN"/>
        </w:rPr>
        <w:t>；</w:t>
      </w:r>
      <w:r>
        <w:rPr>
          <w:rFonts w:hint="eastAsia" w:ascii="仿宋_GB2312" w:hAnsi="宋体" w:eastAsia="仿宋_GB2312" w:cs="Calibri"/>
          <w:kern w:val="32"/>
          <w:sz w:val="32"/>
          <w:szCs w:val="32"/>
        </w:rPr>
        <w:t>2022年3月17日福州市中级人民法院作出（2022）闽01刑更883号刑事裁定，减去有期徒刑六个月，剥夺政治权利三年不变，于2022年3月19日送达裁定。现刑期自2015年3月24日至2029年2月23日止。现属普管级罪犯。</w:t>
      </w:r>
    </w:p>
    <w:p>
      <w:pPr>
        <w:keepNext w:val="0"/>
        <w:keepLines w:val="0"/>
        <w:pageBreakBefore w:val="0"/>
        <w:widowControl w:val="0"/>
        <w:kinsoku/>
        <w:wordWrap/>
        <w:overflowPunct/>
        <w:topLinePunct w:val="0"/>
        <w:bidi w:val="0"/>
        <w:snapToGrid/>
        <w:spacing w:line="320" w:lineRule="exact"/>
        <w:ind w:firstLine="640" w:firstLineChars="200"/>
        <w:textAlignment w:val="auto"/>
        <w:rPr>
          <w:rFonts w:ascii="仿宋_GB2312" w:hAnsi="宋体" w:eastAsia="仿宋_GB2312" w:cs="Calibri"/>
          <w:kern w:val="32"/>
          <w:sz w:val="32"/>
          <w:szCs w:val="32"/>
        </w:rPr>
      </w:pPr>
      <w:r>
        <w:rPr>
          <w:rFonts w:hint="eastAsia" w:ascii="仿宋_GB2312" w:hAnsi="宋体" w:eastAsia="仿宋_GB2312" w:cs="Calibri"/>
          <w:kern w:val="32"/>
          <w:sz w:val="32"/>
          <w:szCs w:val="32"/>
        </w:rPr>
        <w:t>罪犯刘万贵在服刑期间，确有悔改表现：</w:t>
      </w:r>
    </w:p>
    <w:p>
      <w:pPr>
        <w:keepNext w:val="0"/>
        <w:keepLines w:val="0"/>
        <w:pageBreakBefore w:val="0"/>
        <w:widowControl w:val="0"/>
        <w:kinsoku/>
        <w:wordWrap/>
        <w:overflowPunct/>
        <w:topLinePunct w:val="0"/>
        <w:autoSpaceDE w:val="0"/>
        <w:autoSpaceDN w:val="0"/>
        <w:bidi w:val="0"/>
        <w:adjustRightInd w:val="0"/>
        <w:snapToGrid/>
        <w:spacing w:line="320" w:lineRule="exact"/>
        <w:ind w:firstLine="600"/>
        <w:textAlignment w:val="auto"/>
        <w:rPr>
          <w:rFonts w:ascii="仿宋_GB2312" w:hAnsi="宋体" w:eastAsia="仿宋_GB2312" w:cs="Calibri"/>
          <w:kern w:val="32"/>
          <w:sz w:val="32"/>
          <w:szCs w:val="32"/>
        </w:rPr>
      </w:pPr>
      <w:r>
        <w:rPr>
          <w:rFonts w:ascii="仿宋_GB2312" w:hAnsi="宋体" w:eastAsia="仿宋_GB2312" w:cs="Calibri"/>
          <w:kern w:val="32"/>
          <w:sz w:val="32"/>
          <w:szCs w:val="32"/>
        </w:rPr>
        <w:t>1.</w:t>
      </w:r>
      <w:r>
        <w:rPr>
          <w:rFonts w:hint="eastAsia" w:ascii="仿宋_GB2312" w:hAnsi="宋体" w:eastAsia="仿宋_GB2312" w:cs="Calibri"/>
          <w:kern w:val="32"/>
          <w:sz w:val="32"/>
          <w:szCs w:val="32"/>
        </w:rPr>
        <w:t>认罪悔罪：能服从法院判决，自书认罪悔罪书。</w:t>
      </w:r>
    </w:p>
    <w:p>
      <w:pPr>
        <w:keepNext w:val="0"/>
        <w:keepLines w:val="0"/>
        <w:pageBreakBefore w:val="0"/>
        <w:widowControl w:val="0"/>
        <w:kinsoku/>
        <w:wordWrap/>
        <w:overflowPunct/>
        <w:topLinePunct w:val="0"/>
        <w:autoSpaceDE w:val="0"/>
        <w:autoSpaceDN w:val="0"/>
        <w:bidi w:val="0"/>
        <w:adjustRightInd w:val="0"/>
        <w:snapToGrid/>
        <w:spacing w:line="320" w:lineRule="exact"/>
        <w:ind w:firstLine="600"/>
        <w:textAlignment w:val="auto"/>
        <w:rPr>
          <w:rFonts w:ascii="仿宋_GB2312" w:hAnsi="宋体" w:eastAsia="仿宋_GB2312" w:cs="Calibri"/>
          <w:kern w:val="32"/>
          <w:sz w:val="32"/>
          <w:szCs w:val="32"/>
        </w:rPr>
      </w:pPr>
      <w:r>
        <w:rPr>
          <w:rFonts w:ascii="仿宋_GB2312" w:hAnsi="宋体" w:eastAsia="仿宋_GB2312" w:cs="Calibri"/>
          <w:kern w:val="32"/>
          <w:sz w:val="32"/>
          <w:szCs w:val="32"/>
        </w:rPr>
        <w:t>2.</w:t>
      </w:r>
      <w:r>
        <w:rPr>
          <w:rFonts w:hint="eastAsia" w:ascii="仿宋_GB2312" w:hAnsi="宋体" w:eastAsia="仿宋_GB2312" w:cs="Calibri"/>
          <w:kern w:val="32"/>
          <w:sz w:val="32"/>
          <w:szCs w:val="32"/>
        </w:rPr>
        <w:t>遵守监规：能遵守法律法规及监规纪律，接受教育改造。</w:t>
      </w:r>
    </w:p>
    <w:p>
      <w:pPr>
        <w:keepNext w:val="0"/>
        <w:keepLines w:val="0"/>
        <w:pageBreakBefore w:val="0"/>
        <w:widowControl w:val="0"/>
        <w:kinsoku/>
        <w:wordWrap/>
        <w:overflowPunct/>
        <w:topLinePunct w:val="0"/>
        <w:bidi w:val="0"/>
        <w:snapToGrid/>
        <w:spacing w:line="320" w:lineRule="exact"/>
        <w:ind w:firstLine="640" w:firstLineChars="200"/>
        <w:textAlignment w:val="auto"/>
        <w:rPr>
          <w:rFonts w:ascii="仿宋_GB2312" w:hAnsi="宋体" w:eastAsia="仿宋_GB2312" w:cs="Calibri"/>
          <w:kern w:val="32"/>
          <w:sz w:val="32"/>
          <w:szCs w:val="32"/>
        </w:rPr>
      </w:pPr>
      <w:r>
        <w:rPr>
          <w:rFonts w:ascii="仿宋_GB2312" w:hAnsi="宋体" w:eastAsia="仿宋_GB2312" w:cs="Calibri"/>
          <w:kern w:val="32"/>
          <w:sz w:val="32"/>
          <w:szCs w:val="32"/>
        </w:rPr>
        <w:t>3.</w:t>
      </w:r>
      <w:r>
        <w:rPr>
          <w:rFonts w:hint="eastAsia" w:ascii="仿宋_GB2312" w:hAnsi="宋体" w:eastAsia="仿宋_GB2312" w:cs="Calibri"/>
          <w:kern w:val="32"/>
          <w:sz w:val="32"/>
          <w:szCs w:val="32"/>
        </w:rPr>
        <w:t>学习情况：能积极参加思想、文化、职业技术学习。</w:t>
      </w:r>
    </w:p>
    <w:p>
      <w:pPr>
        <w:keepNext w:val="0"/>
        <w:keepLines w:val="0"/>
        <w:pageBreakBefore w:val="0"/>
        <w:widowControl w:val="0"/>
        <w:kinsoku/>
        <w:wordWrap/>
        <w:overflowPunct/>
        <w:topLinePunct w:val="0"/>
        <w:bidi w:val="0"/>
        <w:snapToGrid/>
        <w:spacing w:line="320" w:lineRule="exact"/>
        <w:ind w:firstLine="640" w:firstLineChars="200"/>
        <w:textAlignment w:val="auto"/>
        <w:rPr>
          <w:rFonts w:ascii="仿宋_GB2312" w:hAnsi="宋体" w:eastAsia="仿宋_GB2312" w:cs="Calibri"/>
          <w:kern w:val="32"/>
          <w:sz w:val="32"/>
          <w:szCs w:val="32"/>
        </w:rPr>
      </w:pPr>
      <w:r>
        <w:rPr>
          <w:rFonts w:ascii="仿宋_GB2312" w:hAnsi="宋体" w:eastAsia="仿宋_GB2312" w:cs="Calibri"/>
          <w:kern w:val="32"/>
          <w:sz w:val="32"/>
          <w:szCs w:val="32"/>
        </w:rPr>
        <w:t>4.</w:t>
      </w:r>
      <w:r>
        <w:rPr>
          <w:rFonts w:hint="eastAsia" w:ascii="仿宋_GB2312" w:hAnsi="宋体" w:eastAsia="仿宋_GB2312" w:cs="Calibri"/>
          <w:kern w:val="32"/>
          <w:sz w:val="32"/>
          <w:szCs w:val="32"/>
        </w:rPr>
        <w:t>劳动改造：能积极参加劳动，努力完成生产任务。</w:t>
      </w:r>
    </w:p>
    <w:p>
      <w:pPr>
        <w:keepNext w:val="0"/>
        <w:keepLines w:val="0"/>
        <w:pageBreakBefore w:val="0"/>
        <w:widowControl w:val="0"/>
        <w:kinsoku/>
        <w:wordWrap/>
        <w:overflowPunct/>
        <w:topLinePunct w:val="0"/>
        <w:bidi w:val="0"/>
        <w:snapToGrid/>
        <w:spacing w:line="320" w:lineRule="exact"/>
        <w:ind w:firstLine="640" w:firstLineChars="200"/>
        <w:textAlignment w:val="auto"/>
        <w:rPr>
          <w:rFonts w:ascii="仿宋_GB2312" w:hAnsi="宋体" w:eastAsia="仿宋_GB2312" w:cs="Calibri"/>
          <w:kern w:val="32"/>
          <w:sz w:val="32"/>
          <w:szCs w:val="32"/>
        </w:rPr>
      </w:pPr>
      <w:r>
        <w:rPr>
          <w:rFonts w:ascii="仿宋_GB2312" w:hAnsi="宋体" w:eastAsia="仿宋_GB2312" w:cs="Calibri"/>
          <w:kern w:val="32"/>
          <w:sz w:val="32"/>
          <w:szCs w:val="32"/>
        </w:rPr>
        <w:t>5.</w:t>
      </w:r>
      <w:r>
        <w:rPr>
          <w:rFonts w:hint="eastAsia" w:ascii="仿宋_GB2312" w:hAnsi="宋体" w:eastAsia="仿宋_GB2312" w:cs="Calibri"/>
          <w:kern w:val="32"/>
          <w:sz w:val="32"/>
          <w:szCs w:val="32"/>
        </w:rPr>
        <w:t>奖惩情况：</w:t>
      </w:r>
    </w:p>
    <w:p>
      <w:pPr>
        <w:keepNext w:val="0"/>
        <w:keepLines w:val="0"/>
        <w:pageBreakBefore w:val="0"/>
        <w:widowControl w:val="0"/>
        <w:kinsoku/>
        <w:wordWrap/>
        <w:overflowPunct/>
        <w:topLinePunct w:val="0"/>
        <w:bidi w:val="0"/>
        <w:snapToGrid/>
        <w:spacing w:line="320" w:lineRule="exact"/>
        <w:textAlignment w:val="auto"/>
        <w:rPr>
          <w:rFonts w:ascii="仿宋_GB2312" w:hAnsi="宋体" w:eastAsia="仿宋_GB2312" w:cs="Calibri"/>
          <w:kern w:val="32"/>
          <w:sz w:val="32"/>
          <w:szCs w:val="32"/>
        </w:rPr>
      </w:pPr>
      <w:r>
        <w:rPr>
          <w:rFonts w:hint="eastAsia" w:ascii="仿宋_GB2312" w:hAnsi="宋体" w:eastAsia="仿宋_GB2312" w:cs="Calibri"/>
          <w:kern w:val="32"/>
          <w:sz w:val="32"/>
          <w:szCs w:val="32"/>
        </w:rPr>
        <w:t xml:space="preserve">    </w:t>
      </w:r>
      <w:r>
        <w:rPr>
          <w:rFonts w:hint="eastAsia" w:ascii="仿宋_GB2312" w:hAnsi="宋体" w:eastAsia="仿宋_GB2312" w:cs="Calibri"/>
          <w:color w:val="auto"/>
          <w:kern w:val="32"/>
          <w:sz w:val="32"/>
          <w:szCs w:val="32"/>
        </w:rPr>
        <w:t>该犯上次评定表扬剩余44.1分，本轮考核期2021年11月至202</w:t>
      </w:r>
      <w:r>
        <w:rPr>
          <w:rFonts w:hint="eastAsia" w:ascii="仿宋_GB2312" w:hAnsi="宋体" w:eastAsia="仿宋_GB2312" w:cs="Calibri"/>
          <w:color w:val="auto"/>
          <w:kern w:val="32"/>
          <w:sz w:val="32"/>
          <w:szCs w:val="32"/>
          <w:lang w:val="en-US" w:eastAsia="zh-CN"/>
        </w:rPr>
        <w:t>5</w:t>
      </w:r>
      <w:r>
        <w:rPr>
          <w:rFonts w:hint="eastAsia" w:ascii="仿宋_GB2312" w:hAnsi="宋体" w:eastAsia="仿宋_GB2312" w:cs="Calibri"/>
          <w:color w:val="auto"/>
          <w:kern w:val="32"/>
          <w:sz w:val="32"/>
          <w:szCs w:val="32"/>
        </w:rPr>
        <w:t>年5月累计获</w:t>
      </w:r>
      <w:r>
        <w:rPr>
          <w:rFonts w:hint="eastAsia" w:ascii="仿宋_GB2312" w:hAnsi="宋体" w:eastAsia="仿宋_GB2312" w:cs="Calibri"/>
          <w:color w:val="auto"/>
          <w:kern w:val="32"/>
          <w:sz w:val="32"/>
          <w:szCs w:val="32"/>
          <w:lang w:val="en-US" w:eastAsia="zh-CN"/>
        </w:rPr>
        <w:t>4514</w:t>
      </w:r>
      <w:r>
        <w:rPr>
          <w:rFonts w:hint="eastAsia" w:ascii="仿宋_GB2312" w:hAnsi="宋体" w:eastAsia="仿宋_GB2312" w:cs="Calibri"/>
          <w:color w:val="auto"/>
          <w:kern w:val="32"/>
          <w:sz w:val="32"/>
          <w:szCs w:val="32"/>
        </w:rPr>
        <w:t>分，合计获</w:t>
      </w:r>
      <w:r>
        <w:rPr>
          <w:rFonts w:hint="eastAsia" w:ascii="仿宋_GB2312" w:hAnsi="宋体" w:eastAsia="仿宋_GB2312" w:cs="Calibri"/>
          <w:color w:val="auto"/>
          <w:kern w:val="32"/>
          <w:sz w:val="32"/>
          <w:szCs w:val="32"/>
          <w:lang w:val="en-US" w:eastAsia="zh-CN"/>
        </w:rPr>
        <w:t>4558.1</w:t>
      </w:r>
      <w:r>
        <w:rPr>
          <w:rFonts w:hint="eastAsia" w:ascii="仿宋_GB2312" w:hAnsi="宋体" w:eastAsia="仿宋_GB2312" w:cs="Calibri"/>
          <w:color w:val="auto"/>
          <w:kern w:val="32"/>
          <w:sz w:val="32"/>
          <w:szCs w:val="32"/>
        </w:rPr>
        <w:t>分，表扬</w:t>
      </w:r>
      <w:r>
        <w:rPr>
          <w:rFonts w:hint="eastAsia" w:ascii="仿宋_GB2312" w:hAnsi="宋体" w:eastAsia="仿宋_GB2312" w:cs="Calibri"/>
          <w:color w:val="auto"/>
          <w:kern w:val="32"/>
          <w:sz w:val="32"/>
          <w:szCs w:val="32"/>
          <w:lang w:val="en-US" w:eastAsia="zh-CN"/>
        </w:rPr>
        <w:t>7</w:t>
      </w:r>
      <w:r>
        <w:rPr>
          <w:rFonts w:hint="eastAsia" w:ascii="仿宋_GB2312" w:hAnsi="宋体" w:eastAsia="仿宋_GB2312" w:cs="Calibri"/>
          <w:color w:val="auto"/>
          <w:kern w:val="32"/>
          <w:sz w:val="32"/>
          <w:szCs w:val="32"/>
        </w:rPr>
        <w:t>次；间隔期2022年4月至202</w:t>
      </w:r>
      <w:r>
        <w:rPr>
          <w:rFonts w:hint="eastAsia" w:ascii="仿宋_GB2312" w:hAnsi="宋体" w:eastAsia="仿宋_GB2312" w:cs="Calibri"/>
          <w:color w:val="auto"/>
          <w:kern w:val="32"/>
          <w:sz w:val="32"/>
          <w:szCs w:val="32"/>
          <w:lang w:val="en-US" w:eastAsia="zh-CN"/>
        </w:rPr>
        <w:t>5</w:t>
      </w:r>
      <w:r>
        <w:rPr>
          <w:rFonts w:hint="eastAsia" w:ascii="仿宋_GB2312" w:hAnsi="宋体" w:eastAsia="仿宋_GB2312" w:cs="Calibri"/>
          <w:color w:val="auto"/>
          <w:kern w:val="32"/>
          <w:sz w:val="32"/>
          <w:szCs w:val="32"/>
        </w:rPr>
        <w:t xml:space="preserve"> 年5月，获</w:t>
      </w:r>
      <w:r>
        <w:rPr>
          <w:rFonts w:hint="eastAsia" w:ascii="仿宋_GB2312" w:hAnsi="宋体" w:eastAsia="仿宋_GB2312" w:cs="Calibri"/>
          <w:color w:val="auto"/>
          <w:kern w:val="32"/>
          <w:sz w:val="32"/>
          <w:szCs w:val="32"/>
          <w:lang w:val="en-US" w:eastAsia="zh-CN"/>
        </w:rPr>
        <w:t>3997.1</w:t>
      </w:r>
      <w:r>
        <w:rPr>
          <w:rFonts w:hint="eastAsia" w:ascii="仿宋_GB2312" w:hAnsi="宋体" w:eastAsia="仿宋_GB2312" w:cs="Calibri"/>
          <w:color w:val="auto"/>
          <w:kern w:val="32"/>
          <w:sz w:val="32"/>
          <w:szCs w:val="32"/>
        </w:rPr>
        <w:t>分。考核期内无违规扣分。</w:t>
      </w:r>
    </w:p>
    <w:p>
      <w:pPr>
        <w:keepNext w:val="0"/>
        <w:keepLines w:val="0"/>
        <w:pageBreakBefore w:val="0"/>
        <w:widowControl w:val="0"/>
        <w:kinsoku/>
        <w:wordWrap/>
        <w:overflowPunct/>
        <w:topLinePunct w:val="0"/>
        <w:bidi w:val="0"/>
        <w:snapToGrid/>
        <w:spacing w:line="320" w:lineRule="exact"/>
        <w:jc w:val="left"/>
        <w:textAlignment w:val="auto"/>
        <w:rPr>
          <w:rFonts w:ascii="仿宋_GB2312" w:hAnsi="宋体" w:eastAsia="仿宋_GB2312" w:cs="Calibri"/>
          <w:kern w:val="32"/>
          <w:sz w:val="32"/>
          <w:szCs w:val="32"/>
        </w:rPr>
      </w:pPr>
      <w:r>
        <w:rPr>
          <w:rFonts w:hint="eastAsia" w:ascii="仿宋_GB2312" w:hAnsi="宋体" w:eastAsia="仿宋_GB2312" w:cs="Calibri"/>
          <w:kern w:val="32"/>
          <w:sz w:val="32"/>
          <w:szCs w:val="32"/>
        </w:rPr>
        <w:t xml:space="preserve">     行政处罚：无。</w:t>
      </w:r>
    </w:p>
    <w:p>
      <w:pPr>
        <w:keepNext w:val="0"/>
        <w:keepLines w:val="0"/>
        <w:pageBreakBefore w:val="0"/>
        <w:widowControl w:val="0"/>
        <w:kinsoku/>
        <w:wordWrap/>
        <w:overflowPunct/>
        <w:topLinePunct w:val="0"/>
        <w:bidi w:val="0"/>
        <w:snapToGrid/>
        <w:spacing w:line="320" w:lineRule="exact"/>
        <w:jc w:val="left"/>
        <w:textAlignment w:val="auto"/>
        <w:rPr>
          <w:rFonts w:ascii="仿宋_GB2312" w:hAnsi="宋体" w:eastAsia="仿宋_GB2312" w:cs="Calibri"/>
          <w:color w:val="FF0000"/>
          <w:kern w:val="32"/>
          <w:sz w:val="32"/>
          <w:szCs w:val="32"/>
        </w:rPr>
      </w:pPr>
      <w:r>
        <w:rPr>
          <w:rFonts w:hint="eastAsia" w:ascii="仿宋_GB2312" w:hAnsi="宋体" w:eastAsia="仿宋_GB2312" w:cs="Calibri"/>
          <w:kern w:val="32"/>
          <w:sz w:val="32"/>
          <w:szCs w:val="32"/>
        </w:rPr>
        <w:t xml:space="preserve">     </w:t>
      </w:r>
      <w:r>
        <w:rPr>
          <w:rFonts w:hint="eastAsia" w:ascii="仿宋_GB2312" w:hAnsi="宋体" w:eastAsia="仿宋_GB2312" w:cs="Calibri"/>
          <w:color w:val="auto"/>
          <w:kern w:val="32"/>
          <w:sz w:val="32"/>
          <w:szCs w:val="32"/>
        </w:rPr>
        <w:t>行政奖励：获表扬</w:t>
      </w:r>
      <w:r>
        <w:rPr>
          <w:rFonts w:hint="eastAsia" w:ascii="仿宋_GB2312" w:hAnsi="宋体" w:eastAsia="仿宋_GB2312" w:cs="Calibri"/>
          <w:color w:val="auto"/>
          <w:kern w:val="32"/>
          <w:sz w:val="32"/>
          <w:szCs w:val="32"/>
          <w:lang w:val="en-US" w:eastAsia="zh-CN"/>
        </w:rPr>
        <w:t>7</w:t>
      </w:r>
      <w:r>
        <w:rPr>
          <w:rFonts w:hint="eastAsia" w:ascii="仿宋_GB2312" w:hAnsi="宋体" w:eastAsia="仿宋_GB2312" w:cs="Calibri"/>
          <w:color w:val="auto"/>
          <w:kern w:val="32"/>
          <w:sz w:val="32"/>
          <w:szCs w:val="32"/>
        </w:rPr>
        <w:t>次，即2022年5月、2022年11月、2023年4月、2023年10月、2024年3月</w:t>
      </w:r>
      <w:r>
        <w:rPr>
          <w:rFonts w:hint="eastAsia" w:ascii="仿宋_GB2312" w:hAnsi="宋体" w:eastAsia="仿宋_GB2312" w:cs="Calibri"/>
          <w:color w:val="auto"/>
          <w:kern w:val="32"/>
          <w:sz w:val="32"/>
          <w:szCs w:val="32"/>
          <w:lang w:eastAsia="zh-CN"/>
        </w:rPr>
        <w:t>、</w:t>
      </w:r>
      <w:r>
        <w:rPr>
          <w:rFonts w:hint="eastAsia" w:ascii="仿宋_GB2312" w:hAnsi="宋体" w:eastAsia="仿宋_GB2312" w:cs="Calibri"/>
          <w:color w:val="auto"/>
          <w:kern w:val="32"/>
          <w:sz w:val="32"/>
          <w:szCs w:val="32"/>
          <w:lang w:val="en-US" w:eastAsia="zh-CN"/>
        </w:rPr>
        <w:t>2024年9月、2025年3月</w:t>
      </w:r>
      <w:r>
        <w:rPr>
          <w:rFonts w:hint="eastAsia" w:ascii="仿宋_GB2312" w:hAnsi="宋体" w:eastAsia="仿宋_GB2312" w:cs="Calibri"/>
          <w:color w:val="auto"/>
          <w:kern w:val="32"/>
          <w:sz w:val="32"/>
          <w:szCs w:val="32"/>
        </w:rPr>
        <w:t>分别获表扬一次。</w:t>
      </w:r>
    </w:p>
    <w:p>
      <w:pPr>
        <w:keepNext w:val="0"/>
        <w:keepLines w:val="0"/>
        <w:pageBreakBefore w:val="0"/>
        <w:widowControl w:val="0"/>
        <w:kinsoku/>
        <w:wordWrap/>
        <w:overflowPunct/>
        <w:topLinePunct w:val="0"/>
        <w:bidi w:val="0"/>
        <w:snapToGrid/>
        <w:spacing w:line="320" w:lineRule="exact"/>
        <w:jc w:val="left"/>
        <w:textAlignment w:val="auto"/>
        <w:rPr>
          <w:rFonts w:ascii="仿宋_GB2312" w:hAnsi="宋体" w:eastAsia="仿宋_GB2312" w:cs="Calibri"/>
          <w:color w:val="FF0000"/>
          <w:kern w:val="32"/>
          <w:sz w:val="32"/>
          <w:szCs w:val="32"/>
        </w:rPr>
      </w:pPr>
      <w:r>
        <w:rPr>
          <w:rFonts w:hint="eastAsia" w:ascii="仿宋_GB2312" w:hAnsi="宋体" w:eastAsia="仿宋_GB2312" w:cs="Calibri"/>
          <w:kern w:val="32"/>
          <w:sz w:val="32"/>
          <w:szCs w:val="32"/>
        </w:rPr>
        <w:t xml:space="preserve">    6.罪犯财产性判项履行情况：</w:t>
      </w:r>
      <w:r>
        <w:rPr>
          <w:rFonts w:hint="eastAsia" w:ascii="仿宋_GB2312" w:hAnsi="宋体" w:eastAsia="仿宋_GB2312" w:cs="Calibri"/>
          <w:kern w:val="32"/>
          <w:sz w:val="32"/>
          <w:szCs w:val="32"/>
          <w:lang w:eastAsia="zh-CN"/>
        </w:rPr>
        <w:t>该犯</w:t>
      </w:r>
      <w:r>
        <w:rPr>
          <w:rFonts w:hint="eastAsia" w:ascii="仿宋_GB2312" w:hAnsi="宋体" w:eastAsia="仿宋_GB2312" w:cs="Calibri"/>
          <w:kern w:val="32"/>
          <w:sz w:val="32"/>
          <w:szCs w:val="32"/>
        </w:rPr>
        <w:t>应承担</w:t>
      </w:r>
      <w:r>
        <w:rPr>
          <w:rFonts w:hint="eastAsia" w:ascii="仿宋_GB2312" w:hAnsi="宋体" w:eastAsia="仿宋_GB2312" w:cs="Calibri"/>
          <w:kern w:val="32"/>
          <w:sz w:val="32"/>
          <w:szCs w:val="32"/>
          <w:lang w:eastAsia="zh-CN"/>
        </w:rPr>
        <w:t>赔偿</w:t>
      </w:r>
      <w:r>
        <w:rPr>
          <w:rFonts w:hint="eastAsia" w:ascii="仿宋_GB2312" w:hAnsi="宋体" w:eastAsia="仿宋_GB2312" w:cs="Calibri"/>
          <w:kern w:val="32"/>
          <w:sz w:val="32"/>
          <w:szCs w:val="32"/>
        </w:rPr>
        <w:t>人民币173054.4元，已履行个人赔偿人民币5</w:t>
      </w:r>
      <w:r>
        <w:rPr>
          <w:rFonts w:hint="eastAsia" w:ascii="仿宋_GB2312" w:hAnsi="宋体" w:eastAsia="仿宋_GB2312" w:cs="Calibri"/>
          <w:kern w:val="32"/>
          <w:sz w:val="32"/>
          <w:szCs w:val="32"/>
          <w:lang w:val="en-US" w:eastAsia="zh-CN"/>
        </w:rPr>
        <w:t>3</w:t>
      </w:r>
      <w:r>
        <w:rPr>
          <w:rFonts w:hint="eastAsia" w:ascii="仿宋_GB2312" w:hAnsi="宋体" w:eastAsia="仿宋_GB2312" w:cs="Calibri"/>
          <w:kern w:val="32"/>
          <w:sz w:val="32"/>
          <w:szCs w:val="32"/>
        </w:rPr>
        <w:t>000元，余12</w:t>
      </w:r>
      <w:r>
        <w:rPr>
          <w:rFonts w:hint="eastAsia" w:ascii="仿宋_GB2312" w:hAnsi="宋体" w:eastAsia="仿宋_GB2312" w:cs="Calibri"/>
          <w:kern w:val="32"/>
          <w:sz w:val="32"/>
          <w:szCs w:val="32"/>
          <w:lang w:val="en-US" w:eastAsia="zh-CN"/>
        </w:rPr>
        <w:t>0</w:t>
      </w:r>
      <w:r>
        <w:rPr>
          <w:rFonts w:hint="eastAsia" w:ascii="仿宋_GB2312" w:hAnsi="宋体" w:eastAsia="仿宋_GB2312" w:cs="Calibri"/>
          <w:kern w:val="32"/>
          <w:sz w:val="32"/>
          <w:szCs w:val="32"/>
        </w:rPr>
        <w:t>054.4元未赔偿。</w:t>
      </w:r>
      <w:r>
        <w:rPr>
          <w:rFonts w:hint="eastAsia" w:ascii="仿宋_GB2312" w:hAnsi="宋体" w:eastAsia="仿宋_GB2312" w:cs="Calibri"/>
          <w:kern w:val="32"/>
          <w:sz w:val="32"/>
          <w:szCs w:val="32"/>
          <w:lang w:eastAsia="zh-CN"/>
        </w:rPr>
        <w:t>其中</w:t>
      </w:r>
      <w:r>
        <w:rPr>
          <w:rFonts w:hint="eastAsia" w:ascii="仿宋_GB2312" w:hAnsi="宋体" w:eastAsia="仿宋_GB2312" w:cs="Calibri"/>
          <w:kern w:val="32"/>
          <w:sz w:val="32"/>
          <w:szCs w:val="32"/>
        </w:rPr>
        <w:t>本次减刑申请监狱代缴购物卡内余额3000元作为赔偿。</w:t>
      </w:r>
      <w:r>
        <w:rPr>
          <w:rFonts w:hint="eastAsia" w:ascii="仿宋_GB2312" w:hAnsi="宋体" w:eastAsia="仿宋_GB2312" w:cs="Calibri"/>
          <w:color w:val="auto"/>
          <w:kern w:val="32"/>
          <w:sz w:val="32"/>
          <w:szCs w:val="32"/>
        </w:rPr>
        <w:t>考核期内共消费人民币</w:t>
      </w:r>
      <w:r>
        <w:rPr>
          <w:rFonts w:hint="eastAsia" w:ascii="仿宋_GB2312" w:hAnsi="宋体" w:eastAsia="仿宋_GB2312" w:cs="Calibri"/>
          <w:color w:val="auto"/>
          <w:kern w:val="32"/>
          <w:sz w:val="32"/>
          <w:szCs w:val="32"/>
          <w:lang w:val="en-US" w:eastAsia="zh-CN"/>
        </w:rPr>
        <w:t>10768.53</w:t>
      </w:r>
      <w:r>
        <w:rPr>
          <w:rFonts w:hint="eastAsia" w:ascii="仿宋_GB2312" w:hAnsi="宋体" w:eastAsia="仿宋_GB2312" w:cs="Calibri"/>
          <w:color w:val="auto"/>
          <w:kern w:val="32"/>
          <w:sz w:val="32"/>
          <w:szCs w:val="32"/>
        </w:rPr>
        <w:t>元，月均消费人民币</w:t>
      </w:r>
      <w:r>
        <w:rPr>
          <w:rFonts w:hint="eastAsia" w:ascii="仿宋_GB2312" w:hAnsi="宋体" w:eastAsia="仿宋_GB2312" w:cs="Calibri"/>
          <w:color w:val="auto"/>
          <w:kern w:val="32"/>
          <w:sz w:val="32"/>
          <w:szCs w:val="32"/>
          <w:lang w:val="en-US" w:eastAsia="zh-CN"/>
        </w:rPr>
        <w:t>250.43</w:t>
      </w:r>
      <w:r>
        <w:rPr>
          <w:rFonts w:hint="eastAsia" w:ascii="仿宋_GB2312" w:hAnsi="宋体" w:eastAsia="仿宋_GB2312" w:cs="Calibri"/>
          <w:color w:val="auto"/>
          <w:kern w:val="32"/>
          <w:sz w:val="32"/>
          <w:szCs w:val="32"/>
        </w:rPr>
        <w:t>元，卡上可用余额人民币</w:t>
      </w:r>
      <w:r>
        <w:rPr>
          <w:rFonts w:hint="eastAsia" w:ascii="仿宋_GB2312" w:hAnsi="宋体" w:eastAsia="仿宋_GB2312" w:cs="Calibri"/>
          <w:color w:val="auto"/>
          <w:kern w:val="32"/>
          <w:sz w:val="32"/>
          <w:szCs w:val="32"/>
          <w:lang w:val="en-US" w:eastAsia="zh-CN"/>
        </w:rPr>
        <w:t>759.39</w:t>
      </w:r>
      <w:r>
        <w:rPr>
          <w:rFonts w:hint="eastAsia" w:ascii="仿宋_GB2312" w:hAnsi="宋体" w:eastAsia="仿宋_GB2312" w:cs="Calibri"/>
          <w:color w:val="auto"/>
          <w:kern w:val="32"/>
          <w:sz w:val="32"/>
          <w:szCs w:val="32"/>
        </w:rPr>
        <w:t>元。关于罪犯对其财产性判项履行情况，监狱已于2024年</w:t>
      </w:r>
      <w:r>
        <w:rPr>
          <w:rFonts w:hint="eastAsia" w:ascii="仿宋_GB2312" w:hAnsi="宋体" w:eastAsia="仿宋_GB2312" w:cs="Calibri"/>
          <w:color w:val="auto"/>
          <w:kern w:val="32"/>
          <w:sz w:val="32"/>
          <w:szCs w:val="32"/>
          <w:lang w:val="en-US" w:eastAsia="zh-CN"/>
        </w:rPr>
        <w:t>9</w:t>
      </w:r>
      <w:r>
        <w:rPr>
          <w:rFonts w:hint="eastAsia" w:ascii="仿宋_GB2312" w:hAnsi="宋体" w:eastAsia="仿宋_GB2312" w:cs="Calibri"/>
          <w:color w:val="auto"/>
          <w:kern w:val="32"/>
          <w:sz w:val="32"/>
          <w:szCs w:val="32"/>
        </w:rPr>
        <w:t>月20日函询福建省泉州市中级人民法院，2024年</w:t>
      </w:r>
      <w:r>
        <w:rPr>
          <w:rFonts w:hint="eastAsia" w:ascii="仿宋_GB2312" w:hAnsi="宋体" w:eastAsia="仿宋_GB2312" w:cs="Calibri"/>
          <w:color w:val="auto"/>
          <w:kern w:val="32"/>
          <w:sz w:val="32"/>
          <w:szCs w:val="32"/>
          <w:lang w:val="en-US" w:eastAsia="zh-CN"/>
        </w:rPr>
        <w:t>10</w:t>
      </w:r>
      <w:r>
        <w:rPr>
          <w:rFonts w:hint="eastAsia" w:ascii="仿宋_GB2312" w:hAnsi="宋体" w:eastAsia="仿宋_GB2312" w:cs="Calibri"/>
          <w:color w:val="auto"/>
          <w:kern w:val="32"/>
          <w:sz w:val="32"/>
          <w:szCs w:val="32"/>
        </w:rPr>
        <w:t>月</w:t>
      </w:r>
      <w:r>
        <w:rPr>
          <w:rFonts w:hint="eastAsia" w:ascii="仿宋_GB2312" w:hAnsi="宋体" w:eastAsia="仿宋_GB2312" w:cs="Calibri"/>
          <w:color w:val="auto"/>
          <w:kern w:val="32"/>
          <w:sz w:val="32"/>
          <w:szCs w:val="32"/>
          <w:lang w:val="en-US" w:eastAsia="zh-CN"/>
        </w:rPr>
        <w:t>12</w:t>
      </w:r>
      <w:r>
        <w:rPr>
          <w:rFonts w:hint="eastAsia" w:ascii="仿宋_GB2312" w:hAnsi="宋体" w:eastAsia="仿宋_GB2312" w:cs="Calibri"/>
          <w:color w:val="auto"/>
          <w:kern w:val="32"/>
          <w:sz w:val="32"/>
          <w:szCs w:val="32"/>
        </w:rPr>
        <w:t>日收到泉州市中级人民法院回复。具体情况详见《福建省福州监狱关于咨询罪犯财产刑</w:t>
      </w:r>
      <w:r>
        <w:rPr>
          <w:rFonts w:hint="eastAsia" w:ascii="仿宋_GB2312" w:hAnsi="宋体" w:eastAsia="仿宋_GB2312" w:cs="Calibri"/>
          <w:color w:val="auto"/>
          <w:kern w:val="32"/>
          <w:sz w:val="32"/>
          <w:szCs w:val="32"/>
          <w:lang w:eastAsia="zh-CN"/>
        </w:rPr>
        <w:t>履行</w:t>
      </w:r>
      <w:r>
        <w:rPr>
          <w:rFonts w:hint="eastAsia" w:ascii="仿宋_GB2312" w:hAnsi="宋体" w:eastAsia="仿宋_GB2312" w:cs="Calibri"/>
          <w:color w:val="auto"/>
          <w:kern w:val="32"/>
          <w:sz w:val="32"/>
          <w:szCs w:val="32"/>
        </w:rPr>
        <w:t>情况的函》。</w:t>
      </w: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textAlignment w:val="auto"/>
        <w:rPr>
          <w:rFonts w:hint="eastAsia" w:ascii="仿宋_GB2312" w:hAnsi="宋体" w:eastAsia="仿宋_GB2312" w:cs="Calibri"/>
          <w:kern w:val="32"/>
          <w:sz w:val="32"/>
          <w:szCs w:val="32"/>
        </w:rPr>
      </w:pPr>
      <w:r>
        <w:rPr>
          <w:rFonts w:hint="eastAsia" w:ascii="仿宋_GB2312" w:hAnsi="宋体" w:eastAsia="仿宋_GB2312" w:cs="Calibri"/>
          <w:kern w:val="32"/>
          <w:sz w:val="32"/>
          <w:szCs w:val="32"/>
        </w:rPr>
        <w:t>该犯财产刑履行总额大于30%不足50%，属于从严掌握减刑对象，</w:t>
      </w:r>
      <w:r>
        <w:rPr>
          <w:rFonts w:hint="eastAsia" w:ascii="Times New Roman" w:hAnsi="Times New Roman" w:eastAsia="仿宋_GB2312"/>
          <w:kern w:val="32"/>
          <w:sz w:val="32"/>
          <w:szCs w:val="32"/>
        </w:rPr>
        <w:t>财产刑100万</w:t>
      </w:r>
      <w:r>
        <w:rPr>
          <w:rFonts w:hint="eastAsia" w:ascii="Times New Roman" w:hAnsi="Times New Roman" w:eastAsia="仿宋_GB2312"/>
          <w:kern w:val="32"/>
          <w:sz w:val="32"/>
          <w:szCs w:val="32"/>
          <w:lang w:eastAsia="zh-CN"/>
        </w:rPr>
        <w:t>以下</w:t>
      </w:r>
      <w:r>
        <w:rPr>
          <w:rFonts w:hint="eastAsia" w:ascii="Times New Roman" w:hAnsi="Times New Roman" w:eastAsia="仿宋_GB2312"/>
          <w:kern w:val="32"/>
          <w:sz w:val="32"/>
          <w:szCs w:val="32"/>
        </w:rPr>
        <w:t>已延长</w:t>
      </w:r>
      <w:r>
        <w:rPr>
          <w:rFonts w:hint="eastAsia" w:ascii="Times New Roman" w:hAnsi="Times New Roman" w:eastAsia="仿宋_GB2312"/>
          <w:kern w:val="32"/>
          <w:sz w:val="32"/>
          <w:szCs w:val="32"/>
          <w:lang w:eastAsia="zh-CN"/>
        </w:rPr>
        <w:t>二</w:t>
      </w:r>
      <w:r>
        <w:rPr>
          <w:rFonts w:hint="eastAsia" w:ascii="Times New Roman" w:hAnsi="Times New Roman" w:eastAsia="仿宋_GB2312"/>
          <w:kern w:val="32"/>
          <w:sz w:val="32"/>
          <w:szCs w:val="32"/>
        </w:rPr>
        <w:t>个月呈报减刑，</w:t>
      </w:r>
      <w:r>
        <w:rPr>
          <w:rFonts w:hint="eastAsia" w:ascii="仿宋_GB2312" w:hAnsi="宋体" w:eastAsia="仿宋_GB2312" w:cs="Calibri"/>
          <w:kern w:val="32"/>
          <w:sz w:val="32"/>
          <w:szCs w:val="32"/>
        </w:rPr>
        <w:t>因此，提请减刑幅度扣减二个月。</w:t>
      </w: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textAlignment w:val="auto"/>
        <w:rPr>
          <w:rFonts w:hint="eastAsia" w:ascii="仿宋_GB2312" w:hAnsi="宋体" w:eastAsia="仿宋_GB2312" w:cs="Calibri"/>
          <w:color w:val="auto"/>
          <w:kern w:val="32"/>
          <w:sz w:val="32"/>
          <w:szCs w:val="32"/>
        </w:rPr>
      </w:pPr>
      <w:r>
        <w:rPr>
          <w:rFonts w:hint="eastAsia" w:ascii="仿宋_GB2312" w:hAnsi="宋体" w:eastAsia="仿宋_GB2312" w:cs="Calibri"/>
          <w:kern w:val="32"/>
          <w:sz w:val="32"/>
          <w:szCs w:val="32"/>
        </w:rPr>
        <w:t>本案</w:t>
      </w:r>
      <w:r>
        <w:rPr>
          <w:rFonts w:hint="eastAsia" w:ascii="仿宋_GB2312" w:hAnsi="宋体" w:eastAsia="仿宋_GB2312" w:cs="Calibri"/>
          <w:color w:val="auto"/>
          <w:kern w:val="32"/>
          <w:sz w:val="32"/>
          <w:szCs w:val="32"/>
        </w:rPr>
        <w:t>于</w:t>
      </w:r>
      <w:r>
        <w:rPr>
          <w:rFonts w:hint="eastAsia" w:ascii="仿宋_GB2312" w:hAnsi="宋体" w:eastAsia="仿宋_GB2312" w:cs="Calibri"/>
          <w:color w:val="auto"/>
          <w:kern w:val="32"/>
          <w:sz w:val="32"/>
          <w:szCs w:val="32"/>
          <w:lang w:val="en-US" w:eastAsia="zh-CN"/>
        </w:rPr>
        <w:t>2025</w:t>
      </w:r>
      <w:r>
        <w:rPr>
          <w:rFonts w:hint="eastAsia" w:ascii="仿宋_GB2312" w:hAnsi="宋体" w:eastAsia="仿宋_GB2312" w:cs="Calibri"/>
          <w:color w:val="auto"/>
          <w:kern w:val="32"/>
          <w:sz w:val="32"/>
          <w:szCs w:val="32"/>
        </w:rPr>
        <w:t>年</w:t>
      </w:r>
      <w:r>
        <w:rPr>
          <w:rFonts w:hint="eastAsia" w:ascii="仿宋_GB2312" w:hAnsi="宋体" w:eastAsia="仿宋_GB2312" w:cs="Calibri"/>
          <w:color w:val="auto"/>
          <w:kern w:val="32"/>
          <w:sz w:val="32"/>
          <w:szCs w:val="32"/>
          <w:lang w:val="en-US" w:eastAsia="zh-CN"/>
        </w:rPr>
        <w:t>8</w:t>
      </w:r>
      <w:r>
        <w:rPr>
          <w:rFonts w:hint="eastAsia" w:ascii="仿宋_GB2312" w:hAnsi="宋体" w:eastAsia="仿宋_GB2312" w:cs="Calibri"/>
          <w:color w:val="auto"/>
          <w:kern w:val="32"/>
          <w:sz w:val="32"/>
          <w:szCs w:val="32"/>
        </w:rPr>
        <w:t>月</w:t>
      </w:r>
      <w:r>
        <w:rPr>
          <w:rFonts w:hint="eastAsia" w:ascii="仿宋_GB2312" w:hAnsi="宋体" w:eastAsia="仿宋_GB2312" w:cs="Calibri"/>
          <w:color w:val="auto"/>
          <w:kern w:val="32"/>
          <w:sz w:val="32"/>
          <w:szCs w:val="32"/>
          <w:lang w:val="en-US" w:eastAsia="zh-CN"/>
        </w:rPr>
        <w:t>25</w:t>
      </w:r>
      <w:r>
        <w:rPr>
          <w:rFonts w:hint="eastAsia" w:ascii="仿宋_GB2312" w:hAnsi="宋体" w:eastAsia="仿宋_GB2312" w:cs="Calibri"/>
          <w:color w:val="auto"/>
          <w:kern w:val="32"/>
          <w:sz w:val="32"/>
          <w:szCs w:val="32"/>
        </w:rPr>
        <w:t>日至</w:t>
      </w:r>
      <w:r>
        <w:rPr>
          <w:rFonts w:hint="eastAsia" w:ascii="仿宋_GB2312" w:hAnsi="宋体" w:eastAsia="仿宋_GB2312" w:cs="Calibri"/>
          <w:color w:val="auto"/>
          <w:kern w:val="32"/>
          <w:sz w:val="32"/>
          <w:szCs w:val="32"/>
          <w:lang w:val="en-US" w:eastAsia="zh-CN"/>
        </w:rPr>
        <w:t>2025</w:t>
      </w:r>
      <w:r>
        <w:rPr>
          <w:rFonts w:hint="eastAsia" w:ascii="仿宋_GB2312" w:hAnsi="宋体" w:eastAsia="仿宋_GB2312" w:cs="Calibri"/>
          <w:color w:val="auto"/>
          <w:kern w:val="32"/>
          <w:sz w:val="32"/>
          <w:szCs w:val="32"/>
        </w:rPr>
        <w:t>年</w:t>
      </w:r>
      <w:r>
        <w:rPr>
          <w:rFonts w:hint="eastAsia" w:ascii="仿宋_GB2312" w:hAnsi="宋体" w:eastAsia="仿宋_GB2312" w:cs="Calibri"/>
          <w:color w:val="auto"/>
          <w:kern w:val="32"/>
          <w:sz w:val="32"/>
          <w:szCs w:val="32"/>
          <w:lang w:val="en-US" w:eastAsia="zh-CN"/>
        </w:rPr>
        <w:t>8</w:t>
      </w:r>
      <w:r>
        <w:rPr>
          <w:rFonts w:hint="eastAsia" w:ascii="仿宋_GB2312" w:hAnsi="宋体" w:eastAsia="仿宋_GB2312" w:cs="Calibri"/>
          <w:color w:val="auto"/>
          <w:kern w:val="32"/>
          <w:sz w:val="32"/>
          <w:szCs w:val="32"/>
        </w:rPr>
        <w:t>月</w:t>
      </w:r>
      <w:r>
        <w:rPr>
          <w:rFonts w:hint="eastAsia" w:ascii="仿宋_GB2312" w:hAnsi="宋体" w:eastAsia="仿宋_GB2312" w:cs="Calibri"/>
          <w:color w:val="auto"/>
          <w:kern w:val="32"/>
          <w:sz w:val="32"/>
          <w:szCs w:val="32"/>
          <w:lang w:val="en-US" w:eastAsia="zh-CN"/>
        </w:rPr>
        <w:t>31</w:t>
      </w:r>
      <w:r>
        <w:rPr>
          <w:rFonts w:hint="eastAsia" w:ascii="仿宋_GB2312" w:hAnsi="宋体" w:eastAsia="仿宋_GB2312" w:cs="Calibri"/>
          <w:color w:val="auto"/>
          <w:kern w:val="32"/>
          <w:sz w:val="32"/>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300" w:lineRule="exact"/>
        <w:ind w:firstLine="640" w:firstLineChars="200"/>
        <w:textAlignment w:val="auto"/>
        <w:rPr>
          <w:rFonts w:ascii="仿宋_GB2312" w:hAnsi="宋体" w:eastAsia="仿宋_GB2312" w:cs="Calibri"/>
          <w:kern w:val="32"/>
          <w:sz w:val="32"/>
          <w:szCs w:val="32"/>
        </w:rPr>
      </w:pPr>
      <w:r>
        <w:rPr>
          <w:rFonts w:hint="eastAsia" w:ascii="仿宋_GB2312" w:hAnsi="宋体" w:eastAsia="仿宋_GB2312" w:cs="Calibri"/>
          <w:kern w:val="32"/>
          <w:sz w:val="32"/>
          <w:szCs w:val="32"/>
        </w:rPr>
        <w:t xml:space="preserve">罪犯刘万贵在服刑期间，确有悔改表现，依照《中华人民共和国刑法》第七十八条、第七十九条，《中华人民共和国刑事诉讼法》第二百七十三条第二款、《中华人民共和国监狱法》第二十九条之规定，建议对罪犯刘万贵予以减刑  </w:t>
      </w:r>
      <w:r>
        <w:rPr>
          <w:rFonts w:hint="eastAsia" w:ascii="仿宋_GB2312" w:hAnsi="宋体" w:eastAsia="仿宋_GB2312" w:cs="Calibri"/>
          <w:kern w:val="32"/>
          <w:sz w:val="32"/>
          <w:szCs w:val="32"/>
          <w:lang w:eastAsia="zh-CN"/>
        </w:rPr>
        <w:t>六</w:t>
      </w:r>
      <w:r>
        <w:rPr>
          <w:rFonts w:hint="eastAsia" w:ascii="仿宋_GB2312" w:hAnsi="宋体" w:eastAsia="仿宋_GB2312" w:cs="Calibri"/>
          <w:kern w:val="32"/>
          <w:sz w:val="32"/>
          <w:szCs w:val="32"/>
        </w:rPr>
        <w:t>个月</w:t>
      </w:r>
      <w:r>
        <w:rPr>
          <w:rFonts w:hint="eastAsia" w:ascii="仿宋_GB2312" w:hAnsi="宋体" w:eastAsia="仿宋_GB2312" w:cs="Calibri"/>
          <w:kern w:val="32"/>
          <w:sz w:val="32"/>
          <w:szCs w:val="32"/>
          <w:lang w:eastAsia="zh-CN"/>
        </w:rPr>
        <w:t>，</w:t>
      </w:r>
      <w:r>
        <w:rPr>
          <w:rFonts w:hint="eastAsia" w:ascii="仿宋_GB2312" w:hAnsi="宋体" w:eastAsia="仿宋_GB2312" w:cs="Calibri"/>
          <w:kern w:val="32"/>
          <w:sz w:val="32"/>
          <w:szCs w:val="32"/>
        </w:rPr>
        <w:t>剥夺政治权利三年不变。特提请你院审理裁定。</w:t>
      </w:r>
    </w:p>
    <w:p>
      <w:pPr>
        <w:keepNext w:val="0"/>
        <w:keepLines w:val="0"/>
        <w:pageBreakBefore w:val="0"/>
        <w:widowControl w:val="0"/>
        <w:kinsoku/>
        <w:wordWrap/>
        <w:overflowPunct/>
        <w:topLinePunct w:val="0"/>
        <w:autoSpaceDE/>
        <w:autoSpaceDN/>
        <w:bidi w:val="0"/>
        <w:adjustRightInd/>
        <w:snapToGrid/>
        <w:spacing w:line="320" w:lineRule="exact"/>
        <w:ind w:right="-31" w:rightChars="-15" w:firstLine="614" w:firstLineChars="192"/>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rPr>
        <w:t>此致</w:t>
      </w:r>
    </w:p>
    <w:p>
      <w:pPr>
        <w:keepNext w:val="0"/>
        <w:keepLines w:val="0"/>
        <w:pageBreakBefore w:val="0"/>
        <w:widowControl w:val="0"/>
        <w:kinsoku/>
        <w:wordWrap/>
        <w:overflowPunct/>
        <w:topLinePunct w:val="0"/>
        <w:autoSpaceDE/>
        <w:autoSpaceDN/>
        <w:bidi w:val="0"/>
        <w:adjustRightInd/>
        <w:snapToGrid/>
        <w:spacing w:line="320" w:lineRule="exact"/>
        <w:ind w:right="-31" w:rightChars="-15"/>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rPr>
        <w:t>福建省福州市中级人民法院</w:t>
      </w:r>
    </w:p>
    <w:p>
      <w:pPr>
        <w:keepNext w:val="0"/>
        <w:keepLines w:val="0"/>
        <w:pageBreakBefore w:val="0"/>
        <w:widowControl w:val="0"/>
        <w:kinsoku/>
        <w:wordWrap/>
        <w:overflowPunct/>
        <w:topLinePunct w:val="0"/>
        <w:autoSpaceDE/>
        <w:autoSpaceDN/>
        <w:bidi w:val="0"/>
        <w:adjustRightInd/>
        <w:snapToGrid/>
        <w:spacing w:line="320" w:lineRule="exact"/>
        <w:ind w:firstLine="640" w:firstLineChars="200"/>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rPr>
        <w:t>附：⒈罪犯提请减刑卷宗贰册</w:t>
      </w:r>
    </w:p>
    <w:p>
      <w:pPr>
        <w:keepNext w:val="0"/>
        <w:keepLines w:val="0"/>
        <w:pageBreakBefore w:val="0"/>
        <w:widowControl w:val="0"/>
        <w:kinsoku/>
        <w:wordWrap/>
        <w:overflowPunct/>
        <w:topLinePunct w:val="0"/>
        <w:autoSpaceDE/>
        <w:autoSpaceDN/>
        <w:bidi w:val="0"/>
        <w:adjustRightInd/>
        <w:snapToGrid/>
        <w:spacing w:line="320" w:lineRule="exact"/>
        <w:ind w:right="-31" w:rightChars="-15" w:firstLine="1280" w:firstLineChars="400"/>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rPr>
        <w:t>⒉减刑建议书壹份</w:t>
      </w:r>
    </w:p>
    <w:p>
      <w:pPr>
        <w:keepNext w:val="0"/>
        <w:keepLines w:val="0"/>
        <w:pageBreakBefore w:val="0"/>
        <w:widowControl w:val="0"/>
        <w:kinsoku/>
        <w:wordWrap/>
        <w:overflowPunct/>
        <w:topLinePunct w:val="0"/>
        <w:autoSpaceDE/>
        <w:autoSpaceDN/>
        <w:bidi w:val="0"/>
        <w:adjustRightInd/>
        <w:snapToGrid/>
        <w:spacing w:line="320" w:lineRule="exact"/>
        <w:ind w:right="-31" w:rightChars="-15"/>
        <w:textAlignment w:val="auto"/>
        <w:rPr>
          <w:rFonts w:ascii="Times New Roman" w:hAnsi="Times New Roman" w:eastAsia="仿宋_GB2312" w:cs="Times New Roman"/>
          <w:color w:val="000000" w:themeColor="text1"/>
          <w:kern w:val="32"/>
          <w:sz w:val="32"/>
          <w:szCs w:val="32"/>
        </w:rPr>
      </w:pPr>
    </w:p>
    <w:p>
      <w:pPr>
        <w:keepNext w:val="0"/>
        <w:keepLines w:val="0"/>
        <w:pageBreakBefore w:val="0"/>
        <w:widowControl w:val="0"/>
        <w:kinsoku/>
        <w:wordWrap/>
        <w:overflowPunct/>
        <w:topLinePunct w:val="0"/>
        <w:autoSpaceDE/>
        <w:autoSpaceDN/>
        <w:bidi w:val="0"/>
        <w:adjustRightInd/>
        <w:snapToGrid/>
        <w:spacing w:line="320" w:lineRule="exact"/>
        <w:ind w:right="-31" w:rightChars="-15"/>
        <w:textAlignment w:val="auto"/>
        <w:rPr>
          <w:rFonts w:ascii="Times New Roman" w:hAnsi="Times New Roman" w:eastAsia="仿宋_GB2312" w:cs="Times New Roman"/>
          <w:color w:val="000000" w:themeColor="text1"/>
          <w:kern w:val="32"/>
          <w:sz w:val="32"/>
          <w:szCs w:val="32"/>
        </w:rPr>
      </w:pPr>
    </w:p>
    <w:p>
      <w:pPr>
        <w:keepNext w:val="0"/>
        <w:keepLines w:val="0"/>
        <w:pageBreakBefore w:val="0"/>
        <w:widowControl w:val="0"/>
        <w:kinsoku/>
        <w:wordWrap/>
        <w:overflowPunct/>
        <w:topLinePunct w:val="0"/>
        <w:autoSpaceDE/>
        <w:autoSpaceDN/>
        <w:bidi w:val="0"/>
        <w:adjustRightInd/>
        <w:snapToGrid/>
        <w:spacing w:line="320" w:lineRule="exact"/>
        <w:ind w:right="796" w:rightChars="379" w:firstLine="614" w:firstLineChars="192"/>
        <w:jc w:val="center"/>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lang w:val="en-US" w:eastAsia="zh-CN"/>
        </w:rPr>
        <w:t xml:space="preserve">                             </w:t>
      </w:r>
      <w:r>
        <w:rPr>
          <w:rFonts w:hint="eastAsia" w:ascii="Times New Roman" w:hAnsi="Times New Roman" w:eastAsia="仿宋_GB2312" w:cs="Times New Roman"/>
          <w:color w:val="000000" w:themeColor="text1"/>
          <w:kern w:val="32"/>
          <w:sz w:val="32"/>
          <w:szCs w:val="32"/>
        </w:rPr>
        <w:t>福建省福州监狱</w:t>
      </w:r>
    </w:p>
    <w:p>
      <w:pPr>
        <w:keepNext w:val="0"/>
        <w:keepLines w:val="0"/>
        <w:pageBreakBefore w:val="0"/>
        <w:widowControl w:val="0"/>
        <w:kinsoku/>
        <w:wordWrap/>
        <w:overflowPunct/>
        <w:topLinePunct w:val="0"/>
        <w:autoSpaceDE/>
        <w:autoSpaceDN/>
        <w:bidi w:val="0"/>
        <w:adjustRightInd/>
        <w:snapToGrid/>
        <w:spacing w:line="320" w:lineRule="exact"/>
        <w:ind w:right="-31" w:rightChars="-15"/>
        <w:jc w:val="center"/>
        <w:textAlignment w:val="auto"/>
        <w:rPr>
          <w:rFonts w:ascii="Times New Roman" w:hAnsi="Times New Roman" w:eastAsia="仿宋_GB2312" w:cs="Times New Roman"/>
          <w:color w:val="000000" w:themeColor="text1"/>
          <w:kern w:val="32"/>
          <w:sz w:val="32"/>
          <w:szCs w:val="32"/>
        </w:rPr>
      </w:pPr>
      <w:r>
        <w:rPr>
          <w:rFonts w:hint="eastAsia" w:ascii="Times New Roman" w:hAnsi="Times New Roman" w:eastAsia="仿宋_GB2312" w:cs="Times New Roman"/>
          <w:color w:val="000000" w:themeColor="text1"/>
          <w:kern w:val="32"/>
          <w:sz w:val="32"/>
          <w:szCs w:val="32"/>
          <w:lang w:val="en-US" w:eastAsia="zh-CN"/>
        </w:rPr>
        <w:t xml:space="preserve">                            2025</w:t>
      </w:r>
      <w:r>
        <w:rPr>
          <w:rFonts w:hint="eastAsia" w:ascii="Times New Roman" w:hAnsi="Times New Roman" w:eastAsia="仿宋_GB2312" w:cs="Times New Roman"/>
          <w:color w:val="000000" w:themeColor="text1"/>
          <w:kern w:val="32"/>
          <w:sz w:val="32"/>
          <w:szCs w:val="32"/>
        </w:rPr>
        <w:t>年</w:t>
      </w:r>
      <w:r>
        <w:rPr>
          <w:rFonts w:hint="eastAsia" w:ascii="Times New Roman" w:hAnsi="Times New Roman" w:eastAsia="仿宋_GB2312" w:cs="Times New Roman"/>
          <w:color w:val="000000" w:themeColor="text1"/>
          <w:kern w:val="32"/>
          <w:sz w:val="32"/>
          <w:szCs w:val="32"/>
          <w:lang w:val="en-US" w:eastAsia="zh-CN"/>
        </w:rPr>
        <w:t>9</w:t>
      </w:r>
      <w:r>
        <w:rPr>
          <w:rFonts w:hint="eastAsia" w:ascii="Times New Roman" w:hAnsi="Times New Roman" w:eastAsia="仿宋_GB2312" w:cs="Times New Roman"/>
          <w:color w:val="000000" w:themeColor="text1"/>
          <w:kern w:val="32"/>
          <w:sz w:val="32"/>
          <w:szCs w:val="32"/>
        </w:rPr>
        <w:t>月</w:t>
      </w:r>
      <w:r>
        <w:rPr>
          <w:rFonts w:hint="eastAsia" w:ascii="Times New Roman" w:hAnsi="Times New Roman" w:eastAsia="仿宋_GB2312" w:cs="Times New Roman"/>
          <w:color w:val="000000" w:themeColor="text1"/>
          <w:kern w:val="32"/>
          <w:sz w:val="32"/>
          <w:szCs w:val="32"/>
          <w:lang w:val="en-US" w:eastAsia="zh-CN"/>
        </w:rPr>
        <w:t>12</w:t>
      </w:r>
      <w:r>
        <w:rPr>
          <w:rFonts w:hint="eastAsia" w:ascii="Times New Roman" w:hAnsi="Times New Roman" w:eastAsia="仿宋_GB2312" w:cs="Times New Roman"/>
          <w:color w:val="000000" w:themeColor="text1"/>
          <w:kern w:val="3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266C8"/>
    <w:rsid w:val="00000818"/>
    <w:rsid w:val="00015885"/>
    <w:rsid w:val="00016D49"/>
    <w:rsid w:val="00042966"/>
    <w:rsid w:val="00067E76"/>
    <w:rsid w:val="000739C8"/>
    <w:rsid w:val="000779FD"/>
    <w:rsid w:val="000A1022"/>
    <w:rsid w:val="000A29ED"/>
    <w:rsid w:val="000A330C"/>
    <w:rsid w:val="000B0A17"/>
    <w:rsid w:val="000B2AF5"/>
    <w:rsid w:val="000D3F6C"/>
    <w:rsid w:val="000D6808"/>
    <w:rsid w:val="000E402F"/>
    <w:rsid w:val="000E4925"/>
    <w:rsid w:val="000E69C8"/>
    <w:rsid w:val="000F077F"/>
    <w:rsid w:val="000F4FD4"/>
    <w:rsid w:val="00115127"/>
    <w:rsid w:val="00117BE0"/>
    <w:rsid w:val="00120C0F"/>
    <w:rsid w:val="001272AA"/>
    <w:rsid w:val="00127A63"/>
    <w:rsid w:val="00133B79"/>
    <w:rsid w:val="00146D1F"/>
    <w:rsid w:val="00161434"/>
    <w:rsid w:val="001652B0"/>
    <w:rsid w:val="001673F3"/>
    <w:rsid w:val="001846DF"/>
    <w:rsid w:val="00194849"/>
    <w:rsid w:val="001A33F3"/>
    <w:rsid w:val="001B14A2"/>
    <w:rsid w:val="001C0543"/>
    <w:rsid w:val="001E1B1A"/>
    <w:rsid w:val="001E3405"/>
    <w:rsid w:val="001E6549"/>
    <w:rsid w:val="001F59FB"/>
    <w:rsid w:val="00200C71"/>
    <w:rsid w:val="00205472"/>
    <w:rsid w:val="002205D1"/>
    <w:rsid w:val="0022180F"/>
    <w:rsid w:val="002260D5"/>
    <w:rsid w:val="002273D9"/>
    <w:rsid w:val="00237C41"/>
    <w:rsid w:val="00241CD2"/>
    <w:rsid w:val="002552AD"/>
    <w:rsid w:val="00274FA0"/>
    <w:rsid w:val="00281353"/>
    <w:rsid w:val="002950E1"/>
    <w:rsid w:val="002B530B"/>
    <w:rsid w:val="002D5E96"/>
    <w:rsid w:val="002D625B"/>
    <w:rsid w:val="002D664E"/>
    <w:rsid w:val="002F0746"/>
    <w:rsid w:val="002F7A99"/>
    <w:rsid w:val="00300218"/>
    <w:rsid w:val="0030371A"/>
    <w:rsid w:val="00341EC4"/>
    <w:rsid w:val="00361543"/>
    <w:rsid w:val="00362E3C"/>
    <w:rsid w:val="00366298"/>
    <w:rsid w:val="003A5E4C"/>
    <w:rsid w:val="003A6ABE"/>
    <w:rsid w:val="003B6832"/>
    <w:rsid w:val="003B7233"/>
    <w:rsid w:val="003B77EE"/>
    <w:rsid w:val="003C26D8"/>
    <w:rsid w:val="003C4959"/>
    <w:rsid w:val="003D27B6"/>
    <w:rsid w:val="003E34E6"/>
    <w:rsid w:val="00405509"/>
    <w:rsid w:val="00422398"/>
    <w:rsid w:val="00422493"/>
    <w:rsid w:val="00422F1E"/>
    <w:rsid w:val="00423303"/>
    <w:rsid w:val="00451EC9"/>
    <w:rsid w:val="00453F19"/>
    <w:rsid w:val="00454181"/>
    <w:rsid w:val="004614FB"/>
    <w:rsid w:val="004643FD"/>
    <w:rsid w:val="00466FB4"/>
    <w:rsid w:val="0046738F"/>
    <w:rsid w:val="00467922"/>
    <w:rsid w:val="00476E23"/>
    <w:rsid w:val="004902E6"/>
    <w:rsid w:val="004A7216"/>
    <w:rsid w:val="004B3D94"/>
    <w:rsid w:val="004B5ACE"/>
    <w:rsid w:val="004C418F"/>
    <w:rsid w:val="004D2712"/>
    <w:rsid w:val="004E450F"/>
    <w:rsid w:val="004F3C63"/>
    <w:rsid w:val="004F55FB"/>
    <w:rsid w:val="0050215A"/>
    <w:rsid w:val="005250B5"/>
    <w:rsid w:val="00525CFD"/>
    <w:rsid w:val="00525D6E"/>
    <w:rsid w:val="00544DFA"/>
    <w:rsid w:val="00552154"/>
    <w:rsid w:val="00565E7E"/>
    <w:rsid w:val="005707D2"/>
    <w:rsid w:val="005748A1"/>
    <w:rsid w:val="005779D5"/>
    <w:rsid w:val="00592637"/>
    <w:rsid w:val="0059661E"/>
    <w:rsid w:val="005A1A7A"/>
    <w:rsid w:val="005B1DD8"/>
    <w:rsid w:val="005B46E6"/>
    <w:rsid w:val="005B6303"/>
    <w:rsid w:val="005C318E"/>
    <w:rsid w:val="005E30B6"/>
    <w:rsid w:val="005E319C"/>
    <w:rsid w:val="005F0087"/>
    <w:rsid w:val="00617434"/>
    <w:rsid w:val="00623885"/>
    <w:rsid w:val="00631843"/>
    <w:rsid w:val="0063340A"/>
    <w:rsid w:val="006438CC"/>
    <w:rsid w:val="00655D64"/>
    <w:rsid w:val="00664298"/>
    <w:rsid w:val="00685BA4"/>
    <w:rsid w:val="0069720A"/>
    <w:rsid w:val="006A409D"/>
    <w:rsid w:val="006B070F"/>
    <w:rsid w:val="006B6AB6"/>
    <w:rsid w:val="006B7B63"/>
    <w:rsid w:val="006D1C70"/>
    <w:rsid w:val="006E63BD"/>
    <w:rsid w:val="00710160"/>
    <w:rsid w:val="007116CA"/>
    <w:rsid w:val="00715764"/>
    <w:rsid w:val="007266C8"/>
    <w:rsid w:val="0073283B"/>
    <w:rsid w:val="0075210F"/>
    <w:rsid w:val="00752A29"/>
    <w:rsid w:val="00776CF7"/>
    <w:rsid w:val="00782B3A"/>
    <w:rsid w:val="007843B5"/>
    <w:rsid w:val="007A21BF"/>
    <w:rsid w:val="007A444B"/>
    <w:rsid w:val="007B303A"/>
    <w:rsid w:val="007C4236"/>
    <w:rsid w:val="007C7A8D"/>
    <w:rsid w:val="007F327F"/>
    <w:rsid w:val="0080515A"/>
    <w:rsid w:val="0080581F"/>
    <w:rsid w:val="00805F38"/>
    <w:rsid w:val="00806E4C"/>
    <w:rsid w:val="00807292"/>
    <w:rsid w:val="00812A1F"/>
    <w:rsid w:val="0083431A"/>
    <w:rsid w:val="00883944"/>
    <w:rsid w:val="00884024"/>
    <w:rsid w:val="00892A34"/>
    <w:rsid w:val="008B1266"/>
    <w:rsid w:val="008C2255"/>
    <w:rsid w:val="008C53B9"/>
    <w:rsid w:val="008C76D7"/>
    <w:rsid w:val="008D7F00"/>
    <w:rsid w:val="008F315E"/>
    <w:rsid w:val="008F3C45"/>
    <w:rsid w:val="008F7CA9"/>
    <w:rsid w:val="009021CF"/>
    <w:rsid w:val="00904C17"/>
    <w:rsid w:val="009059C5"/>
    <w:rsid w:val="009360D9"/>
    <w:rsid w:val="00937E87"/>
    <w:rsid w:val="00943C7D"/>
    <w:rsid w:val="009706BB"/>
    <w:rsid w:val="0098250D"/>
    <w:rsid w:val="00986DC4"/>
    <w:rsid w:val="009B58E9"/>
    <w:rsid w:val="009D3548"/>
    <w:rsid w:val="009D4A10"/>
    <w:rsid w:val="009D61F3"/>
    <w:rsid w:val="009E5C3F"/>
    <w:rsid w:val="009F108B"/>
    <w:rsid w:val="009F28E3"/>
    <w:rsid w:val="009F5EE5"/>
    <w:rsid w:val="00A061C2"/>
    <w:rsid w:val="00A16080"/>
    <w:rsid w:val="00A26FD3"/>
    <w:rsid w:val="00A3262C"/>
    <w:rsid w:val="00A45030"/>
    <w:rsid w:val="00A66EB1"/>
    <w:rsid w:val="00A751FC"/>
    <w:rsid w:val="00A81FC9"/>
    <w:rsid w:val="00A91174"/>
    <w:rsid w:val="00A9402B"/>
    <w:rsid w:val="00AD57ED"/>
    <w:rsid w:val="00AE7AA6"/>
    <w:rsid w:val="00AF37AC"/>
    <w:rsid w:val="00AF4B41"/>
    <w:rsid w:val="00B13841"/>
    <w:rsid w:val="00B21074"/>
    <w:rsid w:val="00B3215A"/>
    <w:rsid w:val="00B3723B"/>
    <w:rsid w:val="00B418D1"/>
    <w:rsid w:val="00B47578"/>
    <w:rsid w:val="00B55F66"/>
    <w:rsid w:val="00B565B6"/>
    <w:rsid w:val="00B61F9D"/>
    <w:rsid w:val="00B86060"/>
    <w:rsid w:val="00B8779C"/>
    <w:rsid w:val="00B905A2"/>
    <w:rsid w:val="00BC2227"/>
    <w:rsid w:val="00BC436B"/>
    <w:rsid w:val="00BE04B6"/>
    <w:rsid w:val="00BF22B7"/>
    <w:rsid w:val="00BF3AA2"/>
    <w:rsid w:val="00C00454"/>
    <w:rsid w:val="00C01209"/>
    <w:rsid w:val="00C11A97"/>
    <w:rsid w:val="00C22E60"/>
    <w:rsid w:val="00C40ECC"/>
    <w:rsid w:val="00C461FB"/>
    <w:rsid w:val="00C56E9B"/>
    <w:rsid w:val="00C774DB"/>
    <w:rsid w:val="00C81917"/>
    <w:rsid w:val="00C839DE"/>
    <w:rsid w:val="00C84AE5"/>
    <w:rsid w:val="00CD5863"/>
    <w:rsid w:val="00CF122F"/>
    <w:rsid w:val="00CF431E"/>
    <w:rsid w:val="00D065C4"/>
    <w:rsid w:val="00D10DBB"/>
    <w:rsid w:val="00D14B32"/>
    <w:rsid w:val="00D54DF7"/>
    <w:rsid w:val="00D62A81"/>
    <w:rsid w:val="00D7451C"/>
    <w:rsid w:val="00D9766C"/>
    <w:rsid w:val="00DA4915"/>
    <w:rsid w:val="00DB59FE"/>
    <w:rsid w:val="00DC48F3"/>
    <w:rsid w:val="00DE4193"/>
    <w:rsid w:val="00DE7412"/>
    <w:rsid w:val="00DF4E78"/>
    <w:rsid w:val="00E041A7"/>
    <w:rsid w:val="00E13CAA"/>
    <w:rsid w:val="00E429B8"/>
    <w:rsid w:val="00E4441F"/>
    <w:rsid w:val="00E53595"/>
    <w:rsid w:val="00E53D6B"/>
    <w:rsid w:val="00E60B4D"/>
    <w:rsid w:val="00E727B0"/>
    <w:rsid w:val="00E91ABC"/>
    <w:rsid w:val="00EA131F"/>
    <w:rsid w:val="00EC7689"/>
    <w:rsid w:val="00ED451F"/>
    <w:rsid w:val="00EE409B"/>
    <w:rsid w:val="00F00BBB"/>
    <w:rsid w:val="00F12422"/>
    <w:rsid w:val="00F15A50"/>
    <w:rsid w:val="00F24A89"/>
    <w:rsid w:val="00F33420"/>
    <w:rsid w:val="00F3615D"/>
    <w:rsid w:val="00F424EC"/>
    <w:rsid w:val="00F42CFD"/>
    <w:rsid w:val="00F44ACD"/>
    <w:rsid w:val="00F4614C"/>
    <w:rsid w:val="00F51C48"/>
    <w:rsid w:val="00F67085"/>
    <w:rsid w:val="00F67A36"/>
    <w:rsid w:val="00F67F2F"/>
    <w:rsid w:val="00F83AC6"/>
    <w:rsid w:val="00F84963"/>
    <w:rsid w:val="00F922D7"/>
    <w:rsid w:val="00F92EE1"/>
    <w:rsid w:val="00F96C40"/>
    <w:rsid w:val="00FC0265"/>
    <w:rsid w:val="00FC65C8"/>
    <w:rsid w:val="00FF2674"/>
    <w:rsid w:val="00FF67B8"/>
    <w:rsid w:val="00FF6E67"/>
    <w:rsid w:val="0308750F"/>
    <w:rsid w:val="0CD233B9"/>
    <w:rsid w:val="22856AB1"/>
    <w:rsid w:val="247407DD"/>
    <w:rsid w:val="289B25D1"/>
    <w:rsid w:val="2A583806"/>
    <w:rsid w:val="3C733A15"/>
    <w:rsid w:val="40A3679D"/>
    <w:rsid w:val="577463C7"/>
    <w:rsid w:val="645A01CF"/>
    <w:rsid w:val="DEADB92B"/>
    <w:rsid w:val="F7BF76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283</Words>
  <Characters>1614</Characters>
  <Lines>13</Lines>
  <Paragraphs>3</Paragraphs>
  <TotalTime>1</TotalTime>
  <ScaleCrop>false</ScaleCrop>
  <LinksUpToDate>false</LinksUpToDate>
  <CharactersWithSpaces>1894</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2019-12-15T08:37:00Z</dcterms:created>
  <dc:creator>微软用户</dc:creator>
  <cp:lastModifiedBy>uosuser</cp:lastModifiedBy>
  <cp:lastPrinted>2019-12-16T20:26:00Z</cp:lastPrinted>
  <dcterms:modified xsi:type="dcterms:W3CDTF">2025-09-26T12:26:00Z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57091B5FD4D3C1F4F476C368CC56C27E</vt:lpwstr>
  </property>
</Properties>
</file>