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D422E" w:rsidRDefault="00000000">
      <w:pPr>
        <w:snapToGrid w:val="0"/>
        <w:spacing w:line="360" w:lineRule="auto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宋体" w:cs="Times New Roman" w:hint="eastAsia"/>
          <w:sz w:val="44"/>
          <w:szCs w:val="44"/>
        </w:rPr>
        <w:t>安全监理责任合同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根据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国家、地方、行业等关于安全监理的有关规定</w:t>
      </w:r>
      <w:r>
        <w:rPr>
          <w:rFonts w:ascii="仿宋_GB2312" w:eastAsia="仿宋_GB2312" w:hAnsi="宋体" w:cs="Times New Roman" w:hint="eastAsia"/>
          <w:sz w:val="32"/>
          <w:szCs w:val="32"/>
        </w:rPr>
        <w:t>，为在</w:t>
      </w:r>
      <w:r>
        <w:rPr>
          <w:rFonts w:ascii="仿宋_GB2312" w:eastAsia="仿宋_GB2312" w:hAnsi="宋体" w:cs="Times New Roman" w:hint="eastAsia"/>
          <w:sz w:val="32"/>
          <w:szCs w:val="32"/>
          <w:u w:val="single"/>
        </w:rPr>
        <w:t>福建省病犯监狱（福建省建新医院）一标段智能化系统采购项目配套监理服务</w:t>
      </w:r>
      <w:r>
        <w:rPr>
          <w:rFonts w:ascii="仿宋_GB2312" w:eastAsia="仿宋_GB2312" w:hAnsi="宋体" w:cs="Times New Roman" w:hint="eastAsia"/>
          <w:sz w:val="32"/>
          <w:szCs w:val="32"/>
        </w:rPr>
        <w:t>合同的实施过程中切实搞好本项目的安全生产管理工作，项目单位</w:t>
      </w:r>
      <w:r>
        <w:rPr>
          <w:rFonts w:ascii="仿宋_GB2312" w:eastAsia="仿宋_GB2312" w:cs="Times New Roman" w:hint="eastAsia"/>
          <w:sz w:val="32"/>
          <w:szCs w:val="32"/>
          <w:u w:val="single"/>
        </w:rPr>
        <w:t>福建省建新医院</w:t>
      </w:r>
      <w:r>
        <w:rPr>
          <w:rFonts w:ascii="仿宋_GB2312" w:eastAsia="仿宋_GB2312" w:hAnsi="宋体" w:cs="Times New Roman" w:hint="eastAsia"/>
          <w:sz w:val="32"/>
          <w:szCs w:val="32"/>
        </w:rPr>
        <w:t>（以下简称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委托人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）与监理单位</w:t>
      </w:r>
      <w:r>
        <w:rPr>
          <w:rFonts w:ascii="仿宋_GB2312" w:eastAsia="仿宋_GB2312" w:cs="Times New Roman" w:hint="eastAsia"/>
          <w:bCs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宋体" w:cs="Times New Roman" w:hint="eastAsia"/>
          <w:sz w:val="32"/>
          <w:szCs w:val="32"/>
        </w:rPr>
        <w:t>（以下简称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监理人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）签订如下安全监理责任合同：</w:t>
      </w:r>
    </w:p>
    <w:p w:rsidR="00BD422E" w:rsidRDefault="00000000">
      <w:pPr>
        <w:snapToGrid w:val="0"/>
        <w:spacing w:line="360" w:lineRule="auto"/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第一条  委托人职责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（一）</w:t>
      </w:r>
      <w:r>
        <w:rPr>
          <w:rFonts w:ascii="仿宋_GB2312" w:eastAsia="仿宋_GB2312" w:hAnsi="宋体" w:cs="Times New Roman" w:hint="eastAsia"/>
          <w:sz w:val="32"/>
          <w:szCs w:val="32"/>
        </w:rPr>
        <w:t>严格遵守国家有关安全生产的法律法规，支持监理人按条例要求对规定的施工安全实施监理。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（二）</w:t>
      </w:r>
      <w:r>
        <w:rPr>
          <w:rFonts w:ascii="仿宋_GB2312" w:eastAsia="仿宋_GB2312" w:hAnsi="宋体" w:cs="Times New Roman" w:hint="eastAsia"/>
          <w:sz w:val="32"/>
          <w:szCs w:val="32"/>
        </w:rPr>
        <w:t>按照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安全第一、预防为主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和坚持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管生产必须管安全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的原则进行安全生产管理，做到生产与安全工作同时计划、布置、检查、总结和评比。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（三）</w:t>
      </w:r>
      <w:r>
        <w:rPr>
          <w:rFonts w:ascii="仿宋_GB2312" w:eastAsia="仿宋_GB2312" w:hAnsi="宋体" w:cs="Times New Roman" w:hint="eastAsia"/>
          <w:sz w:val="32"/>
          <w:szCs w:val="32"/>
        </w:rPr>
        <w:t>重要的安全设施必须坚持与主体项目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三同时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的原则，即：同时设计、审批，同时施工，同时验收并投入使用。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（四）</w:t>
      </w:r>
      <w:r>
        <w:rPr>
          <w:rFonts w:ascii="仿宋_GB2312" w:eastAsia="仿宋_GB2312" w:hAnsi="宋体" w:cs="Times New Roman" w:hint="eastAsia"/>
          <w:sz w:val="32"/>
          <w:szCs w:val="32"/>
        </w:rPr>
        <w:t>定期召开安全生产调度会，及时传达中央、地方、行业行政主管部门等有关安全生产的精神。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（五）</w:t>
      </w:r>
      <w:r>
        <w:rPr>
          <w:rFonts w:ascii="仿宋_GB2312" w:eastAsia="仿宋_GB2312" w:hAnsi="宋体" w:cs="Times New Roman" w:hint="eastAsia"/>
          <w:sz w:val="32"/>
          <w:szCs w:val="32"/>
        </w:rPr>
        <w:t>组织对项目现场的安全生产检查，监督项目承包人及时处理发现的各项安全隐患。</w:t>
      </w:r>
    </w:p>
    <w:p w:rsidR="00BD422E" w:rsidRDefault="00000000">
      <w:pPr>
        <w:snapToGrid w:val="0"/>
        <w:spacing w:line="360" w:lineRule="auto"/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第二条  监理人职责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（一）</w:t>
      </w:r>
      <w:r>
        <w:rPr>
          <w:rFonts w:ascii="仿宋_GB2312" w:eastAsia="仿宋_GB2312" w:hAnsi="宋体" w:cs="Times New Roman" w:hint="eastAsia"/>
          <w:sz w:val="32"/>
          <w:szCs w:val="32"/>
        </w:rPr>
        <w:t>督促项目承包人严格遵守国家有关安全生产的法</w:t>
      </w:r>
      <w:r>
        <w:rPr>
          <w:rFonts w:ascii="仿宋_GB2312" w:eastAsia="仿宋_GB2312" w:hAnsi="宋体" w:cs="Times New Roman" w:hint="eastAsia"/>
          <w:sz w:val="32"/>
          <w:szCs w:val="32"/>
        </w:rPr>
        <w:lastRenderedPageBreak/>
        <w:t>律、法规、规定（包括但不限于《中华人民共和国安全生产法》《通信建设工程安全生产管理规定》《建设工程安全生产管理条例》《建筑安装工程安全技术规程》《建筑施工安全检查标准》《建筑机械使用安全技术规程》《施工现场临时用电安全技术规范》），认真执行项目合同中有关安全的各项要求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（二）</w:t>
      </w:r>
      <w:r>
        <w:rPr>
          <w:rFonts w:ascii="仿宋_GB2312" w:eastAsia="仿宋_GB2312" w:hAnsi="宋体" w:cs="Times New Roman" w:hint="eastAsia"/>
          <w:sz w:val="32"/>
          <w:szCs w:val="32"/>
        </w:rPr>
        <w:t>坚持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安全第一、预防为主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和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管生产必须管安全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的原则，督促项目承包人加强安全生产宣传教育，增强全员安全生产意识，建立健全安全生产管理制度和项目现场安全生产保证体系管理，配备专职或兼职安全检查人员，有组织有领导地开展安全生产活动。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（三）</w:t>
      </w:r>
      <w:r>
        <w:rPr>
          <w:rFonts w:ascii="仿宋_GB2312" w:eastAsia="仿宋_GB2312" w:hAnsi="宋体" w:cs="Times New Roman" w:hint="eastAsia"/>
          <w:sz w:val="32"/>
          <w:szCs w:val="32"/>
        </w:rPr>
        <w:t>建立健全安全监理制度，加强安全知识教育培训，明确各岗位监理人员的安全监理职责，增强安全意识。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（四）</w:t>
      </w:r>
      <w:r>
        <w:rPr>
          <w:rFonts w:ascii="仿宋_GB2312" w:eastAsia="仿宋_GB2312" w:hAnsi="宋体" w:cs="Times New Roman" w:hint="eastAsia"/>
          <w:sz w:val="32"/>
          <w:szCs w:val="32"/>
        </w:rPr>
        <w:t>在审查施工组织设计的同时，要同步审查施工组织设计中的安全技术措施，审查专项施工方案是否符合项目建设安全强制性标准。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（五）</w:t>
      </w:r>
      <w:r>
        <w:rPr>
          <w:rFonts w:ascii="仿宋_GB2312" w:eastAsia="仿宋_GB2312" w:hAnsi="宋体" w:cs="Times New Roman" w:hint="eastAsia"/>
          <w:sz w:val="32"/>
          <w:szCs w:val="32"/>
        </w:rPr>
        <w:t>在实施监理过程中，发现存在安全事故隐患的，应立即要求项目承包人整改；情况严重的，应立即要求项目承包人停止施工，并及时报告项目单位。项目承包人拒不整改或不停止施工的，监理人应及时向有关主管部门报告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（六）</w:t>
      </w:r>
      <w:r>
        <w:rPr>
          <w:rFonts w:ascii="仿宋_GB2312" w:eastAsia="仿宋_GB2312" w:hAnsi="宋体" w:cs="Times New Roman" w:hint="eastAsia"/>
          <w:sz w:val="32"/>
          <w:szCs w:val="32"/>
        </w:rPr>
        <w:t>监理人及其技术人员应当按照法律、法规和行业行政主管部门的强制性标准实施监理，并对项目安全生产承</w:t>
      </w:r>
      <w:r>
        <w:rPr>
          <w:rFonts w:ascii="仿宋_GB2312" w:eastAsia="仿宋_GB2312" w:hAnsi="宋体" w:cs="Times New Roman" w:hint="eastAsia"/>
          <w:sz w:val="32"/>
          <w:szCs w:val="32"/>
        </w:rPr>
        <w:lastRenderedPageBreak/>
        <w:t>担监理责任。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（七）</w:t>
      </w:r>
      <w:r>
        <w:rPr>
          <w:rFonts w:ascii="仿宋_GB2312" w:eastAsia="仿宋_GB2312" w:hAnsi="宋体" w:cs="Times New Roman" w:hint="eastAsia"/>
          <w:sz w:val="32"/>
          <w:szCs w:val="32"/>
        </w:rPr>
        <w:t>监理人应督促项目承包人按照本项目特点，组织制定本项目实施中的生产安全事故应急救援预案；如果发生安全事故，根据相关规定，逐级上报；督促项目承包人建立重大事故处理程序，调查、处理项目质量缺陷和事故，并坚持</w:t>
      </w:r>
      <w:r>
        <w:rPr>
          <w:rFonts w:ascii="仿宋_GB2312" w:eastAsia="仿宋_GB2312" w:cs="Times New Roman" w:hint="eastAsia"/>
          <w:sz w:val="32"/>
          <w:szCs w:val="32"/>
        </w:rPr>
        <w:t>“</w:t>
      </w:r>
      <w:r>
        <w:rPr>
          <w:rFonts w:ascii="仿宋_GB2312" w:eastAsia="仿宋_GB2312" w:hAnsi="宋体" w:cs="Times New Roman" w:hint="eastAsia"/>
          <w:sz w:val="32"/>
          <w:szCs w:val="32"/>
        </w:rPr>
        <w:t>三不放过</w:t>
      </w:r>
      <w:r>
        <w:rPr>
          <w:rFonts w:ascii="仿宋_GB2312" w:eastAsia="仿宋_GB2312" w:cs="Times New Roman" w:hint="eastAsia"/>
          <w:sz w:val="32"/>
          <w:szCs w:val="32"/>
        </w:rPr>
        <w:t>”</w:t>
      </w:r>
      <w:r>
        <w:rPr>
          <w:rFonts w:ascii="仿宋_GB2312" w:eastAsia="仿宋_GB2312" w:hAnsi="宋体" w:cs="Times New Roman" w:hint="eastAsia"/>
          <w:sz w:val="32"/>
          <w:szCs w:val="32"/>
        </w:rPr>
        <w:t>的原则，严肃处理相关责任人，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事故发生后，事故现场有关人员应当立即向本单位负责人报告；单位负责人接到报告后，应当向委托人报告。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事故发生后，事故发生承包人应当严格保护事故现场，并立即启动事故相应应急预案，或者采取有效措施，组织抢救，防止事故扩大，减少人员伤亡和财产损失。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因抢救人员、疏导交通等原因，需要移动现场物件时，应当做出标志，绘制现场简图并作出书面记录，妥善保存现场重要痕迹、物证，有条件的可以拍照或录像。</w:t>
      </w:r>
    </w:p>
    <w:p w:rsidR="00BD422E" w:rsidRDefault="00000000">
      <w:pPr>
        <w:snapToGrid w:val="0"/>
        <w:spacing w:line="360" w:lineRule="auto"/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第三条  违约责任</w:t>
      </w:r>
    </w:p>
    <w:p w:rsidR="00BD422E" w:rsidRDefault="00000000">
      <w:pPr>
        <w:snapToGrid w:val="0"/>
        <w:spacing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如因监理人违约造成安全事故，将依法依约追究责任。</w:t>
      </w:r>
    </w:p>
    <w:p w:rsidR="00BD422E" w:rsidRDefault="00000000">
      <w:pPr>
        <w:snapToGrid w:val="0"/>
        <w:spacing w:line="360" w:lineRule="auto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第四条  </w:t>
      </w:r>
      <w:r>
        <w:rPr>
          <w:rFonts w:ascii="仿宋_GB2312" w:eastAsia="仿宋_GB2312" w:hAnsi="仿宋_GB2312" w:cs="仿宋_GB2312" w:hint="eastAsia"/>
          <w:sz w:val="32"/>
          <w:szCs w:val="32"/>
        </w:rPr>
        <w:t>本合同有效期为委托人和监理人双方自签署之日起至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监理服务验收合格之日止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D422E" w:rsidRDefault="00000000">
      <w:pPr>
        <w:snapToGrid w:val="0"/>
        <w:spacing w:line="360" w:lineRule="auto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第五条  </w:t>
      </w:r>
      <w:r>
        <w:rPr>
          <w:rFonts w:ascii="仿宋_GB2312" w:eastAsia="仿宋_GB2312" w:hAnsi="仿宋_GB2312" w:cs="仿宋_GB2312" w:hint="eastAsia"/>
          <w:sz w:val="32"/>
          <w:szCs w:val="32"/>
        </w:rPr>
        <w:t>本合同作为本项目监理服务合同的附件，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与监理服务合同具有同等的法律效力，经合同双方签署立即生效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D422E" w:rsidRDefault="00000000">
      <w:pPr>
        <w:snapToGrid w:val="0"/>
        <w:spacing w:line="360" w:lineRule="auto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第八条  </w:t>
      </w:r>
      <w:r>
        <w:rPr>
          <w:rFonts w:ascii="仿宋_GB2312" w:eastAsia="仿宋_GB2312" w:hAnsi="仿宋_GB2312" w:cs="仿宋_GB2312" w:hint="eastAsia"/>
          <w:sz w:val="32"/>
          <w:szCs w:val="32"/>
        </w:rPr>
        <w:t>本合</w:t>
      </w: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同一式肆份，双方各执贰份，具有同等法律效力。</w:t>
      </w:r>
    </w:p>
    <w:p w:rsidR="00BD422E" w:rsidRDefault="00BD422E">
      <w:pPr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</w:rPr>
      </w:pPr>
    </w:p>
    <w:p w:rsidR="00BD422E" w:rsidRDefault="00000000">
      <w:pPr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  <w:u w:val="single"/>
        </w:rPr>
      </w:pPr>
      <w:r>
        <w:rPr>
          <w:rFonts w:ascii="仿宋_GB2312" w:eastAsia="仿宋_GB2312" w:cs="Times New Roman" w:hint="eastAsia"/>
          <w:sz w:val="32"/>
          <w:szCs w:val="32"/>
        </w:rPr>
        <w:t>委托人（项目单位）：</w:t>
      </w:r>
      <w:r>
        <w:rPr>
          <w:rFonts w:ascii="仿宋_GB2312" w:eastAsia="仿宋_GB2312" w:cs="Times New Roman" w:hint="eastAsia"/>
          <w:bCs/>
          <w:sz w:val="32"/>
          <w:szCs w:val="32"/>
          <w:u w:val="single"/>
        </w:rPr>
        <w:t>福建省建新医院</w:t>
      </w:r>
      <w:r>
        <w:rPr>
          <w:rFonts w:ascii="仿宋_GB2312" w:eastAsia="仿宋_GB2312" w:cs="Times New Roman" w:hint="eastAsia"/>
          <w:sz w:val="32"/>
          <w:szCs w:val="32"/>
        </w:rPr>
        <w:t>（公章）</w:t>
      </w:r>
    </w:p>
    <w:p w:rsidR="00BD422E" w:rsidRDefault="00000000">
      <w:pPr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  <w:u w:val="single"/>
        </w:rPr>
      </w:pPr>
      <w:r>
        <w:rPr>
          <w:rFonts w:ascii="仿宋_GB2312" w:eastAsia="仿宋_GB2312" w:cs="Times New Roman" w:hint="eastAsia"/>
          <w:sz w:val="32"/>
          <w:szCs w:val="32"/>
        </w:rPr>
        <w:t>法定代表人或其委托代理人：</w:t>
      </w:r>
      <w:r>
        <w:rPr>
          <w:rFonts w:ascii="仿宋_GB2312" w:eastAsia="仿宋_GB2312" w:cs="Times New Roman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cs="Times New Roman" w:hint="eastAsia"/>
          <w:sz w:val="32"/>
          <w:szCs w:val="32"/>
        </w:rPr>
        <w:t>（签字或盖章）</w:t>
      </w:r>
    </w:p>
    <w:p w:rsidR="00BD422E" w:rsidRDefault="00000000">
      <w:pPr>
        <w:tabs>
          <w:tab w:val="left" w:pos="6720"/>
        </w:tabs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  <w:u w:val="single"/>
        </w:rPr>
      </w:pPr>
      <w:r>
        <w:rPr>
          <w:rFonts w:ascii="仿宋_GB2312" w:eastAsia="仿宋_GB2312" w:cs="Times New Roman" w:hint="eastAsia"/>
          <w:sz w:val="32"/>
          <w:szCs w:val="32"/>
        </w:rPr>
        <w:t>地址：</w:t>
      </w:r>
      <w:r>
        <w:rPr>
          <w:rFonts w:ascii="仿宋_GB2312" w:eastAsia="仿宋_GB2312" w:hint="eastAsia"/>
          <w:spacing w:val="-11"/>
          <w:sz w:val="32"/>
          <w:szCs w:val="32"/>
          <w:u w:val="single"/>
        </w:rPr>
        <w:t>福州市鼓楼区文林路57号</w:t>
      </w:r>
    </w:p>
    <w:p w:rsidR="00BD422E" w:rsidRDefault="00000000">
      <w:pPr>
        <w:adjustRightInd w:val="0"/>
        <w:snapToGrid w:val="0"/>
        <w:spacing w:line="360" w:lineRule="auto"/>
        <w:rPr>
          <w:rFonts w:ascii="仿宋_GB2312" w:eastAsia="仿宋_GB2312" w:cs="Times New Roman" w:hint="eastAsia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电话：</w:t>
      </w:r>
      <w:r>
        <w:rPr>
          <w:rFonts w:ascii="仿宋_GB2312" w:eastAsia="仿宋_GB2312" w:hint="eastAsia"/>
          <w:sz w:val="32"/>
          <w:szCs w:val="32"/>
          <w:u w:val="single"/>
        </w:rPr>
        <w:t>0591-63180</w:t>
      </w:r>
      <w:r w:rsidR="000E77D8">
        <w:rPr>
          <w:rFonts w:ascii="仿宋_GB2312" w:eastAsia="仿宋_GB2312" w:hint="eastAsia"/>
          <w:sz w:val="32"/>
          <w:szCs w:val="32"/>
          <w:u w:val="single"/>
        </w:rPr>
        <w:t>723</w:t>
      </w:r>
    </w:p>
    <w:p w:rsidR="00BD422E" w:rsidRDefault="00000000">
      <w:pPr>
        <w:pStyle w:val="a5"/>
        <w:spacing w:line="360" w:lineRule="auto"/>
        <w:ind w:firstLineChars="0" w:firstLine="0"/>
        <w:rPr>
          <w:rFonts w:ascii="仿宋_GB2312" w:eastAsia="仿宋_GB2312" w:cs="Times New Roman" w:hint="eastAsia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日期：    年    月    日</w:t>
      </w:r>
    </w:p>
    <w:p w:rsidR="00BD422E" w:rsidRDefault="00BD422E">
      <w:pPr>
        <w:pStyle w:val="a5"/>
        <w:spacing w:line="360" w:lineRule="auto"/>
        <w:ind w:firstLineChars="0" w:firstLine="0"/>
        <w:rPr>
          <w:rFonts w:ascii="仿宋_GB2312" w:eastAsia="仿宋_GB2312" w:cs="Times New Roman" w:hint="eastAsia"/>
          <w:sz w:val="32"/>
          <w:szCs w:val="32"/>
        </w:rPr>
      </w:pPr>
    </w:p>
    <w:p w:rsidR="00BD422E" w:rsidRDefault="00BD422E">
      <w:pPr>
        <w:pStyle w:val="a5"/>
        <w:spacing w:line="360" w:lineRule="auto"/>
        <w:ind w:firstLineChars="0" w:firstLine="0"/>
        <w:rPr>
          <w:rFonts w:ascii="仿宋_GB2312" w:eastAsia="仿宋_GB2312" w:cs="Times New Roman" w:hint="eastAsia"/>
          <w:sz w:val="32"/>
          <w:szCs w:val="32"/>
        </w:rPr>
      </w:pPr>
    </w:p>
    <w:p w:rsidR="00BD422E" w:rsidRDefault="00000000">
      <w:pPr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  <w:u w:val="single"/>
        </w:rPr>
      </w:pPr>
      <w:r>
        <w:rPr>
          <w:rFonts w:ascii="仿宋_GB2312" w:eastAsia="仿宋_GB2312" w:cs="Times New Roman" w:hint="eastAsia"/>
          <w:sz w:val="32"/>
          <w:szCs w:val="32"/>
        </w:rPr>
        <w:t>监理人：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cs="Times New Roman" w:hint="eastAsia"/>
          <w:sz w:val="32"/>
          <w:szCs w:val="32"/>
        </w:rPr>
        <w:t>（公章）</w:t>
      </w:r>
    </w:p>
    <w:p w:rsidR="00BD422E" w:rsidRDefault="00000000">
      <w:pPr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  <w:u w:val="single"/>
        </w:rPr>
      </w:pPr>
      <w:r>
        <w:rPr>
          <w:rFonts w:ascii="仿宋_GB2312" w:eastAsia="仿宋_GB2312" w:cs="Times New Roman" w:hint="eastAsia"/>
          <w:sz w:val="32"/>
          <w:szCs w:val="32"/>
        </w:rPr>
        <w:t>法定代表人或其委托代理人：</w:t>
      </w:r>
      <w:r>
        <w:rPr>
          <w:rFonts w:ascii="仿宋_GB2312" w:eastAsia="仿宋_GB2312" w:cs="Times New Roman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cs="Times New Roman" w:hint="eastAsia"/>
          <w:sz w:val="32"/>
          <w:szCs w:val="32"/>
        </w:rPr>
        <w:t>（签字或盖章）</w:t>
      </w:r>
    </w:p>
    <w:p w:rsidR="00BD422E" w:rsidRDefault="00000000">
      <w:pPr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  <w:u w:val="single"/>
        </w:rPr>
      </w:pPr>
      <w:r>
        <w:rPr>
          <w:rFonts w:ascii="仿宋_GB2312" w:eastAsia="仿宋_GB2312" w:cs="Times New Roman" w:hint="eastAsia"/>
          <w:sz w:val="32"/>
          <w:szCs w:val="32"/>
        </w:rPr>
        <w:t>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BD422E" w:rsidRDefault="00000000">
      <w:pPr>
        <w:adjustRightInd w:val="0"/>
        <w:snapToGrid w:val="0"/>
        <w:spacing w:line="360" w:lineRule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BD422E" w:rsidRDefault="00000000">
      <w:pPr>
        <w:pStyle w:val="a5"/>
        <w:spacing w:line="360" w:lineRule="auto"/>
        <w:ind w:firstLineChars="0" w:firstLine="0"/>
        <w:rPr>
          <w:rFonts w:ascii="仿宋_GB2312" w:eastAsia="仿宋_GB2312" w:hint="eastAsia"/>
          <w:sz w:val="36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日期：    年    月    日</w:t>
      </w:r>
    </w:p>
    <w:p w:rsidR="00BD422E" w:rsidRDefault="00BD422E">
      <w:pPr>
        <w:pStyle w:val="a5"/>
        <w:spacing w:line="360" w:lineRule="auto"/>
        <w:ind w:firstLineChars="0" w:firstLine="0"/>
        <w:rPr>
          <w:rFonts w:hint="eastAsia"/>
        </w:rPr>
      </w:pPr>
    </w:p>
    <w:sectPr w:rsidR="00BD422E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4EEA" w:rsidRDefault="00B64EEA">
      <w:r>
        <w:separator/>
      </w:r>
    </w:p>
  </w:endnote>
  <w:endnote w:type="continuationSeparator" w:id="0">
    <w:p w:rsidR="00B64EEA" w:rsidRDefault="00B6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D422E" w:rsidRDefault="00000000">
    <w:pPr>
      <w:pStyle w:val="a6"/>
      <w:spacing w:line="14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D422E" w:rsidRDefault="00000000">
                          <w:pPr>
                            <w:pStyle w:val="a8"/>
                            <w:jc w:val="center"/>
                            <w:rPr>
                              <w:rFonts w:asciiTheme="minorEastAsia" w:eastAsiaTheme="minorEastAsia" w:hAnsi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/>
                              <w:sz w:val="28"/>
                              <w:szCs w:val="28"/>
                            </w:rPr>
                            <w:t>84</w:t>
                          </w:r>
                          <w:r>
                            <w:rPr>
                              <w:rFonts w:asciiTheme="minorEastAsia" w:eastAsiaTheme="minorEastAsia" w:hAnsi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" filled="f" stroked="f">
              <v:textbox inset="0,0,0,0">
                <w:txbxContent>
                  <w:p w:rsidR="00BD422E" w:rsidRDefault="00000000">
                    <w:pPr>
                      <w:pStyle w:val="a8"/>
                      <w:jc w:val="center"/>
                      <w:rPr>
                        <w:rFonts w:asciiTheme="minorEastAsia" w:eastAsiaTheme="minorEastAsia" w:hAnsi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/>
                        <w:sz w:val="28"/>
                        <w:szCs w:val="28"/>
                      </w:rPr>
                      <w:t>84</w:t>
                    </w:r>
                    <w:r>
                      <w:rPr>
                        <w:rFonts w:asciiTheme="minorEastAsia" w:eastAsiaTheme="minorEastAsia" w:hAnsi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4EEA" w:rsidRDefault="00B64EEA">
      <w:r>
        <w:separator/>
      </w:r>
    </w:p>
  </w:footnote>
  <w:footnote w:type="continuationSeparator" w:id="0">
    <w:p w:rsidR="00B64EEA" w:rsidRDefault="00B64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9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M3ZDY2N2Y4MjI5OGYxZmRjNDlhYmU3Y2ZiOTM1ZTEifQ=="/>
  </w:docVars>
  <w:rsids>
    <w:rsidRoot w:val="002C0B6A"/>
    <w:rsid w:val="000E77D8"/>
    <w:rsid w:val="001A7FFC"/>
    <w:rsid w:val="002C0B6A"/>
    <w:rsid w:val="002F5471"/>
    <w:rsid w:val="0057092B"/>
    <w:rsid w:val="005D5A0B"/>
    <w:rsid w:val="005D738B"/>
    <w:rsid w:val="005F7759"/>
    <w:rsid w:val="007F602D"/>
    <w:rsid w:val="00825D1C"/>
    <w:rsid w:val="00B64EEA"/>
    <w:rsid w:val="00B677A1"/>
    <w:rsid w:val="00BD422E"/>
    <w:rsid w:val="00CA0C13"/>
    <w:rsid w:val="00DE67DD"/>
    <w:rsid w:val="01873A23"/>
    <w:rsid w:val="04E43544"/>
    <w:rsid w:val="05BE3D95"/>
    <w:rsid w:val="05D14161"/>
    <w:rsid w:val="078D33B0"/>
    <w:rsid w:val="098436EC"/>
    <w:rsid w:val="0A14667A"/>
    <w:rsid w:val="0F633B95"/>
    <w:rsid w:val="135A334F"/>
    <w:rsid w:val="13AB3BAB"/>
    <w:rsid w:val="14641FAC"/>
    <w:rsid w:val="1465041C"/>
    <w:rsid w:val="178531FE"/>
    <w:rsid w:val="180D792A"/>
    <w:rsid w:val="1D293D92"/>
    <w:rsid w:val="1D9358AD"/>
    <w:rsid w:val="1DC064A5"/>
    <w:rsid w:val="1E696B3C"/>
    <w:rsid w:val="1FAE2BFA"/>
    <w:rsid w:val="22364F87"/>
    <w:rsid w:val="23671171"/>
    <w:rsid w:val="247F37B8"/>
    <w:rsid w:val="2514590F"/>
    <w:rsid w:val="25CF4FE9"/>
    <w:rsid w:val="26A27DFA"/>
    <w:rsid w:val="27090F79"/>
    <w:rsid w:val="2B6C1A1A"/>
    <w:rsid w:val="2E6B5A46"/>
    <w:rsid w:val="2E721504"/>
    <w:rsid w:val="2ECC182A"/>
    <w:rsid w:val="2F194722"/>
    <w:rsid w:val="31F6028F"/>
    <w:rsid w:val="34042F23"/>
    <w:rsid w:val="344C0532"/>
    <w:rsid w:val="349A13A6"/>
    <w:rsid w:val="34D86B0F"/>
    <w:rsid w:val="35B30245"/>
    <w:rsid w:val="38806B05"/>
    <w:rsid w:val="3A43428E"/>
    <w:rsid w:val="3BE23F50"/>
    <w:rsid w:val="3D475E43"/>
    <w:rsid w:val="3DEE2762"/>
    <w:rsid w:val="425D222F"/>
    <w:rsid w:val="436A2C9D"/>
    <w:rsid w:val="44F6109B"/>
    <w:rsid w:val="47934CD1"/>
    <w:rsid w:val="486C2C02"/>
    <w:rsid w:val="4A2529D6"/>
    <w:rsid w:val="4A4619E4"/>
    <w:rsid w:val="4B2D2D60"/>
    <w:rsid w:val="4B3C2D5F"/>
    <w:rsid w:val="50B027F6"/>
    <w:rsid w:val="529E60AD"/>
    <w:rsid w:val="52EC36E0"/>
    <w:rsid w:val="53E775E0"/>
    <w:rsid w:val="548E0F05"/>
    <w:rsid w:val="55F83D27"/>
    <w:rsid w:val="562A0A72"/>
    <w:rsid w:val="567C6152"/>
    <w:rsid w:val="568F468B"/>
    <w:rsid w:val="574C432A"/>
    <w:rsid w:val="59173FA0"/>
    <w:rsid w:val="5BE865EB"/>
    <w:rsid w:val="5C833E3C"/>
    <w:rsid w:val="5CA15DC2"/>
    <w:rsid w:val="5F5211E8"/>
    <w:rsid w:val="5FC16219"/>
    <w:rsid w:val="62B92069"/>
    <w:rsid w:val="633856C0"/>
    <w:rsid w:val="643273F2"/>
    <w:rsid w:val="64D8544F"/>
    <w:rsid w:val="6542378D"/>
    <w:rsid w:val="681349F0"/>
    <w:rsid w:val="6CCC5F89"/>
    <w:rsid w:val="6D205BE5"/>
    <w:rsid w:val="6E331948"/>
    <w:rsid w:val="6FF505CE"/>
    <w:rsid w:val="708F6BDE"/>
    <w:rsid w:val="710577B1"/>
    <w:rsid w:val="71193077"/>
    <w:rsid w:val="71A76263"/>
    <w:rsid w:val="734168B5"/>
    <w:rsid w:val="73C80D84"/>
    <w:rsid w:val="74235FBB"/>
    <w:rsid w:val="75F1669B"/>
    <w:rsid w:val="761845C8"/>
    <w:rsid w:val="77EB6DF0"/>
    <w:rsid w:val="794C7D62"/>
    <w:rsid w:val="798C68E8"/>
    <w:rsid w:val="79A94CF0"/>
    <w:rsid w:val="7AA5597C"/>
    <w:rsid w:val="7B6A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2EC136"/>
  <w15:docId w15:val="{0CD735E0-B0A3-4910-91E4-A802E27A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cstheme="minorBidi"/>
      <w:kern w:val="2"/>
      <w:sz w:val="21"/>
      <w:szCs w:val="24"/>
    </w:rPr>
  </w:style>
  <w:style w:type="paragraph" w:styleId="20">
    <w:name w:val="heading 2"/>
    <w:basedOn w:val="a"/>
    <w:next w:val="a0"/>
    <w:qFormat/>
    <w:pPr>
      <w:ind w:left="641" w:hanging="401"/>
      <w:outlineLvl w:val="1"/>
    </w:pPr>
    <w:rPr>
      <w:rFonts w:ascii="Microsoft JhengHei" w:eastAsia="Microsoft JhengHei" w:cs="Microsoft JhengHei"/>
      <w:b/>
      <w:bCs/>
      <w:sz w:val="32"/>
      <w:szCs w:val="32"/>
      <w:lang w:val="zh-CN" w:bidi="zh-CN"/>
    </w:rPr>
  </w:style>
  <w:style w:type="paragraph" w:styleId="3">
    <w:name w:val="heading 3"/>
    <w:basedOn w:val="a"/>
    <w:next w:val="a"/>
    <w:qFormat/>
    <w:pPr>
      <w:keepNext/>
      <w:keepLines/>
      <w:adjustRightInd w:val="0"/>
      <w:spacing w:before="260" w:after="260" w:line="416" w:lineRule="atLeast"/>
      <w:textAlignment w:val="baseline"/>
      <w:outlineLvl w:val="2"/>
    </w:pPr>
    <w:rPr>
      <w:rFonts w:cs="Times New Roman"/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Cambria" w:hAnsi="Cambria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First Indent 2"/>
    <w:basedOn w:val="a4"/>
    <w:next w:val="a5"/>
    <w:qFormat/>
    <w:pPr>
      <w:ind w:left="420" w:firstLineChars="200" w:firstLine="420"/>
    </w:pPr>
    <w:rPr>
      <w:sz w:val="22"/>
      <w:szCs w:val="22"/>
    </w:rPr>
  </w:style>
  <w:style w:type="paragraph" w:styleId="a4">
    <w:name w:val="Body Text Indent"/>
    <w:basedOn w:val="a"/>
    <w:next w:val="a"/>
    <w:qFormat/>
    <w:pPr>
      <w:spacing w:after="120"/>
      <w:ind w:leftChars="200" w:left="200"/>
    </w:pPr>
    <w:rPr>
      <w:sz w:val="20"/>
      <w:szCs w:val="20"/>
    </w:rPr>
  </w:style>
  <w:style w:type="paragraph" w:customStyle="1" w:styleId="a5">
    <w:name w:val="正文格式"/>
    <w:basedOn w:val="a"/>
    <w:qFormat/>
    <w:pPr>
      <w:tabs>
        <w:tab w:val="left" w:pos="992"/>
      </w:tabs>
      <w:ind w:firstLineChars="200" w:firstLine="200"/>
    </w:pPr>
    <w:rPr>
      <w:rFonts w:ascii="宋体" w:hAnsi="宋体"/>
      <w:sz w:val="28"/>
    </w:rPr>
  </w:style>
  <w:style w:type="paragraph" w:styleId="a0">
    <w:name w:val="Normal Indent"/>
    <w:basedOn w:val="a"/>
    <w:qFormat/>
    <w:pPr>
      <w:adjustRightInd w:val="0"/>
      <w:spacing w:line="360" w:lineRule="atLeast"/>
      <w:ind w:firstLine="420"/>
      <w:textAlignment w:val="baseline"/>
    </w:pPr>
    <w:rPr>
      <w:rFonts w:cs="Times New Roman"/>
      <w:szCs w:val="20"/>
    </w:rPr>
  </w:style>
  <w:style w:type="paragraph" w:styleId="a6">
    <w:name w:val="Body Text"/>
    <w:basedOn w:val="a"/>
    <w:qFormat/>
    <w:rPr>
      <w:szCs w:val="21"/>
    </w:rPr>
  </w:style>
  <w:style w:type="paragraph" w:styleId="a7">
    <w:name w:val="Date"/>
    <w:basedOn w:val="a"/>
    <w:next w:val="a"/>
    <w:qFormat/>
    <w:pPr>
      <w:ind w:leftChars="2500" w:left="2500"/>
    </w:p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qFormat/>
  </w:style>
  <w:style w:type="paragraph" w:customStyle="1" w:styleId="CM99">
    <w:name w:val="CM99"/>
    <w:basedOn w:val="Default"/>
    <w:next w:val="Default"/>
    <w:qFormat/>
    <w:pPr>
      <w:spacing w:after="443"/>
    </w:pPr>
    <w:rPr>
      <w:color w:val="auto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</w:rPr>
  </w:style>
  <w:style w:type="paragraph" w:customStyle="1" w:styleId="CM44">
    <w:name w:val="CM44"/>
    <w:next w:val="a7"/>
    <w:qFormat/>
    <w:pPr>
      <w:widowControl w:val="0"/>
      <w:autoSpaceDE w:val="0"/>
      <w:autoSpaceDN w:val="0"/>
      <w:adjustRightInd w:val="0"/>
      <w:spacing w:line="440" w:lineRule="atLeast"/>
    </w:pPr>
    <w:rPr>
      <w:rFonts w:ascii="宋体"/>
      <w:sz w:val="24"/>
      <w:szCs w:val="24"/>
    </w:rPr>
  </w:style>
  <w:style w:type="paragraph" w:customStyle="1" w:styleId="CM91">
    <w:name w:val="CM91"/>
    <w:basedOn w:val="Default"/>
    <w:next w:val="Default"/>
    <w:qFormat/>
    <w:pPr>
      <w:spacing w:after="160"/>
    </w:pPr>
    <w:rPr>
      <w:color w:val="auto"/>
    </w:rPr>
  </w:style>
  <w:style w:type="paragraph" w:customStyle="1" w:styleId="21">
    <w:name w:val="标题 21"/>
    <w:basedOn w:val="a"/>
    <w:qFormat/>
    <w:pPr>
      <w:ind w:left="641" w:hanging="401"/>
      <w:outlineLvl w:val="2"/>
    </w:pPr>
    <w:rPr>
      <w:rFonts w:ascii="Microsoft JhengHei" w:eastAsia="Microsoft JhengHei" w:cs="Microsoft JhengHe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建 基</cp:lastModifiedBy>
  <cp:revision>6</cp:revision>
  <dcterms:created xsi:type="dcterms:W3CDTF">2022-10-19T02:34:00Z</dcterms:created>
  <dcterms:modified xsi:type="dcterms:W3CDTF">2025-06-03T05:08:00Z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6865A5268E7B4A1EBA3A330AD3D44C63</vt:lpwstr>
  </property>
  <property fmtid="{D5CDD505-2E9C-101B-9397-08002B2CF9AE}" pid="4" name="KSOTemplateDocerSaveRecord">
    <vt:lpwstr>eyJoZGlkIjoiOGQzMjZjZGNmNDlmY2Q3Mjk3YTAwMjhlMmVhNWYzZDciLCJ1c2VySWQiOiI3MzQ2OTk2OTAifQ==</vt:lpwstr>
  </property>
</Properties>
</file>