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b/>
          <w:bCs/>
          <w:sz w:val="84"/>
        </w:rPr>
      </w:pPr>
    </w:p>
    <w:p>
      <w:pPr>
        <w:spacing w:line="360" w:lineRule="auto"/>
        <w:jc w:val="center"/>
        <w:rPr>
          <w:rFonts w:ascii="宋体" w:hAnsi="宋体"/>
          <w:b/>
          <w:bCs/>
          <w:kern w:val="44"/>
          <w:sz w:val="84"/>
        </w:rPr>
      </w:pPr>
      <w:r>
        <w:rPr>
          <w:rFonts w:hint="eastAsia" w:ascii="宋体" w:hAnsi="宋体"/>
          <w:b/>
          <w:bCs/>
          <w:sz w:val="84"/>
        </w:rPr>
        <w:t>公开招标</w:t>
      </w:r>
      <w:r>
        <w:rPr>
          <w:rFonts w:ascii="宋体" w:hAnsi="宋体"/>
          <w:b/>
          <w:bCs/>
          <w:sz w:val="84"/>
        </w:rPr>
        <w:t>文件</w:t>
      </w:r>
    </w:p>
    <w:p>
      <w:pPr>
        <w:spacing w:line="360" w:lineRule="auto"/>
        <w:rPr>
          <w:rFonts w:ascii="宋体" w:hAnsi="宋体"/>
          <w:b/>
          <w:bCs/>
          <w:kern w:val="44"/>
          <w:sz w:val="84"/>
        </w:rPr>
      </w:pPr>
      <w:r>
        <w:rPr>
          <w:rFonts w:ascii="宋体" w:hAnsi="宋体"/>
          <w:sz w:val="84"/>
        </w:rPr>
        <w:t xml:space="preserve"> </w:t>
      </w:r>
    </w:p>
    <w:p>
      <w:pPr>
        <w:pStyle w:val="17"/>
        <w:spacing w:after="100" w:afterAutospacing="1" w:line="0" w:lineRule="atLeast"/>
        <w:ind w:firstLine="2731" w:firstLineChars="850"/>
        <w:rPr>
          <w:rFonts w:hint="default" w:hAnsi="宋体"/>
          <w:b/>
          <w:bCs/>
          <w:sz w:val="32"/>
          <w:u w:val="single"/>
        </w:rPr>
      </w:pPr>
      <w:r>
        <w:rPr>
          <w:rFonts w:hAnsi="宋体"/>
          <w:b/>
          <w:bCs/>
          <w:sz w:val="32"/>
        </w:rPr>
        <w:t>招标编号：FJYS2021-248</w:t>
      </w:r>
    </w:p>
    <w:p>
      <w:pPr>
        <w:pStyle w:val="17"/>
        <w:spacing w:line="0" w:lineRule="atLeast"/>
        <w:jc w:val="center"/>
        <w:rPr>
          <w:rFonts w:hint="default" w:hAnsi="宋体"/>
          <w:b/>
          <w:bCs/>
          <w:sz w:val="32"/>
        </w:rPr>
      </w:pPr>
      <w:r>
        <w:rPr>
          <w:rFonts w:hAnsi="宋体"/>
          <w:b/>
          <w:bCs/>
          <w:sz w:val="32"/>
        </w:rPr>
        <w:t>（预公告）</w:t>
      </w:r>
    </w:p>
    <w:p>
      <w:pPr>
        <w:pStyle w:val="17"/>
        <w:spacing w:line="0" w:lineRule="atLeast"/>
        <w:ind w:firstLine="1928" w:firstLineChars="600"/>
        <w:rPr>
          <w:rFonts w:hint="default" w:hAnsi="宋体"/>
          <w:b/>
          <w:bCs/>
          <w:sz w:val="32"/>
        </w:rPr>
      </w:pPr>
      <w:r>
        <w:rPr>
          <w:rFonts w:hAnsi="宋体"/>
          <w:b/>
          <w:bCs/>
          <w:sz w:val="32"/>
        </w:rPr>
        <w:t xml:space="preserve">    </w:t>
      </w:r>
    </w:p>
    <w:p>
      <w:pPr>
        <w:pStyle w:val="17"/>
        <w:spacing w:line="0" w:lineRule="atLeast"/>
        <w:jc w:val="center"/>
        <w:rPr>
          <w:rFonts w:hint="default" w:hAnsi="宋体"/>
          <w:b/>
          <w:bCs/>
          <w:sz w:val="32"/>
        </w:rPr>
      </w:pPr>
      <w:r>
        <w:rPr>
          <w:rFonts w:hAnsi="宋体"/>
          <w:b/>
          <w:bCs/>
          <w:sz w:val="32"/>
        </w:rPr>
        <w:t>项目名称：2021年度建阳兴欣织造有限责任公司缝纫设备采购项目</w:t>
      </w:r>
    </w:p>
    <w:p>
      <w:pPr>
        <w:spacing w:line="500" w:lineRule="exact"/>
        <w:jc w:val="center"/>
        <w:rPr>
          <w:rFonts w:cs="宋体"/>
          <w:u w:val="single"/>
        </w:rPr>
      </w:pPr>
    </w:p>
    <w:p>
      <w:pPr>
        <w:spacing w:line="500" w:lineRule="exact"/>
        <w:jc w:val="center"/>
        <w:rPr>
          <w:rFonts w:ascii="宋体" w:hAnsi="宋体"/>
          <w:b/>
          <w:bCs/>
          <w:sz w:val="48"/>
        </w:rPr>
      </w:pPr>
    </w:p>
    <w:p>
      <w:pPr>
        <w:spacing w:line="500" w:lineRule="exact"/>
        <w:jc w:val="center"/>
        <w:rPr>
          <w:rFonts w:ascii="宋体" w:hAnsi="宋体"/>
          <w:b/>
          <w:bCs/>
          <w:sz w:val="32"/>
          <w:szCs w:val="32"/>
        </w:rPr>
      </w:pPr>
      <w:r>
        <w:rPr>
          <w:rFonts w:hint="eastAsia" w:ascii="宋体" w:hAnsi="宋体"/>
          <w:b/>
          <w:bCs/>
          <w:sz w:val="32"/>
          <w:szCs w:val="32"/>
        </w:rPr>
        <w:t xml:space="preserve"> 招标人：福建省建阳兴欣织造有限责任公司</w:t>
      </w:r>
    </w:p>
    <w:p>
      <w:pPr>
        <w:spacing w:line="500" w:lineRule="exact"/>
        <w:jc w:val="center"/>
        <w:rPr>
          <w:rFonts w:ascii="宋体" w:hAnsi="宋体"/>
          <w:b/>
          <w:bCs/>
          <w:sz w:val="32"/>
          <w:szCs w:val="32"/>
        </w:rPr>
      </w:pPr>
    </w:p>
    <w:p>
      <w:pPr>
        <w:spacing w:line="500" w:lineRule="exact"/>
        <w:jc w:val="center"/>
        <w:rPr>
          <w:rFonts w:ascii="宋体" w:hAnsi="宋体"/>
          <w:b/>
          <w:bCs/>
          <w:sz w:val="32"/>
          <w:szCs w:val="32"/>
        </w:rPr>
      </w:pPr>
    </w:p>
    <w:p>
      <w:pPr>
        <w:spacing w:line="500" w:lineRule="exact"/>
        <w:jc w:val="center"/>
        <w:rPr>
          <w:rFonts w:ascii="宋体" w:hAnsi="宋体"/>
          <w:b/>
          <w:bCs/>
          <w:sz w:val="32"/>
          <w:szCs w:val="32"/>
        </w:rPr>
      </w:pPr>
    </w:p>
    <w:p>
      <w:pPr>
        <w:spacing w:line="500" w:lineRule="exact"/>
        <w:jc w:val="center"/>
        <w:rPr>
          <w:rFonts w:ascii="宋体" w:hAnsi="宋体"/>
          <w:b/>
          <w:bCs/>
          <w:kern w:val="44"/>
          <w:sz w:val="32"/>
          <w:szCs w:val="32"/>
        </w:rPr>
      </w:pPr>
      <w:r>
        <w:rPr>
          <w:rFonts w:ascii="宋体" w:hAnsi="宋体"/>
          <w:b/>
          <w:bCs/>
          <w:sz w:val="32"/>
          <w:szCs w:val="32"/>
        </w:rPr>
        <w:t>福建优胜招标项目管理集团有限公司</w:t>
      </w:r>
    </w:p>
    <w:p>
      <w:pPr>
        <w:spacing w:line="500" w:lineRule="exact"/>
        <w:jc w:val="center"/>
        <w:rPr>
          <w:rFonts w:ascii="宋体" w:hAnsi="宋体"/>
          <w:b/>
          <w:bCs/>
          <w:sz w:val="32"/>
          <w:szCs w:val="32"/>
        </w:rPr>
      </w:pPr>
      <w:r>
        <w:rPr>
          <w:rFonts w:ascii="宋体" w:hAnsi="宋体"/>
          <w:b/>
          <w:bCs/>
          <w:sz w:val="32"/>
          <w:szCs w:val="32"/>
        </w:rPr>
        <w:t>二0二</w:t>
      </w:r>
      <w:r>
        <w:rPr>
          <w:rFonts w:hint="eastAsia" w:ascii="宋体" w:hAnsi="宋体"/>
          <w:b/>
          <w:bCs/>
          <w:sz w:val="32"/>
          <w:szCs w:val="32"/>
        </w:rPr>
        <w:t>一年八</w:t>
      </w:r>
      <w:r>
        <w:rPr>
          <w:rFonts w:ascii="宋体" w:hAnsi="宋体"/>
          <w:b/>
          <w:bCs/>
          <w:sz w:val="32"/>
          <w:szCs w:val="32"/>
        </w:rPr>
        <w:t>月</w:t>
      </w:r>
    </w:p>
    <w:p>
      <w:pPr>
        <w:spacing w:line="500" w:lineRule="exact"/>
        <w:rPr>
          <w:rFonts w:ascii="宋体" w:hAnsi="宋体"/>
          <w:b/>
          <w:sz w:val="48"/>
          <w:u w:val="single"/>
        </w:rPr>
      </w:pPr>
      <w:r>
        <w:rPr>
          <w:rFonts w:hint="eastAsia" w:ascii="宋体" w:hAnsi="宋体"/>
          <w:b/>
          <w:sz w:val="48"/>
          <w:u w:val="single"/>
        </w:rPr>
        <w:t xml:space="preserve">                                       </w:t>
      </w:r>
    </w:p>
    <w:p>
      <w:pPr>
        <w:snapToGrid w:val="0"/>
        <w:spacing w:line="500" w:lineRule="atLeast"/>
        <w:rPr>
          <w:rFonts w:ascii="宋体" w:hAnsi="宋体"/>
          <w:b/>
          <w:bCs/>
          <w:sz w:val="28"/>
        </w:rPr>
      </w:pPr>
      <w:r>
        <w:rPr>
          <w:rFonts w:hint="eastAsia" w:ascii="宋体" w:hAnsi="宋体"/>
          <w:b/>
          <w:sz w:val="28"/>
        </w:rPr>
        <w:t>地    址：福州市鼓楼区工业路526号华润万象城一期S2#4层</w:t>
      </w:r>
    </w:p>
    <w:p>
      <w:pPr>
        <w:snapToGrid w:val="0"/>
        <w:spacing w:line="500" w:lineRule="atLeast"/>
        <w:rPr>
          <w:rFonts w:ascii="宋体" w:hAnsi="宋体"/>
          <w:b/>
          <w:sz w:val="28"/>
        </w:rPr>
      </w:pPr>
      <w:r>
        <w:rPr>
          <w:rFonts w:hint="eastAsia" w:ascii="宋体" w:hAnsi="宋体"/>
          <w:b/>
          <w:sz w:val="28"/>
        </w:rPr>
        <w:t>电    话：0591-87679372  87679352          邮  编：350003</w:t>
      </w:r>
    </w:p>
    <w:p>
      <w:pPr>
        <w:snapToGrid w:val="0"/>
        <w:spacing w:line="500" w:lineRule="atLeast"/>
        <w:rPr>
          <w:rFonts w:ascii="宋体" w:hAnsi="宋体"/>
          <w:b/>
          <w:sz w:val="28"/>
        </w:rPr>
      </w:pPr>
      <w:r>
        <w:rPr>
          <w:rFonts w:hint="eastAsia" w:ascii="宋体" w:hAnsi="宋体"/>
          <w:b/>
          <w:sz w:val="28"/>
        </w:rPr>
        <w:t xml:space="preserve">传    真：0591-87610660             </w:t>
      </w:r>
    </w:p>
    <w:p>
      <w:pPr>
        <w:spacing w:line="360" w:lineRule="auto"/>
        <w:rPr>
          <w:rFonts w:ascii="宋体" w:hAnsi="宋体"/>
          <w:b/>
          <w:bCs/>
          <w:sz w:val="28"/>
        </w:rPr>
      </w:pPr>
      <w:r>
        <w:rPr>
          <w:rFonts w:hint="eastAsia" w:ascii="宋体" w:hAnsi="宋体"/>
          <w:b/>
          <w:bCs/>
          <w:sz w:val="28"/>
        </w:rPr>
        <w:t>网    址：www.fjyszb.com</w:t>
      </w:r>
    </w:p>
    <w:p>
      <w:pPr>
        <w:tabs>
          <w:tab w:val="right" w:leader="dot" w:pos="8778"/>
        </w:tabs>
        <w:adjustRightInd w:val="0"/>
        <w:spacing w:line="700" w:lineRule="exact"/>
        <w:ind w:firstLine="723" w:firstLineChars="200"/>
        <w:jc w:val="center"/>
        <w:textAlignment w:val="baseline"/>
        <w:rPr>
          <w:rFonts w:ascii="宋体" w:hAnsi="宋体"/>
          <w:b/>
          <w:snapToGrid w:val="0"/>
          <w:kern w:val="0"/>
          <w:sz w:val="36"/>
        </w:rPr>
      </w:pPr>
    </w:p>
    <w:p>
      <w:pPr>
        <w:tabs>
          <w:tab w:val="right" w:leader="dot" w:pos="8778"/>
        </w:tabs>
        <w:adjustRightInd w:val="0"/>
        <w:spacing w:line="700" w:lineRule="exact"/>
        <w:ind w:firstLine="723" w:firstLineChars="200"/>
        <w:jc w:val="center"/>
        <w:textAlignment w:val="baseline"/>
        <w:rPr>
          <w:rFonts w:ascii="宋体" w:hAnsi="宋体"/>
          <w:b/>
          <w:snapToGrid w:val="0"/>
          <w:kern w:val="0"/>
          <w:sz w:val="36"/>
        </w:rPr>
      </w:pPr>
    </w:p>
    <w:p>
      <w:pPr>
        <w:tabs>
          <w:tab w:val="right" w:leader="dot" w:pos="8778"/>
        </w:tabs>
        <w:adjustRightInd w:val="0"/>
        <w:spacing w:line="700" w:lineRule="exact"/>
        <w:ind w:firstLine="723" w:firstLineChars="200"/>
        <w:jc w:val="center"/>
        <w:textAlignment w:val="baseline"/>
        <w:rPr>
          <w:rFonts w:ascii="宋体" w:hAnsi="宋体"/>
          <w:b/>
          <w:snapToGrid w:val="0"/>
          <w:kern w:val="0"/>
          <w:sz w:val="36"/>
        </w:rPr>
      </w:pPr>
    </w:p>
    <w:p>
      <w:pPr>
        <w:tabs>
          <w:tab w:val="right" w:leader="dot" w:pos="8778"/>
        </w:tabs>
        <w:adjustRightInd w:val="0"/>
        <w:spacing w:line="700" w:lineRule="exact"/>
        <w:ind w:firstLine="723" w:firstLineChars="200"/>
        <w:jc w:val="center"/>
        <w:textAlignment w:val="baseline"/>
        <w:rPr>
          <w:rFonts w:ascii="宋体" w:hAnsi="宋体"/>
          <w:b/>
          <w:snapToGrid w:val="0"/>
          <w:kern w:val="0"/>
          <w:sz w:val="36"/>
        </w:rPr>
      </w:pPr>
      <w:r>
        <w:rPr>
          <w:rFonts w:hint="eastAsia" w:ascii="宋体" w:hAnsi="宋体"/>
          <w:b/>
          <w:snapToGrid w:val="0"/>
          <w:kern w:val="0"/>
          <w:sz w:val="36"/>
        </w:rPr>
        <w:t>目             录</w:t>
      </w:r>
    </w:p>
    <w:p>
      <w:pPr>
        <w:pStyle w:val="24"/>
        <w:tabs>
          <w:tab w:val="right" w:leader="dot" w:pos="8777"/>
        </w:tabs>
        <w:spacing w:line="480" w:lineRule="auto"/>
        <w:rPr>
          <w:szCs w:val="22"/>
        </w:rPr>
      </w:pPr>
      <w:r>
        <w:rPr>
          <w:sz w:val="24"/>
          <w:szCs w:val="24"/>
        </w:rPr>
        <w:fldChar w:fldCharType="begin"/>
      </w:r>
      <w:r>
        <w:rPr>
          <w:sz w:val="24"/>
          <w:szCs w:val="24"/>
        </w:rPr>
        <w:instrText xml:space="preserve"> </w:instrText>
      </w:r>
      <w:r>
        <w:rPr>
          <w:rFonts w:hint="eastAsia"/>
          <w:sz w:val="24"/>
          <w:szCs w:val="24"/>
        </w:rPr>
        <w:instrText xml:space="preserve">TOC \o "1-3" \h \z \u</w:instrText>
      </w:r>
      <w:r>
        <w:rPr>
          <w:sz w:val="24"/>
          <w:szCs w:val="24"/>
        </w:rPr>
        <w:instrText xml:space="preserve"> </w:instrText>
      </w:r>
      <w:r>
        <w:rPr>
          <w:sz w:val="24"/>
          <w:szCs w:val="24"/>
        </w:rPr>
        <w:fldChar w:fldCharType="separate"/>
      </w:r>
      <w:r>
        <w:fldChar w:fldCharType="begin"/>
      </w:r>
      <w:r>
        <w:instrText xml:space="preserve"> HYPERLINK \l "_Toc74326505" </w:instrText>
      </w:r>
      <w:r>
        <w:fldChar w:fldCharType="separate"/>
      </w:r>
      <w:r>
        <w:rPr>
          <w:rStyle w:val="42"/>
          <w:rFonts w:hint="eastAsia" w:ascii="宋体" w:hAnsi="宋体"/>
          <w:b/>
          <w:color w:val="auto"/>
        </w:rPr>
        <w:t>第一章</w:t>
      </w:r>
      <w:r>
        <w:rPr>
          <w:rStyle w:val="42"/>
          <w:rFonts w:ascii="宋体" w:hAnsi="宋体"/>
          <w:b/>
          <w:color w:val="auto"/>
        </w:rPr>
        <w:t xml:space="preserve">  </w:t>
      </w:r>
      <w:r>
        <w:rPr>
          <w:rStyle w:val="42"/>
          <w:rFonts w:hint="eastAsia" w:ascii="宋体" w:hAnsi="宋体"/>
          <w:b/>
          <w:color w:val="auto"/>
        </w:rPr>
        <w:t>投标邀请</w:t>
      </w:r>
      <w:r>
        <w:tab/>
      </w:r>
      <w:r>
        <w:fldChar w:fldCharType="begin"/>
      </w:r>
      <w:r>
        <w:instrText xml:space="preserve"> PAGEREF _Toc74326505 \h </w:instrText>
      </w:r>
      <w:r>
        <w:fldChar w:fldCharType="separate"/>
      </w:r>
      <w:r>
        <w:t>3</w:t>
      </w:r>
      <w:r>
        <w:fldChar w:fldCharType="end"/>
      </w:r>
      <w:r>
        <w:fldChar w:fldCharType="end"/>
      </w:r>
    </w:p>
    <w:p>
      <w:pPr>
        <w:pStyle w:val="24"/>
        <w:tabs>
          <w:tab w:val="right" w:leader="dot" w:pos="8777"/>
        </w:tabs>
        <w:spacing w:line="480" w:lineRule="auto"/>
        <w:rPr>
          <w:szCs w:val="22"/>
        </w:rPr>
      </w:pPr>
      <w:r>
        <w:fldChar w:fldCharType="begin"/>
      </w:r>
      <w:r>
        <w:instrText xml:space="preserve"> HYPERLINK \l "_Toc74326509" </w:instrText>
      </w:r>
      <w:r>
        <w:fldChar w:fldCharType="separate"/>
      </w:r>
      <w:r>
        <w:rPr>
          <w:rStyle w:val="42"/>
          <w:rFonts w:hint="eastAsia" w:ascii="宋体" w:hAnsi="宋体"/>
          <w:b/>
          <w:color w:val="auto"/>
        </w:rPr>
        <w:t>第二章</w:t>
      </w:r>
      <w:r>
        <w:rPr>
          <w:rStyle w:val="42"/>
          <w:rFonts w:ascii="宋体" w:hAnsi="宋体"/>
          <w:b/>
          <w:color w:val="auto"/>
        </w:rPr>
        <w:t xml:space="preserve">   </w:t>
      </w:r>
      <w:r>
        <w:rPr>
          <w:rStyle w:val="42"/>
          <w:rFonts w:hint="eastAsia" w:ascii="宋体" w:hAnsi="宋体"/>
          <w:b/>
          <w:color w:val="auto"/>
        </w:rPr>
        <w:t>投标人须知</w:t>
      </w:r>
      <w:r>
        <w:tab/>
      </w:r>
      <w:r>
        <w:fldChar w:fldCharType="begin"/>
      </w:r>
      <w:r>
        <w:instrText xml:space="preserve"> PAGEREF _Toc74326509 \h </w:instrText>
      </w:r>
      <w:r>
        <w:fldChar w:fldCharType="separate"/>
      </w:r>
      <w:r>
        <w:t>7</w:t>
      </w:r>
      <w:r>
        <w:fldChar w:fldCharType="end"/>
      </w:r>
      <w:r>
        <w:fldChar w:fldCharType="end"/>
      </w:r>
    </w:p>
    <w:p>
      <w:pPr>
        <w:pStyle w:val="24"/>
        <w:tabs>
          <w:tab w:val="right" w:leader="dot" w:pos="8777"/>
        </w:tabs>
        <w:spacing w:line="480" w:lineRule="auto"/>
        <w:rPr>
          <w:szCs w:val="22"/>
        </w:rPr>
      </w:pPr>
      <w:r>
        <w:fldChar w:fldCharType="begin"/>
      </w:r>
      <w:r>
        <w:instrText xml:space="preserve"> HYPERLINK \l "_Toc74326529" </w:instrText>
      </w:r>
      <w:r>
        <w:fldChar w:fldCharType="separate"/>
      </w:r>
      <w:r>
        <w:rPr>
          <w:rStyle w:val="42"/>
          <w:rFonts w:hint="eastAsia" w:ascii="宋体" w:hAnsi="宋体"/>
          <w:b/>
          <w:color w:val="auto"/>
        </w:rPr>
        <w:t>第三章</w:t>
      </w:r>
      <w:r>
        <w:rPr>
          <w:rStyle w:val="42"/>
          <w:rFonts w:ascii="宋体" w:hAnsi="宋体"/>
          <w:b/>
          <w:color w:val="auto"/>
        </w:rPr>
        <w:t xml:space="preserve">  </w:t>
      </w:r>
      <w:r>
        <w:rPr>
          <w:rStyle w:val="42"/>
          <w:rFonts w:hint="eastAsia" w:ascii="宋体" w:hAnsi="宋体"/>
          <w:b/>
          <w:color w:val="auto"/>
        </w:rPr>
        <w:t>招标内容及要求</w:t>
      </w:r>
      <w:r>
        <w:tab/>
      </w:r>
      <w:r>
        <w:fldChar w:fldCharType="begin"/>
      </w:r>
      <w:r>
        <w:instrText xml:space="preserve"> PAGEREF _Toc74326529 \h </w:instrText>
      </w:r>
      <w:r>
        <w:fldChar w:fldCharType="separate"/>
      </w:r>
      <w:r>
        <w:t>25</w:t>
      </w:r>
      <w:r>
        <w:fldChar w:fldCharType="end"/>
      </w:r>
      <w:r>
        <w:fldChar w:fldCharType="end"/>
      </w:r>
    </w:p>
    <w:p>
      <w:pPr>
        <w:pStyle w:val="29"/>
        <w:tabs>
          <w:tab w:val="right" w:leader="dot" w:pos="8777"/>
        </w:tabs>
        <w:spacing w:line="480" w:lineRule="auto"/>
        <w:ind w:left="0" w:leftChars="0"/>
        <w:rPr>
          <w:szCs w:val="22"/>
        </w:rPr>
      </w:pPr>
      <w:r>
        <w:fldChar w:fldCharType="begin"/>
      </w:r>
      <w:r>
        <w:instrText xml:space="preserve"> HYPERLINK \l "_Toc74326538" </w:instrText>
      </w:r>
      <w:r>
        <w:fldChar w:fldCharType="separate"/>
      </w:r>
      <w:r>
        <w:rPr>
          <w:rStyle w:val="42"/>
          <w:rFonts w:hint="eastAsia" w:ascii="宋体" w:hAnsi="宋体"/>
          <w:b/>
          <w:color w:val="auto"/>
        </w:rPr>
        <w:t>第四章</w:t>
      </w:r>
      <w:r>
        <w:rPr>
          <w:rStyle w:val="42"/>
          <w:rFonts w:ascii="宋体" w:hAnsi="宋体"/>
          <w:b/>
          <w:color w:val="auto"/>
        </w:rPr>
        <w:t xml:space="preserve">    </w:t>
      </w:r>
      <w:r>
        <w:rPr>
          <w:rStyle w:val="42"/>
          <w:rFonts w:hint="eastAsia" w:ascii="宋体" w:hAnsi="宋体"/>
          <w:b/>
          <w:color w:val="auto"/>
        </w:rPr>
        <w:t>评标标准和方法</w:t>
      </w:r>
      <w:r>
        <w:tab/>
      </w:r>
      <w:r>
        <w:fldChar w:fldCharType="begin"/>
      </w:r>
      <w:r>
        <w:instrText xml:space="preserve"> PAGEREF _Toc74326538 \h </w:instrText>
      </w:r>
      <w:r>
        <w:fldChar w:fldCharType="separate"/>
      </w:r>
      <w:r>
        <w:t>42</w:t>
      </w:r>
      <w:r>
        <w:fldChar w:fldCharType="end"/>
      </w:r>
      <w:r>
        <w:fldChar w:fldCharType="end"/>
      </w:r>
    </w:p>
    <w:p>
      <w:pPr>
        <w:pStyle w:val="24"/>
        <w:tabs>
          <w:tab w:val="right" w:leader="dot" w:pos="8777"/>
        </w:tabs>
        <w:spacing w:line="480" w:lineRule="auto"/>
        <w:rPr>
          <w:szCs w:val="22"/>
        </w:rPr>
      </w:pPr>
      <w:r>
        <w:fldChar w:fldCharType="begin"/>
      </w:r>
      <w:r>
        <w:instrText xml:space="preserve"> HYPERLINK \l "_Toc74326539" </w:instrText>
      </w:r>
      <w:r>
        <w:fldChar w:fldCharType="separate"/>
      </w:r>
      <w:r>
        <w:rPr>
          <w:rStyle w:val="42"/>
          <w:rFonts w:hint="eastAsia" w:ascii="宋体" w:hAnsi="宋体"/>
          <w:b/>
          <w:color w:val="auto"/>
        </w:rPr>
        <w:t>第五章</w:t>
      </w:r>
      <w:r>
        <w:rPr>
          <w:rStyle w:val="42"/>
          <w:rFonts w:ascii="宋体" w:hAnsi="宋体"/>
          <w:b/>
          <w:color w:val="auto"/>
        </w:rPr>
        <w:t xml:space="preserve">    </w:t>
      </w:r>
      <w:r>
        <w:rPr>
          <w:rStyle w:val="42"/>
          <w:rFonts w:hint="eastAsia" w:ascii="宋体" w:hAnsi="宋体"/>
          <w:b/>
          <w:color w:val="auto"/>
        </w:rPr>
        <w:t>采购合同（参考文本）</w:t>
      </w:r>
      <w:r>
        <w:tab/>
      </w:r>
      <w:r>
        <w:fldChar w:fldCharType="begin"/>
      </w:r>
      <w:r>
        <w:instrText xml:space="preserve"> PAGEREF _Toc74326539 \h </w:instrText>
      </w:r>
      <w:r>
        <w:fldChar w:fldCharType="separate"/>
      </w:r>
      <w:r>
        <w:t>45</w:t>
      </w:r>
      <w:r>
        <w:fldChar w:fldCharType="end"/>
      </w:r>
      <w:r>
        <w:fldChar w:fldCharType="end"/>
      </w:r>
    </w:p>
    <w:p>
      <w:pPr>
        <w:pStyle w:val="24"/>
        <w:tabs>
          <w:tab w:val="right" w:leader="dot" w:pos="8777"/>
        </w:tabs>
        <w:spacing w:line="480" w:lineRule="auto"/>
        <w:rPr>
          <w:szCs w:val="22"/>
        </w:rPr>
      </w:pPr>
      <w:r>
        <w:fldChar w:fldCharType="begin"/>
      </w:r>
      <w:r>
        <w:instrText xml:space="preserve"> HYPERLINK \l "_Toc74326540" </w:instrText>
      </w:r>
      <w:r>
        <w:fldChar w:fldCharType="separate"/>
      </w:r>
      <w:r>
        <w:rPr>
          <w:rStyle w:val="42"/>
          <w:rFonts w:hint="eastAsia" w:ascii="宋体" w:hAnsi="宋体"/>
          <w:b/>
          <w:color w:val="auto"/>
        </w:rPr>
        <w:t>第六章</w:t>
      </w:r>
      <w:r>
        <w:rPr>
          <w:rStyle w:val="42"/>
          <w:rFonts w:ascii="宋体" w:hAnsi="宋体"/>
          <w:b/>
          <w:color w:val="auto"/>
        </w:rPr>
        <w:t xml:space="preserve">    </w:t>
      </w:r>
      <w:r>
        <w:rPr>
          <w:rStyle w:val="42"/>
          <w:rFonts w:hint="eastAsia" w:ascii="宋体" w:hAnsi="宋体"/>
          <w:b/>
          <w:color w:val="auto"/>
        </w:rPr>
        <w:t>投标文件格式</w:t>
      </w:r>
      <w:r>
        <w:tab/>
      </w:r>
      <w:r>
        <w:fldChar w:fldCharType="begin"/>
      </w:r>
      <w:r>
        <w:instrText xml:space="preserve"> PAGEREF _Toc74326540 \h </w:instrText>
      </w:r>
      <w:r>
        <w:fldChar w:fldCharType="separate"/>
      </w:r>
      <w:r>
        <w:t>48</w:t>
      </w:r>
      <w:r>
        <w:fldChar w:fldCharType="end"/>
      </w:r>
      <w:r>
        <w:fldChar w:fldCharType="end"/>
      </w:r>
    </w:p>
    <w:p>
      <w:pPr>
        <w:pStyle w:val="24"/>
        <w:tabs>
          <w:tab w:val="left" w:pos="586"/>
        </w:tabs>
        <w:spacing w:line="480" w:lineRule="auto"/>
        <w:rPr>
          <w:szCs w:val="21"/>
        </w:rPr>
      </w:pPr>
      <w:r>
        <w:rPr>
          <w:szCs w:val="24"/>
        </w:rPr>
        <w:fldChar w:fldCharType="end"/>
      </w:r>
    </w:p>
    <w:p>
      <w:pPr>
        <w:pStyle w:val="24"/>
        <w:tabs>
          <w:tab w:val="left" w:pos="586"/>
        </w:tabs>
        <w:spacing w:line="360" w:lineRule="auto"/>
        <w:rPr>
          <w:szCs w:val="21"/>
        </w:rPr>
        <w:sectPr>
          <w:headerReference r:id="rId4" w:type="first"/>
          <w:footerReference r:id="rId6" w:type="first"/>
          <w:headerReference r:id="rId3" w:type="default"/>
          <w:footerReference r:id="rId5" w:type="default"/>
          <w:pgSz w:w="11906" w:h="16838"/>
          <w:pgMar w:top="964" w:right="1418" w:bottom="737" w:left="1701" w:header="851" w:footer="992" w:gutter="0"/>
          <w:cols w:space="720" w:num="1"/>
          <w:titlePg/>
          <w:docGrid w:type="lines" w:linePitch="312" w:charSpace="0"/>
        </w:sectPr>
      </w:pPr>
      <w:r>
        <w:rPr>
          <w:rFonts w:hint="eastAsia"/>
          <w:szCs w:val="21"/>
        </w:rPr>
        <w:t>注：本公开招标文件68页（含封面），请投标人领取公开招标文件时自行核对，如发现缺、损等情况，自领取公开招标文件之日起二日内向福建优胜招标项目管理集团有限公司提出，否则，由此造成的一切后果由投标人自负。</w:t>
      </w:r>
    </w:p>
    <w:p>
      <w:pPr>
        <w:spacing w:line="420" w:lineRule="exact"/>
        <w:jc w:val="center"/>
        <w:outlineLvl w:val="0"/>
        <w:rPr>
          <w:rFonts w:ascii="宋体" w:hAnsi="宋体"/>
          <w:b/>
          <w:sz w:val="36"/>
        </w:rPr>
      </w:pPr>
      <w:bookmarkStart w:id="0" w:name="_Toc74326505"/>
      <w:bookmarkStart w:id="1" w:name="_Toc12366"/>
      <w:r>
        <w:rPr>
          <w:rFonts w:hint="eastAsia" w:ascii="宋体" w:hAnsi="宋体"/>
          <w:b/>
          <w:sz w:val="36"/>
        </w:rPr>
        <w:t>第一章  投标邀请</w:t>
      </w:r>
      <w:bookmarkEnd w:id="0"/>
      <w:bookmarkEnd w:id="1"/>
    </w:p>
    <w:p>
      <w:pPr>
        <w:pStyle w:val="4"/>
        <w:numPr>
          <w:ilvl w:val="1"/>
          <w:numId w:val="0"/>
        </w:numPr>
        <w:spacing w:before="0" w:after="0" w:line="420" w:lineRule="exact"/>
        <w:ind w:left="181"/>
        <w:rPr>
          <w:rFonts w:ascii="宋体" w:hAnsi="宋体"/>
          <w:szCs w:val="30"/>
        </w:rPr>
      </w:pPr>
      <w:bookmarkStart w:id="2" w:name="_Toc20574"/>
      <w:bookmarkStart w:id="3" w:name="_Toc74326506"/>
      <w:r>
        <w:rPr>
          <w:rFonts w:hint="eastAsia" w:ascii="宋体" w:hAnsi="宋体"/>
          <w:szCs w:val="30"/>
        </w:rPr>
        <w:t>一、 投标邀请函</w:t>
      </w:r>
      <w:bookmarkEnd w:id="2"/>
      <w:bookmarkEnd w:id="3"/>
    </w:p>
    <w:p>
      <w:pPr>
        <w:pStyle w:val="17"/>
        <w:spacing w:line="440" w:lineRule="exact"/>
        <w:ind w:firstLine="420" w:firstLineChars="200"/>
        <w:rPr>
          <w:rFonts w:hint="default"/>
        </w:rPr>
      </w:pPr>
      <w:r>
        <w:t>福建优胜招标项目管理集团有限公司受福建省建阳兴欣织造有限责任公司委托，对2021年度建阳兴欣织造有限责任公司缝纫设备采购项目进行国内公开招标，现欢迎国内合格投标人前来提交密封的投标。</w:t>
      </w:r>
    </w:p>
    <w:p>
      <w:pPr>
        <w:spacing w:line="440" w:lineRule="exact"/>
        <w:rPr>
          <w:rFonts w:ascii="宋体" w:hAnsi="宋体"/>
          <w:szCs w:val="21"/>
        </w:rPr>
      </w:pPr>
      <w:r>
        <w:rPr>
          <w:rFonts w:ascii="宋体" w:hAnsi="宋体"/>
          <w:szCs w:val="21"/>
        </w:rPr>
        <w:t>一</w:t>
      </w:r>
      <w:r>
        <w:rPr>
          <w:rFonts w:hint="eastAsia" w:ascii="宋体" w:hAnsi="宋体"/>
          <w:szCs w:val="21"/>
        </w:rPr>
        <w:t>、</w:t>
      </w:r>
      <w:r>
        <w:rPr>
          <w:rFonts w:ascii="宋体" w:hAnsi="宋体"/>
          <w:szCs w:val="21"/>
        </w:rPr>
        <w:t>招标编号：</w:t>
      </w:r>
      <w:r>
        <w:rPr>
          <w:rFonts w:hint="eastAsia" w:ascii="宋体" w:hAnsi="宋体"/>
          <w:szCs w:val="21"/>
        </w:rPr>
        <w:t>FJYS2021-248</w:t>
      </w:r>
    </w:p>
    <w:p>
      <w:pPr>
        <w:tabs>
          <w:tab w:val="left" w:pos="2520"/>
        </w:tabs>
        <w:spacing w:line="440" w:lineRule="exact"/>
        <w:rPr>
          <w:rFonts w:ascii="宋体"/>
          <w:szCs w:val="21"/>
        </w:rPr>
      </w:pPr>
      <w:r>
        <w:rPr>
          <w:rFonts w:hint="eastAsia" w:ascii="宋体"/>
          <w:szCs w:val="21"/>
        </w:rPr>
        <w:t>二、</w:t>
      </w:r>
      <w:r>
        <w:rPr>
          <w:rFonts w:hint="eastAsia" w:ascii="宋体"/>
          <w:spacing w:val="-14"/>
          <w:szCs w:val="21"/>
        </w:rPr>
        <w:t>招</w:t>
      </w:r>
      <w:r>
        <w:rPr>
          <w:rFonts w:hint="eastAsia" w:ascii="宋体" w:hAnsi="宋体"/>
          <w:szCs w:val="21"/>
        </w:rPr>
        <w:t>标项目名称、数量：见后附：招标货物一览表。</w:t>
      </w:r>
    </w:p>
    <w:p>
      <w:pPr>
        <w:tabs>
          <w:tab w:val="left" w:pos="2520"/>
        </w:tabs>
        <w:spacing w:line="440" w:lineRule="exact"/>
        <w:ind w:left="420" w:hanging="420" w:hangingChars="200"/>
        <w:rPr>
          <w:rFonts w:ascii="宋体"/>
          <w:szCs w:val="21"/>
        </w:rPr>
      </w:pPr>
      <w:r>
        <w:rPr>
          <w:rFonts w:hint="eastAsia" w:ascii="宋体"/>
          <w:szCs w:val="21"/>
        </w:rPr>
        <w:t>三、报名时间及要求：</w:t>
      </w:r>
    </w:p>
    <w:p>
      <w:pPr>
        <w:tabs>
          <w:tab w:val="left" w:pos="2520"/>
        </w:tabs>
        <w:spacing w:line="440" w:lineRule="exact"/>
        <w:rPr>
          <w:rFonts w:ascii="宋体"/>
          <w:szCs w:val="21"/>
        </w:rPr>
      </w:pPr>
      <w:r>
        <w:rPr>
          <w:rFonts w:hint="eastAsia" w:ascii="宋体"/>
          <w:b/>
          <w:szCs w:val="21"/>
        </w:rPr>
        <w:t>报名时间：</w:t>
      </w:r>
      <w:r>
        <w:rPr>
          <w:rFonts w:hint="eastAsia" w:ascii="宋体"/>
          <w:szCs w:val="21"/>
        </w:rPr>
        <w:t>2021年   月  日—2021年   月   日（不含节假日）上午8：30～12：00，下午2:30～5:30(北京时间)。招标文件售价0元人民币(含电子文档)。逾期未报名的视同自动放弃参与投标。</w:t>
      </w:r>
    </w:p>
    <w:p>
      <w:pPr>
        <w:tabs>
          <w:tab w:val="left" w:pos="2520"/>
        </w:tabs>
        <w:spacing w:line="440" w:lineRule="exact"/>
        <w:ind w:left="420" w:hanging="420" w:hangingChars="200"/>
        <w:rPr>
          <w:rFonts w:ascii="宋体"/>
          <w:b/>
          <w:szCs w:val="21"/>
          <w:u w:val="single"/>
        </w:rPr>
      </w:pPr>
      <w:r>
        <w:rPr>
          <w:rFonts w:hint="eastAsia" w:ascii="宋体"/>
          <w:szCs w:val="21"/>
        </w:rPr>
        <w:t>四、报名地点：</w:t>
      </w:r>
      <w:r>
        <w:rPr>
          <w:rFonts w:hint="eastAsia" w:ascii="宋体"/>
          <w:b/>
          <w:szCs w:val="21"/>
          <w:u w:val="single"/>
        </w:rPr>
        <w:t>福州市鼓楼区工业路526号华润万象城一期S2#4层</w:t>
      </w:r>
    </w:p>
    <w:p>
      <w:pPr>
        <w:tabs>
          <w:tab w:val="left" w:pos="2520"/>
        </w:tabs>
        <w:spacing w:line="440" w:lineRule="exact"/>
        <w:ind w:left="420" w:hanging="420" w:hangingChars="200"/>
        <w:rPr>
          <w:rFonts w:ascii="宋体"/>
          <w:szCs w:val="21"/>
        </w:rPr>
      </w:pPr>
      <w:r>
        <w:rPr>
          <w:rFonts w:hint="eastAsia" w:ascii="宋体"/>
          <w:szCs w:val="21"/>
        </w:rPr>
        <w:t>五、投标人应于投标截止时间：</w:t>
      </w:r>
      <w:r>
        <w:rPr>
          <w:rFonts w:hint="eastAsia" w:ascii="宋体" w:hAnsi="宋体"/>
          <w:b/>
          <w:bCs/>
          <w:shd w:val="pct10" w:color="auto" w:fill="FFFFFF"/>
        </w:rPr>
        <w:t>2021年    月   日下午14:30:00</w:t>
      </w:r>
      <w:r>
        <w:rPr>
          <w:rFonts w:hint="eastAsia" w:ascii="宋体"/>
          <w:szCs w:val="21"/>
        </w:rPr>
        <w:t>前将密封的投标文件送至福建优胜招标项目管理集团有限公司开标间并签到，递交后概不退还，</w:t>
      </w:r>
      <w:r>
        <w:rPr>
          <w:rFonts w:ascii="宋体"/>
          <w:szCs w:val="21"/>
        </w:rPr>
        <w:t>逾期</w:t>
      </w:r>
      <w:r>
        <w:rPr>
          <w:rFonts w:hint="eastAsia" w:ascii="宋体"/>
          <w:szCs w:val="21"/>
        </w:rPr>
        <w:t>送达（以签到为准）、</w:t>
      </w:r>
      <w:r>
        <w:rPr>
          <w:rFonts w:ascii="宋体"/>
          <w:szCs w:val="21"/>
        </w:rPr>
        <w:t>未送达指定地点</w:t>
      </w:r>
      <w:r>
        <w:rPr>
          <w:rFonts w:hint="eastAsia" w:ascii="宋体"/>
          <w:szCs w:val="21"/>
        </w:rPr>
        <w:t>及</w:t>
      </w:r>
      <w:r>
        <w:rPr>
          <w:rFonts w:ascii="宋体"/>
          <w:szCs w:val="21"/>
        </w:rPr>
        <w:t>未按公开招标文件要求密封的投标文件</w:t>
      </w:r>
      <w:r>
        <w:rPr>
          <w:rFonts w:hint="eastAsia" w:ascii="宋体"/>
          <w:szCs w:val="21"/>
        </w:rPr>
        <w:t>均不予</w:t>
      </w:r>
      <w:r>
        <w:rPr>
          <w:rFonts w:ascii="宋体"/>
          <w:szCs w:val="21"/>
        </w:rPr>
        <w:t>接受</w:t>
      </w:r>
      <w:r>
        <w:rPr>
          <w:rFonts w:hint="eastAsia" w:ascii="宋体"/>
          <w:szCs w:val="21"/>
        </w:rPr>
        <w:t>。</w:t>
      </w:r>
    </w:p>
    <w:p>
      <w:pPr>
        <w:tabs>
          <w:tab w:val="left" w:pos="2520"/>
        </w:tabs>
        <w:spacing w:line="440" w:lineRule="exact"/>
        <w:ind w:left="420" w:hanging="420" w:hangingChars="200"/>
        <w:rPr>
          <w:rFonts w:ascii="宋体"/>
          <w:kern w:val="44"/>
          <w:szCs w:val="21"/>
        </w:rPr>
      </w:pPr>
      <w:r>
        <w:rPr>
          <w:rFonts w:hint="eastAsia" w:ascii="宋体"/>
          <w:szCs w:val="21"/>
        </w:rPr>
        <w:t>六、开标时间：</w:t>
      </w:r>
      <w:r>
        <w:rPr>
          <w:rFonts w:hint="eastAsia" w:ascii="宋体" w:hAnsi="宋体"/>
          <w:b/>
          <w:bCs/>
          <w:shd w:val="pct10" w:color="auto" w:fill="FFFFFF"/>
        </w:rPr>
        <w:t>2021年    月   日下午14:30:00</w:t>
      </w:r>
      <w:r>
        <w:rPr>
          <w:rFonts w:hint="eastAsia" w:ascii="宋体"/>
          <w:b/>
          <w:bCs/>
          <w:szCs w:val="21"/>
          <w:shd w:val="pct10" w:color="auto" w:fill="FFFFFF"/>
        </w:rPr>
        <w:t xml:space="preserve"> (北京时间)</w:t>
      </w:r>
    </w:p>
    <w:p>
      <w:pPr>
        <w:tabs>
          <w:tab w:val="left" w:pos="2520"/>
        </w:tabs>
        <w:spacing w:line="440" w:lineRule="exact"/>
        <w:rPr>
          <w:rFonts w:ascii="宋体"/>
          <w:kern w:val="44"/>
          <w:szCs w:val="21"/>
        </w:rPr>
      </w:pPr>
      <w:r>
        <w:rPr>
          <w:rFonts w:hint="eastAsia" w:ascii="宋体"/>
          <w:szCs w:val="21"/>
        </w:rPr>
        <w:t>七、开标地点：</w:t>
      </w:r>
      <w:r>
        <w:rPr>
          <w:rFonts w:hint="eastAsia" w:ascii="宋体"/>
          <w:b/>
          <w:szCs w:val="21"/>
          <w:u w:val="single"/>
        </w:rPr>
        <w:t>福州市鼓楼区工业路526号华润万象城一期S2#4层</w:t>
      </w:r>
    </w:p>
    <w:p>
      <w:pPr>
        <w:tabs>
          <w:tab w:val="left" w:pos="2520"/>
        </w:tabs>
        <w:spacing w:line="440" w:lineRule="exact"/>
        <w:ind w:left="420" w:hanging="420" w:hangingChars="200"/>
        <w:rPr>
          <w:rFonts w:ascii="宋体"/>
          <w:bCs/>
          <w:szCs w:val="21"/>
        </w:rPr>
      </w:pPr>
      <w:r>
        <w:rPr>
          <w:rFonts w:hint="eastAsia" w:ascii="宋体" w:hAnsi="宋体"/>
          <w:szCs w:val="21"/>
        </w:rPr>
        <w:t>八、</w:t>
      </w:r>
      <w:r>
        <w:rPr>
          <w:rFonts w:hint="eastAsia" w:hAnsi="宋体"/>
          <w:szCs w:val="21"/>
        </w:rPr>
        <w:t>投标人对招标文件如有疑问，请在报名之日起7个工作日内（若报名时间至投标截止时间不足7个工作日，则应在投标截止时间5个日历日之前，将问题以书面的形式</w:t>
      </w:r>
      <w:r>
        <w:rPr>
          <w:rFonts w:hint="eastAsia" w:hAnsi="宋体"/>
          <w:b/>
          <w:szCs w:val="21"/>
        </w:rPr>
        <w:t>（有效签署的原件并加盖公章，拒绝传真、电邮、电话形式等其它形式）</w:t>
      </w:r>
      <w:r>
        <w:rPr>
          <w:rFonts w:hint="eastAsia" w:hAnsi="宋体"/>
          <w:szCs w:val="21"/>
        </w:rPr>
        <w:t>提交到福建优胜招标项目管理集团有限公司，口头提交质疑澄清的问题不予接受。</w:t>
      </w:r>
    </w:p>
    <w:p>
      <w:pPr>
        <w:tabs>
          <w:tab w:val="left" w:pos="2520"/>
        </w:tabs>
        <w:spacing w:line="440" w:lineRule="exact"/>
        <w:ind w:left="420" w:hanging="420" w:hangingChars="200"/>
        <w:rPr>
          <w:rFonts w:ascii="宋体" w:hAnsi="宋体"/>
          <w:szCs w:val="21"/>
        </w:rPr>
      </w:pPr>
      <w:r>
        <w:rPr>
          <w:rFonts w:ascii="宋体" w:hAnsi="宋体"/>
          <w:szCs w:val="21"/>
        </w:rPr>
        <w:t>九、</w:t>
      </w:r>
      <w:r>
        <w:rPr>
          <w:rFonts w:hint="eastAsia" w:ascii="宋体" w:hAnsi="宋体"/>
          <w:szCs w:val="21"/>
        </w:rPr>
        <w:t>有关本项目的相关信息(包括公开招标文件若有修改)都将在相关网站</w:t>
      </w:r>
      <w:r>
        <w:rPr>
          <w:rFonts w:hint="eastAsia" w:ascii="宋体" w:hAnsi="宋体" w:cs="宋体"/>
          <w:szCs w:val="21"/>
        </w:rPr>
        <w:t>【</w:t>
      </w:r>
      <w:r>
        <w:rPr>
          <w:rFonts w:hint="eastAsia" w:ascii="宋体" w:hAnsi="宋体"/>
          <w:szCs w:val="21"/>
        </w:rPr>
        <w:t>中国政府采购网      （</w:t>
      </w:r>
      <w:r>
        <w:rPr>
          <w:rFonts w:ascii="宋体" w:hAnsi="宋体"/>
          <w:szCs w:val="21"/>
        </w:rPr>
        <w:t>http://www.ccgp.gov.cn/</w:t>
      </w:r>
      <w:r>
        <w:rPr>
          <w:rFonts w:hint="eastAsia" w:ascii="宋体" w:hAnsi="宋体"/>
          <w:szCs w:val="21"/>
        </w:rPr>
        <w:t>）</w:t>
      </w:r>
      <w:r>
        <w:rPr>
          <w:rFonts w:ascii="宋体" w:hAnsi="宋体"/>
          <w:szCs w:val="21"/>
        </w:rPr>
        <w:t xml:space="preserve"> </w:t>
      </w:r>
      <w:r>
        <w:rPr>
          <w:rFonts w:hint="eastAsia" w:ascii="宋体" w:hAnsi="宋体"/>
          <w:szCs w:val="21"/>
        </w:rPr>
        <w:t>、中国采购与招标网（http://www.chinabidding.com.cn/）】上公布，请潜在投标人随时关注相关网站，以免错漏重要信息。</w:t>
      </w:r>
    </w:p>
    <w:p>
      <w:pPr>
        <w:tabs>
          <w:tab w:val="left" w:pos="2520"/>
        </w:tabs>
        <w:spacing w:line="440" w:lineRule="exact"/>
        <w:ind w:left="420" w:hanging="420" w:hangingChars="200"/>
        <w:rPr>
          <w:rFonts w:ascii="宋体" w:hAnsi="宋体"/>
          <w:szCs w:val="21"/>
        </w:rPr>
      </w:pPr>
      <w:r>
        <w:rPr>
          <w:rFonts w:hint="eastAsia" w:ascii="宋体" w:hAnsi="宋体"/>
          <w:szCs w:val="21"/>
        </w:rPr>
        <w:t>十、潜在投标人报名时间应在本投标邀请第3条规定的时间内报名并填写《领取公开招标文件登记表》，方为有效报名，且报名时的公司名称应与投标时的公司名称一致，本招标公司不接受未报名的潜在投标人投标，且可以不予以书面通知公开招标文件更改补充内容等（如果有的话）。</w:t>
      </w:r>
    </w:p>
    <w:p>
      <w:pPr>
        <w:pStyle w:val="138"/>
        <w:ind w:firstLine="482"/>
        <w:jc w:val="center"/>
        <w:rPr>
          <w:rFonts w:ascii="宋体" w:hAnsi="宋体"/>
          <w:b/>
          <w:bCs/>
          <w:sz w:val="24"/>
          <w:szCs w:val="24"/>
        </w:rPr>
      </w:pPr>
      <w:bookmarkStart w:id="4" w:name="_Toc317863717"/>
      <w:r>
        <w:rPr>
          <w:rFonts w:ascii="宋体" w:hAnsi="宋体"/>
          <w:b/>
          <w:bCs/>
          <w:sz w:val="24"/>
          <w:szCs w:val="24"/>
        </w:rPr>
        <w:br w:type="page"/>
      </w:r>
      <w:r>
        <w:rPr>
          <w:rFonts w:hint="eastAsia" w:ascii="宋体" w:hAnsi="宋体"/>
          <w:b/>
          <w:bCs/>
          <w:sz w:val="24"/>
          <w:szCs w:val="24"/>
        </w:rPr>
        <w:t>报名注意事项</w:t>
      </w:r>
      <w:bookmarkEnd w:id="4"/>
    </w:p>
    <w:p>
      <w:pPr>
        <w:pStyle w:val="138"/>
        <w:spacing w:line="360" w:lineRule="exact"/>
        <w:ind w:firstLine="413" w:firstLineChars="196"/>
        <w:rPr>
          <w:rFonts w:ascii="宋体" w:hAnsi="宋体"/>
          <w:szCs w:val="21"/>
          <w:shd w:val="pct10" w:color="auto" w:fill="FFFFFF"/>
        </w:rPr>
      </w:pPr>
      <w:r>
        <w:rPr>
          <w:rFonts w:hint="eastAsia" w:ascii="宋体" w:hAnsi="宋体"/>
          <w:b/>
          <w:szCs w:val="21"/>
        </w:rPr>
        <w:t>1、直接至我司报名：</w:t>
      </w:r>
      <w:r>
        <w:rPr>
          <w:rFonts w:hint="eastAsia" w:ascii="宋体" w:hAnsi="宋体"/>
          <w:szCs w:val="21"/>
        </w:rPr>
        <w:t>填写福建优胜招标项目管理集团有限公司《领取公开招标文件登记表》。</w:t>
      </w:r>
    </w:p>
    <w:p>
      <w:pPr>
        <w:pStyle w:val="138"/>
        <w:spacing w:line="360" w:lineRule="exact"/>
        <w:ind w:firstLine="413" w:firstLineChars="196"/>
        <w:rPr>
          <w:rFonts w:ascii="宋体" w:hAnsi="宋体"/>
          <w:szCs w:val="21"/>
          <w:shd w:val="pct10" w:color="auto" w:fill="FFFFFF"/>
        </w:rPr>
      </w:pPr>
      <w:r>
        <w:rPr>
          <w:rFonts w:hint="eastAsia" w:ascii="宋体" w:hAnsi="宋体"/>
          <w:b/>
          <w:szCs w:val="21"/>
        </w:rPr>
        <w:t>2、通过邮件报名：</w:t>
      </w:r>
      <w:r>
        <w:rPr>
          <w:rFonts w:hint="eastAsia" w:ascii="宋体" w:hAnsi="宋体"/>
          <w:szCs w:val="21"/>
        </w:rPr>
        <w:t>在我司官网首页由 “办事指南”进入下载附件，完整填写“报名登记表”发邮件至我司（均须加盖公章），未达到以上要求者，不予办理。</w:t>
      </w:r>
    </w:p>
    <w:p>
      <w:pPr>
        <w:spacing w:line="360" w:lineRule="exact"/>
        <w:ind w:firstLine="422" w:firstLineChars="200"/>
        <w:jc w:val="left"/>
        <w:rPr>
          <w:rFonts w:ascii="宋体" w:hAnsi="宋体"/>
          <w:b/>
          <w:szCs w:val="21"/>
          <w:shd w:val="pct10" w:color="auto" w:fill="FFFFFF"/>
        </w:rPr>
      </w:pPr>
      <w:r>
        <w:rPr>
          <w:rFonts w:hint="eastAsia" w:ascii="宋体" w:hAnsi="宋体"/>
          <w:b/>
          <w:szCs w:val="21"/>
          <w:shd w:val="pct10" w:color="auto" w:fill="FFFFFF"/>
        </w:rPr>
        <w:t>报名相关事宜，请联系：</w:t>
      </w:r>
    </w:p>
    <w:p>
      <w:pPr>
        <w:spacing w:line="360" w:lineRule="exact"/>
        <w:ind w:firstLine="2763" w:firstLineChars="1316"/>
        <w:rPr>
          <w:rFonts w:ascii="宋体" w:hAnsi="宋体"/>
          <w:szCs w:val="21"/>
        </w:rPr>
      </w:pPr>
      <w:r>
        <w:rPr>
          <w:rFonts w:hint="eastAsia" w:ascii="宋体" w:hAnsi="宋体"/>
          <w:szCs w:val="21"/>
        </w:rPr>
        <w:t xml:space="preserve">联 系 人：胡小姐  </w:t>
      </w:r>
    </w:p>
    <w:p>
      <w:pPr>
        <w:spacing w:line="360" w:lineRule="exact"/>
        <w:ind w:firstLine="2763" w:firstLineChars="1316"/>
        <w:rPr>
          <w:rFonts w:ascii="宋体" w:hAnsi="宋体"/>
          <w:szCs w:val="21"/>
        </w:rPr>
      </w:pPr>
      <w:r>
        <w:rPr>
          <w:rFonts w:hint="eastAsia" w:ascii="宋体" w:hAnsi="宋体"/>
          <w:szCs w:val="21"/>
        </w:rPr>
        <w:t>联系电话：0591-87679352   87679372</w:t>
      </w:r>
    </w:p>
    <w:p>
      <w:pPr>
        <w:spacing w:line="360" w:lineRule="exact"/>
        <w:ind w:firstLine="2763" w:firstLineChars="1316"/>
        <w:rPr>
          <w:rFonts w:ascii="宋体" w:hAnsi="宋体"/>
          <w:szCs w:val="21"/>
        </w:rPr>
      </w:pPr>
      <w:r>
        <w:rPr>
          <w:rFonts w:hint="eastAsia" w:ascii="宋体" w:hAnsi="宋体"/>
          <w:szCs w:val="21"/>
        </w:rPr>
        <w:t>公司传真：0591-87610660</w:t>
      </w:r>
    </w:p>
    <w:p>
      <w:pPr>
        <w:pStyle w:val="138"/>
        <w:spacing w:line="360" w:lineRule="exact"/>
        <w:ind w:firstLine="2772" w:firstLineChars="1320"/>
        <w:rPr>
          <w:rFonts w:ascii="宋体" w:hAnsi="宋体"/>
          <w:szCs w:val="21"/>
        </w:rPr>
      </w:pPr>
      <w:r>
        <w:rPr>
          <w:rFonts w:hint="eastAsia" w:ascii="宋体" w:hAnsi="宋体"/>
          <w:szCs w:val="21"/>
        </w:rPr>
        <w:t>电子信箱：</w:t>
      </w:r>
      <w:r>
        <w:fldChar w:fldCharType="begin"/>
      </w:r>
      <w:r>
        <w:instrText xml:space="preserve"> HYPERLINK "http://www.fjyszb.com" </w:instrText>
      </w:r>
      <w:r>
        <w:fldChar w:fldCharType="separate"/>
      </w:r>
      <w:r>
        <w:rPr>
          <w:rStyle w:val="42"/>
          <w:rFonts w:ascii="宋体" w:hAnsi="宋体"/>
          <w:color w:val="auto"/>
          <w:sz w:val="21"/>
          <w:szCs w:val="21"/>
        </w:rPr>
        <w:t>fjyszb</w:t>
      </w:r>
      <w:r>
        <w:rPr>
          <w:rStyle w:val="42"/>
          <w:rFonts w:hint="eastAsia" w:ascii="宋体" w:hAnsi="宋体"/>
          <w:color w:val="auto"/>
          <w:sz w:val="21"/>
          <w:szCs w:val="21"/>
        </w:rPr>
        <w:t>@163</w:t>
      </w:r>
      <w:r>
        <w:rPr>
          <w:rStyle w:val="42"/>
          <w:rFonts w:ascii="宋体" w:hAnsi="宋体"/>
          <w:color w:val="auto"/>
          <w:sz w:val="21"/>
          <w:szCs w:val="21"/>
        </w:rPr>
        <w:t>.com</w:t>
      </w:r>
      <w:r>
        <w:rPr>
          <w:rStyle w:val="42"/>
          <w:rFonts w:ascii="宋体" w:hAnsi="宋体"/>
          <w:color w:val="auto"/>
          <w:sz w:val="21"/>
          <w:szCs w:val="21"/>
        </w:rPr>
        <w:fldChar w:fldCharType="end"/>
      </w:r>
    </w:p>
    <w:p>
      <w:pPr>
        <w:spacing w:line="360" w:lineRule="exact"/>
        <w:ind w:firstLine="422" w:firstLineChars="200"/>
        <w:rPr>
          <w:rFonts w:ascii="宋体" w:hAnsi="宋体"/>
          <w:b/>
          <w:szCs w:val="21"/>
          <w:shd w:val="pct10" w:color="auto" w:fill="FFFFFF"/>
        </w:rPr>
      </w:pPr>
      <w:r>
        <w:rPr>
          <w:rFonts w:hint="eastAsia" w:ascii="宋体" w:hAnsi="宋体"/>
          <w:b/>
          <w:szCs w:val="21"/>
          <w:shd w:val="pct10" w:color="auto" w:fill="FFFFFF"/>
        </w:rPr>
        <w:t>项目相关事宜，请联系：</w:t>
      </w:r>
    </w:p>
    <w:p>
      <w:pPr>
        <w:spacing w:line="360" w:lineRule="exact"/>
        <w:ind w:firstLine="2715" w:firstLineChars="1293"/>
        <w:jc w:val="left"/>
        <w:rPr>
          <w:rFonts w:ascii="宋体" w:hAnsi="宋体"/>
          <w:szCs w:val="21"/>
        </w:rPr>
      </w:pPr>
      <w:r>
        <w:rPr>
          <w:rFonts w:hint="eastAsia" w:ascii="宋体" w:hAnsi="宋体"/>
          <w:szCs w:val="21"/>
        </w:rPr>
        <w:t>项目负责人：林小姐</w:t>
      </w:r>
    </w:p>
    <w:p>
      <w:pPr>
        <w:spacing w:line="360" w:lineRule="exact"/>
        <w:ind w:firstLine="2715" w:firstLineChars="1293"/>
        <w:jc w:val="left"/>
        <w:rPr>
          <w:rFonts w:ascii="宋体" w:hAnsi="宋体"/>
          <w:szCs w:val="21"/>
        </w:rPr>
      </w:pPr>
      <w:r>
        <w:rPr>
          <w:rFonts w:hint="eastAsia" w:ascii="宋体" w:hAnsi="宋体"/>
          <w:szCs w:val="21"/>
        </w:rPr>
        <w:t>联系电话：0591-87679352   87679372</w:t>
      </w:r>
    </w:p>
    <w:p>
      <w:pPr>
        <w:spacing w:line="360" w:lineRule="exact"/>
        <w:ind w:firstLine="420" w:firstLineChars="200"/>
        <w:jc w:val="left"/>
        <w:rPr>
          <w:rFonts w:ascii="宋体" w:hAnsi="宋体"/>
          <w:szCs w:val="21"/>
        </w:rPr>
      </w:pPr>
      <w:r>
        <w:rPr>
          <w:rFonts w:hint="eastAsia" w:ascii="宋体" w:hAnsi="宋体"/>
          <w:szCs w:val="21"/>
        </w:rPr>
        <w:t>招标代理机构：福建优胜招标项目管理集团有限公司</w:t>
      </w:r>
    </w:p>
    <w:p>
      <w:pPr>
        <w:spacing w:line="360" w:lineRule="exact"/>
        <w:ind w:firstLine="420" w:firstLineChars="200"/>
        <w:jc w:val="left"/>
        <w:rPr>
          <w:rFonts w:ascii="宋体" w:hAnsi="宋体"/>
          <w:szCs w:val="21"/>
        </w:rPr>
      </w:pPr>
      <w:r>
        <w:rPr>
          <w:rFonts w:hint="eastAsia" w:ascii="宋体" w:hAnsi="宋体"/>
          <w:szCs w:val="21"/>
        </w:rPr>
        <w:t xml:space="preserve">地        址：福州市鼓楼区工业路526号华润万象城一期S2#4层 </w:t>
      </w:r>
    </w:p>
    <w:p>
      <w:pPr>
        <w:spacing w:line="360" w:lineRule="exact"/>
        <w:ind w:firstLine="420" w:firstLineChars="200"/>
        <w:jc w:val="left"/>
        <w:rPr>
          <w:rFonts w:ascii="宋体" w:hAnsi="宋体"/>
          <w:szCs w:val="21"/>
        </w:rPr>
      </w:pPr>
      <w:r>
        <w:rPr>
          <w:rFonts w:hint="eastAsia" w:ascii="宋体" w:hAnsi="宋体"/>
          <w:szCs w:val="21"/>
        </w:rPr>
        <w:t xml:space="preserve">邮        编：350003  </w:t>
      </w:r>
    </w:p>
    <w:tbl>
      <w:tblPr>
        <w:tblStyle w:val="3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280" w:type="dxa"/>
            <w:gridSpan w:val="2"/>
          </w:tcPr>
          <w:p>
            <w:pPr>
              <w:spacing w:line="360" w:lineRule="exact"/>
              <w:rPr>
                <w:rFonts w:ascii="宋体" w:hAnsi="宋体"/>
                <w:b/>
                <w:szCs w:val="21"/>
              </w:rPr>
            </w:pPr>
            <w:r>
              <w:rPr>
                <w:rFonts w:hint="eastAsia" w:ascii="宋体" w:hAnsi="宋体"/>
                <w:b/>
                <w:szCs w:val="21"/>
              </w:rPr>
              <w:t>福建优胜招标项目管理集团有限公司投标保证金、招标代理服务费汇入账户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40" w:type="dxa"/>
            <w:vAlign w:val="center"/>
          </w:tcPr>
          <w:p>
            <w:pPr>
              <w:spacing w:line="360" w:lineRule="exact"/>
              <w:ind w:firstLine="422" w:firstLineChars="200"/>
              <w:jc w:val="center"/>
              <w:rPr>
                <w:rFonts w:ascii="宋体" w:hAnsi="宋体"/>
                <w:b/>
                <w:szCs w:val="21"/>
              </w:rPr>
            </w:pPr>
            <w:r>
              <w:rPr>
                <w:rFonts w:hint="eastAsia" w:ascii="宋体" w:hAnsi="宋体"/>
                <w:b/>
                <w:szCs w:val="21"/>
              </w:rPr>
              <w:t xml:space="preserve">开户名 </w:t>
            </w:r>
          </w:p>
        </w:tc>
        <w:tc>
          <w:tcPr>
            <w:tcW w:w="5940" w:type="dxa"/>
          </w:tcPr>
          <w:p>
            <w:pPr>
              <w:spacing w:line="360" w:lineRule="exact"/>
              <w:ind w:firstLine="422" w:firstLineChars="200"/>
              <w:jc w:val="left"/>
              <w:rPr>
                <w:rFonts w:ascii="宋体" w:hAnsi="宋体"/>
                <w:b/>
                <w:szCs w:val="21"/>
              </w:rPr>
            </w:pPr>
            <w:r>
              <w:rPr>
                <w:rFonts w:hint="eastAsia" w:ascii="宋体" w:hAnsi="宋体"/>
                <w:b/>
                <w:szCs w:val="21"/>
              </w:rPr>
              <w:t>福建优胜招标项目管理集团有限公司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40" w:type="dxa"/>
            <w:vAlign w:val="center"/>
          </w:tcPr>
          <w:p>
            <w:pPr>
              <w:spacing w:line="360" w:lineRule="exact"/>
              <w:ind w:firstLine="422" w:firstLineChars="200"/>
              <w:jc w:val="center"/>
              <w:rPr>
                <w:rFonts w:ascii="宋体" w:hAnsi="宋体"/>
                <w:b/>
                <w:szCs w:val="21"/>
              </w:rPr>
            </w:pPr>
            <w:r>
              <w:rPr>
                <w:rFonts w:hint="eastAsia" w:ascii="宋体" w:hAnsi="宋体"/>
                <w:b/>
                <w:szCs w:val="21"/>
              </w:rPr>
              <w:t xml:space="preserve">开户行 </w:t>
            </w:r>
          </w:p>
        </w:tc>
        <w:tc>
          <w:tcPr>
            <w:tcW w:w="5940" w:type="dxa"/>
          </w:tcPr>
          <w:p>
            <w:pPr>
              <w:spacing w:line="360" w:lineRule="exact"/>
              <w:ind w:firstLine="422" w:firstLineChars="200"/>
              <w:jc w:val="left"/>
              <w:rPr>
                <w:rFonts w:ascii="宋体" w:hAnsi="宋体"/>
                <w:b/>
                <w:szCs w:val="21"/>
              </w:rPr>
            </w:pPr>
            <w:r>
              <w:rPr>
                <w:rFonts w:hint="eastAsia" w:ascii="宋体" w:hAnsi="宋体"/>
                <w:b/>
                <w:szCs w:val="21"/>
              </w:rPr>
              <w:t>兴业银行福州华林支行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340" w:type="dxa"/>
            <w:vAlign w:val="center"/>
          </w:tcPr>
          <w:p>
            <w:pPr>
              <w:spacing w:line="360" w:lineRule="exact"/>
              <w:ind w:firstLine="413" w:firstLineChars="196"/>
              <w:jc w:val="center"/>
              <w:rPr>
                <w:rFonts w:ascii="宋体" w:hAnsi="宋体"/>
                <w:b/>
                <w:szCs w:val="21"/>
              </w:rPr>
            </w:pPr>
            <w:r>
              <w:rPr>
                <w:rFonts w:hint="eastAsia" w:ascii="宋体" w:hAnsi="宋体"/>
                <w:b/>
                <w:szCs w:val="21"/>
              </w:rPr>
              <w:t>帐  号</w:t>
            </w:r>
          </w:p>
        </w:tc>
        <w:tc>
          <w:tcPr>
            <w:tcW w:w="5940" w:type="dxa"/>
          </w:tcPr>
          <w:p>
            <w:pPr>
              <w:spacing w:line="360" w:lineRule="exact"/>
              <w:ind w:firstLine="413" w:firstLineChars="196"/>
              <w:rPr>
                <w:rFonts w:ascii="宋体" w:hAnsi="宋体"/>
                <w:b/>
                <w:szCs w:val="21"/>
              </w:rPr>
            </w:pPr>
            <w:r>
              <w:rPr>
                <w:rFonts w:hint="eastAsia" w:ascii="宋体" w:hAnsi="宋体"/>
                <w:b/>
                <w:szCs w:val="21"/>
              </w:rPr>
              <w:t>11713 01001 000 37952</w:t>
            </w:r>
          </w:p>
        </w:tc>
      </w:tr>
    </w:tbl>
    <w:p>
      <w:pPr>
        <w:widowControl/>
        <w:spacing w:line="360" w:lineRule="exact"/>
        <w:ind w:firstLine="422" w:firstLineChars="200"/>
        <w:jc w:val="left"/>
        <w:rPr>
          <w:rFonts w:ascii="宋体" w:hAnsi="宋体"/>
          <w:b/>
          <w:szCs w:val="21"/>
          <w:shd w:val="pct10" w:color="auto" w:fill="FFFFFF"/>
        </w:rPr>
      </w:pPr>
      <w:r>
        <w:rPr>
          <w:rFonts w:hint="eastAsia" w:ascii="宋体" w:hAnsi="宋体"/>
          <w:b/>
          <w:szCs w:val="21"/>
          <w:shd w:val="pct10" w:color="auto" w:fill="FFFFFF"/>
        </w:rPr>
        <w:t>注：未中标人的投标保证金退还时间为《中标通知书》发出后5个工作日内，请登录我司网站下载《退还保证金的函》连并保证金底单传真至我司。逾期未办理的，我司不负相关法律责任。联系人：林会计。</w:t>
      </w:r>
    </w:p>
    <w:p>
      <w:pPr>
        <w:spacing w:line="360" w:lineRule="exact"/>
        <w:ind w:firstLine="413" w:firstLineChars="196"/>
        <w:rPr>
          <w:rFonts w:ascii="宋体" w:hAnsi="宋体"/>
          <w:b/>
          <w:sz w:val="24"/>
        </w:rPr>
        <w:sectPr>
          <w:pgSz w:w="11906" w:h="16838"/>
          <w:pgMar w:top="964" w:right="1418" w:bottom="964" w:left="1701" w:header="851" w:footer="992" w:gutter="0"/>
          <w:cols w:space="720" w:num="1"/>
          <w:titlePg/>
          <w:docGrid w:type="lines" w:linePitch="312" w:charSpace="0"/>
        </w:sectPr>
      </w:pPr>
      <w:r>
        <w:rPr>
          <w:rFonts w:hint="eastAsia" w:ascii="宋体" w:hAnsi="宋体"/>
          <w:b/>
          <w:szCs w:val="21"/>
          <w:shd w:val="pct10" w:color="auto" w:fill="FFFFFF"/>
        </w:rPr>
        <w:t>中标人的投标保证退还时间为合同签订后5个工作日内，请中标人将合同原件的扫描件以PDF格式发送至975001172@qq.com邮箱，并将《退还保证金的函》及合同原件送至我公司，未按以上规定办理，我公司将不予退还保证金。逾期未办理的，我司不负相关法律责任。联系人：林会计。</w:t>
      </w:r>
      <w:r>
        <w:rPr>
          <w:rFonts w:hint="eastAsia" w:ascii="宋体" w:hAnsi="宋体"/>
          <w:sz w:val="24"/>
          <w:szCs w:val="24"/>
        </w:rPr>
        <w:t xml:space="preserve">   </w:t>
      </w:r>
      <w:r>
        <w:rPr>
          <w:rFonts w:ascii="宋体" w:hAnsi="宋体"/>
          <w:sz w:val="24"/>
          <w:szCs w:val="24"/>
        </w:rPr>
        <w:t xml:space="preserve">  </w:t>
      </w:r>
      <w:r>
        <w:rPr>
          <w:rFonts w:hint="eastAsia" w:ascii="宋体" w:hAnsi="宋体"/>
        </w:rPr>
        <w:t xml:space="preserve">   </w:t>
      </w:r>
      <w:r>
        <w:t xml:space="preserve">       </w:t>
      </w:r>
    </w:p>
    <w:p>
      <w:pPr>
        <w:pStyle w:val="4"/>
        <w:numPr>
          <w:ilvl w:val="1"/>
          <w:numId w:val="0"/>
        </w:numPr>
        <w:tabs>
          <w:tab w:val="left" w:pos="7740"/>
        </w:tabs>
        <w:spacing w:before="0" w:after="0"/>
        <w:ind w:left="181"/>
        <w:rPr>
          <w:rFonts w:ascii="宋体" w:hAnsi="宋体"/>
          <w:szCs w:val="30"/>
        </w:rPr>
      </w:pPr>
      <w:bookmarkStart w:id="5" w:name="_Toc74326507"/>
      <w:bookmarkStart w:id="6" w:name="_Toc5317"/>
      <w:r>
        <w:rPr>
          <w:rFonts w:hint="eastAsia" w:ascii="宋体" w:hAnsi="宋体"/>
          <w:szCs w:val="30"/>
        </w:rPr>
        <w:t>二、招标货物一览表</w:t>
      </w:r>
      <w:bookmarkEnd w:id="5"/>
      <w:bookmarkEnd w:id="6"/>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218"/>
        <w:gridCol w:w="1102"/>
        <w:gridCol w:w="1183"/>
        <w:gridCol w:w="1350"/>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34" w:type="dxa"/>
            <w:tcBorders>
              <w:top w:val="single" w:color="auto" w:sz="4" w:space="0"/>
              <w:left w:val="single" w:color="auto" w:sz="4" w:space="0"/>
              <w:right w:val="single" w:color="auto" w:sz="4" w:space="0"/>
            </w:tcBorders>
            <w:vAlign w:val="center"/>
          </w:tcPr>
          <w:p>
            <w:pPr>
              <w:spacing w:line="460" w:lineRule="exact"/>
              <w:jc w:val="center"/>
              <w:rPr>
                <w:rFonts w:ascii="宋体" w:hAnsi="宋体"/>
                <w:b/>
                <w:szCs w:val="21"/>
              </w:rPr>
            </w:pPr>
            <w:r>
              <w:rPr>
                <w:rFonts w:hint="eastAsia" w:ascii="宋体" w:hAnsi="宋体"/>
                <w:b/>
                <w:szCs w:val="21"/>
              </w:rPr>
              <w:t>合同包</w:t>
            </w:r>
          </w:p>
        </w:tc>
        <w:tc>
          <w:tcPr>
            <w:tcW w:w="2218" w:type="dxa"/>
            <w:tcBorders>
              <w:top w:val="single" w:color="auto" w:sz="4" w:space="0"/>
              <w:left w:val="single" w:color="auto" w:sz="4" w:space="0"/>
              <w:right w:val="single" w:color="auto" w:sz="4" w:space="0"/>
            </w:tcBorders>
            <w:vAlign w:val="center"/>
          </w:tcPr>
          <w:p>
            <w:pPr>
              <w:pStyle w:val="17"/>
              <w:spacing w:line="460" w:lineRule="exact"/>
              <w:jc w:val="center"/>
              <w:rPr>
                <w:rFonts w:hint="default" w:hAnsi="宋体"/>
                <w:b/>
              </w:rPr>
            </w:pPr>
            <w:r>
              <w:rPr>
                <w:rFonts w:hAnsi="宋体"/>
                <w:b/>
              </w:rPr>
              <w:t>项目名称</w:t>
            </w:r>
          </w:p>
        </w:tc>
        <w:tc>
          <w:tcPr>
            <w:tcW w:w="1102" w:type="dxa"/>
            <w:tcBorders>
              <w:top w:val="single" w:color="auto" w:sz="4" w:space="0"/>
              <w:left w:val="single" w:color="auto" w:sz="4" w:space="0"/>
              <w:right w:val="single" w:color="auto" w:sz="4" w:space="0"/>
            </w:tcBorders>
            <w:vAlign w:val="center"/>
          </w:tcPr>
          <w:p>
            <w:pPr>
              <w:spacing w:line="460" w:lineRule="exact"/>
              <w:jc w:val="center"/>
              <w:rPr>
                <w:rFonts w:ascii="宋体" w:hAnsi="宋体"/>
                <w:b/>
                <w:szCs w:val="21"/>
              </w:rPr>
            </w:pPr>
            <w:r>
              <w:rPr>
                <w:rFonts w:hint="eastAsia" w:ascii="宋体" w:hAnsi="宋体"/>
                <w:b/>
                <w:szCs w:val="21"/>
              </w:rPr>
              <w:t>数量</w:t>
            </w:r>
          </w:p>
        </w:tc>
        <w:tc>
          <w:tcPr>
            <w:tcW w:w="1183" w:type="dxa"/>
            <w:tcBorders>
              <w:top w:val="single" w:color="auto" w:sz="4" w:space="0"/>
              <w:left w:val="single" w:color="auto" w:sz="4" w:space="0"/>
              <w:right w:val="single" w:color="auto" w:sz="4" w:space="0"/>
            </w:tcBorders>
            <w:vAlign w:val="center"/>
          </w:tcPr>
          <w:p>
            <w:pPr>
              <w:spacing w:line="460" w:lineRule="exact"/>
              <w:jc w:val="center"/>
              <w:rPr>
                <w:rFonts w:ascii="宋体" w:hAnsi="宋体"/>
                <w:b/>
                <w:szCs w:val="21"/>
              </w:rPr>
            </w:pPr>
            <w:r>
              <w:rPr>
                <w:rFonts w:hint="eastAsia" w:ascii="宋体" w:hAnsi="宋体"/>
                <w:b/>
                <w:szCs w:val="21"/>
              </w:rPr>
              <w:t>预算金额</w:t>
            </w:r>
          </w:p>
          <w:p>
            <w:pPr>
              <w:spacing w:line="460" w:lineRule="exact"/>
              <w:jc w:val="center"/>
              <w:rPr>
                <w:rFonts w:ascii="宋体" w:hAnsi="宋体"/>
                <w:b/>
                <w:szCs w:val="21"/>
              </w:rPr>
            </w:pPr>
            <w:r>
              <w:rPr>
                <w:rFonts w:hint="eastAsia" w:ascii="宋体" w:hAnsi="宋体"/>
                <w:b/>
                <w:szCs w:val="21"/>
              </w:rPr>
              <w:t>（元）</w:t>
            </w:r>
          </w:p>
        </w:tc>
        <w:tc>
          <w:tcPr>
            <w:tcW w:w="1350" w:type="dxa"/>
            <w:tcBorders>
              <w:top w:val="single" w:color="auto" w:sz="4" w:space="0"/>
              <w:left w:val="single" w:color="auto" w:sz="4" w:space="0"/>
              <w:right w:val="single" w:color="auto" w:sz="4" w:space="0"/>
            </w:tcBorders>
            <w:vAlign w:val="center"/>
          </w:tcPr>
          <w:p>
            <w:pPr>
              <w:spacing w:line="460" w:lineRule="exact"/>
              <w:jc w:val="center"/>
              <w:rPr>
                <w:rFonts w:ascii="宋体" w:hAnsi="宋体"/>
                <w:b/>
                <w:szCs w:val="21"/>
              </w:rPr>
            </w:pPr>
            <w:r>
              <w:rPr>
                <w:rFonts w:hint="eastAsia" w:ascii="宋体" w:hAnsi="宋体"/>
                <w:b/>
                <w:szCs w:val="21"/>
              </w:rPr>
              <w:t>投标保证金（元）</w:t>
            </w:r>
          </w:p>
        </w:tc>
        <w:tc>
          <w:tcPr>
            <w:tcW w:w="1809" w:type="dxa"/>
            <w:tcBorders>
              <w:top w:val="single" w:color="auto" w:sz="4" w:space="0"/>
              <w:left w:val="single" w:color="auto" w:sz="4" w:space="0"/>
              <w:right w:val="single" w:color="auto" w:sz="4" w:space="0"/>
            </w:tcBorders>
            <w:vAlign w:val="center"/>
          </w:tcPr>
          <w:p>
            <w:pPr>
              <w:spacing w:line="460" w:lineRule="exact"/>
              <w:jc w:val="center"/>
              <w:rPr>
                <w:rFonts w:ascii="宋体" w:hAnsi="宋体"/>
                <w:b/>
                <w:szCs w:val="21"/>
              </w:rPr>
            </w:pPr>
            <w:r>
              <w:rPr>
                <w:rFonts w:hint="eastAsia" w:ascii="宋体" w:hAnsi="宋体"/>
                <w:b/>
                <w:szCs w:val="21"/>
              </w:rPr>
              <w:t>招标内容及要求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Cs w:val="21"/>
              </w:rPr>
            </w:pPr>
            <w:r>
              <w:rPr>
                <w:rFonts w:hint="eastAsia" w:ascii="宋体" w:hAnsi="宋体"/>
                <w:szCs w:val="21"/>
              </w:rPr>
              <w:t>1</w:t>
            </w:r>
          </w:p>
        </w:tc>
        <w:tc>
          <w:tcPr>
            <w:tcW w:w="2218" w:type="dxa"/>
            <w:tcBorders>
              <w:left w:val="single" w:color="auto" w:sz="4" w:space="0"/>
              <w:bottom w:val="single" w:color="auto" w:sz="4" w:space="0"/>
              <w:right w:val="single" w:color="auto" w:sz="4" w:space="0"/>
            </w:tcBorders>
            <w:vAlign w:val="center"/>
          </w:tcPr>
          <w:p>
            <w:pPr>
              <w:pStyle w:val="17"/>
              <w:spacing w:line="460" w:lineRule="exact"/>
              <w:jc w:val="center"/>
              <w:rPr>
                <w:rFonts w:hint="default" w:hAnsi="宋体"/>
              </w:rPr>
            </w:pPr>
            <w:r>
              <w:rPr>
                <w:rFonts w:hAnsi="宋体"/>
              </w:rPr>
              <w:t>2021年度建阳兴欣织造有限责任公司缝纫设备采购项目</w:t>
            </w:r>
          </w:p>
        </w:tc>
        <w:tc>
          <w:tcPr>
            <w:tcW w:w="1102" w:type="dxa"/>
            <w:tcBorders>
              <w:left w:val="single" w:color="auto" w:sz="4" w:space="0"/>
              <w:bottom w:val="single" w:color="auto" w:sz="4" w:space="0"/>
              <w:right w:val="single" w:color="auto" w:sz="4" w:space="0"/>
            </w:tcBorders>
            <w:vAlign w:val="center"/>
          </w:tcPr>
          <w:p>
            <w:pPr>
              <w:spacing w:line="460" w:lineRule="exact"/>
              <w:jc w:val="center"/>
              <w:rPr>
                <w:rFonts w:ascii="宋体" w:hAnsi="宋体"/>
                <w:szCs w:val="21"/>
              </w:rPr>
            </w:pPr>
            <w:r>
              <w:rPr>
                <w:rFonts w:hint="eastAsia" w:ascii="宋体" w:hAnsi="宋体"/>
                <w:szCs w:val="21"/>
              </w:rPr>
              <w:t>详见招标货物明细一览表</w:t>
            </w:r>
          </w:p>
        </w:tc>
        <w:tc>
          <w:tcPr>
            <w:tcW w:w="1183" w:type="dxa"/>
            <w:tcBorders>
              <w:left w:val="single" w:color="auto" w:sz="4" w:space="0"/>
              <w:bottom w:val="single" w:color="auto" w:sz="4" w:space="0"/>
              <w:right w:val="single" w:color="auto" w:sz="4" w:space="0"/>
            </w:tcBorders>
            <w:vAlign w:val="center"/>
          </w:tcPr>
          <w:p>
            <w:pPr>
              <w:spacing w:line="460" w:lineRule="exact"/>
              <w:jc w:val="center"/>
              <w:rPr>
                <w:rFonts w:ascii="宋体" w:hAnsi="宋体"/>
                <w:szCs w:val="21"/>
              </w:rPr>
            </w:pPr>
            <w:r>
              <w:rPr>
                <w:rFonts w:hint="eastAsia" w:ascii="宋体" w:hAnsi="宋体" w:cs="宋体"/>
                <w:kern w:val="0"/>
                <w:szCs w:val="21"/>
              </w:rPr>
              <w:t>4674000</w:t>
            </w:r>
          </w:p>
        </w:tc>
        <w:tc>
          <w:tcPr>
            <w:tcW w:w="1350" w:type="dxa"/>
            <w:tcBorders>
              <w:left w:val="single" w:color="auto" w:sz="4" w:space="0"/>
              <w:bottom w:val="single" w:color="auto" w:sz="4" w:space="0"/>
              <w:right w:val="single" w:color="auto" w:sz="4" w:space="0"/>
            </w:tcBorders>
            <w:vAlign w:val="center"/>
          </w:tcPr>
          <w:p>
            <w:pPr>
              <w:spacing w:line="460" w:lineRule="exact"/>
              <w:jc w:val="center"/>
              <w:rPr>
                <w:rFonts w:ascii="宋体" w:hAnsi="宋体"/>
                <w:szCs w:val="21"/>
              </w:rPr>
            </w:pPr>
            <w:r>
              <w:rPr>
                <w:rFonts w:hint="eastAsia" w:ascii="宋体" w:hAnsi="宋体"/>
                <w:szCs w:val="21"/>
              </w:rPr>
              <w:t>93400</w:t>
            </w:r>
          </w:p>
        </w:tc>
        <w:tc>
          <w:tcPr>
            <w:tcW w:w="1809" w:type="dxa"/>
            <w:tcBorders>
              <w:left w:val="single" w:color="auto" w:sz="4" w:space="0"/>
              <w:right w:val="single" w:color="auto" w:sz="4" w:space="0"/>
            </w:tcBorders>
            <w:vAlign w:val="center"/>
          </w:tcPr>
          <w:p>
            <w:pPr>
              <w:spacing w:line="460" w:lineRule="exact"/>
              <w:jc w:val="center"/>
              <w:rPr>
                <w:rFonts w:ascii="宋体" w:hAnsi="宋体"/>
                <w:szCs w:val="21"/>
              </w:rPr>
            </w:pPr>
            <w:r>
              <w:rPr>
                <w:rFonts w:hint="eastAsia" w:ascii="宋体" w:hAnsi="宋体"/>
                <w:szCs w:val="21"/>
              </w:rPr>
              <w:t>详见“第三章的招标内容及要求”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496" w:type="dxa"/>
            <w:gridSpan w:val="6"/>
            <w:tcBorders>
              <w:left w:val="single" w:color="auto" w:sz="4" w:space="0"/>
              <w:right w:val="single" w:color="auto" w:sz="4" w:space="0"/>
            </w:tcBorders>
            <w:vAlign w:val="center"/>
          </w:tcPr>
          <w:p>
            <w:pPr>
              <w:autoSpaceDE w:val="0"/>
              <w:autoSpaceDN w:val="0"/>
              <w:snapToGrid w:val="0"/>
              <w:spacing w:line="460" w:lineRule="exact"/>
              <w:rPr>
                <w:rFonts w:ascii="宋体" w:hAnsi="宋体"/>
                <w:szCs w:val="21"/>
              </w:rPr>
            </w:pPr>
            <w:r>
              <w:rPr>
                <w:rFonts w:hint="eastAsia" w:ascii="宋体" w:hAnsi="宋体"/>
                <w:b/>
                <w:szCs w:val="21"/>
              </w:rPr>
              <w:t>交货地点：</w:t>
            </w:r>
            <w:r>
              <w:rPr>
                <w:rFonts w:hint="eastAsia" w:ascii="宋体" w:hAnsi="宋体"/>
                <w:szCs w:val="21"/>
              </w:rPr>
              <w:t>中标人必须将货物运至招标人指定的位置。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9" w:hRule="atLeast"/>
          <w:jc w:val="center"/>
        </w:trPr>
        <w:tc>
          <w:tcPr>
            <w:tcW w:w="8496" w:type="dxa"/>
            <w:gridSpan w:val="6"/>
            <w:tcBorders>
              <w:left w:val="single" w:color="auto" w:sz="4" w:space="0"/>
              <w:right w:val="single" w:color="auto" w:sz="4" w:space="0"/>
            </w:tcBorders>
            <w:vAlign w:val="center"/>
          </w:tcPr>
          <w:p>
            <w:pPr>
              <w:spacing w:line="460" w:lineRule="exact"/>
              <w:rPr>
                <w:rFonts w:ascii="宋体" w:hAnsi="宋体"/>
                <w:b/>
                <w:szCs w:val="21"/>
              </w:rPr>
            </w:pPr>
            <w:r>
              <w:rPr>
                <w:rFonts w:hint="eastAsia" w:ascii="宋体" w:hAnsi="宋体"/>
                <w:b/>
                <w:szCs w:val="21"/>
              </w:rPr>
              <w:t>注：</w:t>
            </w:r>
          </w:p>
          <w:p>
            <w:pPr>
              <w:spacing w:line="460" w:lineRule="exact"/>
              <w:rPr>
                <w:rFonts w:ascii="宋体" w:hAnsi="宋体" w:cs="宋体"/>
                <w:szCs w:val="21"/>
              </w:rPr>
            </w:pPr>
            <w:r>
              <w:rPr>
                <w:rFonts w:hint="eastAsia" w:ascii="宋体" w:hAnsi="宋体" w:cs="宋体"/>
                <w:szCs w:val="21"/>
              </w:rPr>
              <w:t>1.投标人以招标人提供的</w:t>
            </w:r>
            <w:r>
              <w:rPr>
                <w:rFonts w:hint="eastAsia" w:ascii="宋体" w:hAnsi="宋体"/>
                <w:bCs/>
                <w:szCs w:val="21"/>
              </w:rPr>
              <w:t>最高限价进行报价，并以此作为报价的依据。</w:t>
            </w:r>
            <w:r>
              <w:rPr>
                <w:rFonts w:hint="eastAsia" w:ascii="宋体" w:hAnsi="宋体" w:cs="宋体"/>
                <w:szCs w:val="21"/>
              </w:rPr>
              <w:t>投标人必须按合同包投标，对合同包内所有内容及其数量投标时必须完整，不得对合同包进行拆包，否则其投标文件将被拒绝。评标与授标以合同包为单位。</w:t>
            </w:r>
          </w:p>
          <w:p>
            <w:pPr>
              <w:spacing w:line="460" w:lineRule="exact"/>
              <w:rPr>
                <w:rFonts w:ascii="宋体" w:hAnsi="宋体" w:cs="宋体"/>
                <w:szCs w:val="21"/>
              </w:rPr>
            </w:pPr>
            <w:r>
              <w:rPr>
                <w:rFonts w:hint="eastAsia" w:ascii="宋体" w:hAnsi="宋体" w:cs="宋体"/>
                <w:szCs w:val="21"/>
              </w:rPr>
              <w:t>2.投标人的报价应包括设备所涉及的有关项目费用进行报价，包括：备件、专用工具、安装、调试、检验、技术培训及技术资料和运输保险等费用。</w:t>
            </w:r>
          </w:p>
          <w:p>
            <w:pPr>
              <w:spacing w:line="460" w:lineRule="exact"/>
              <w:rPr>
                <w:rFonts w:ascii="宋体" w:hAnsi="宋体"/>
                <w:b/>
                <w:bCs/>
                <w:szCs w:val="21"/>
              </w:rPr>
            </w:pPr>
            <w:r>
              <w:rPr>
                <w:rFonts w:hint="eastAsia" w:ascii="宋体" w:hAnsi="宋体" w:cs="宋体"/>
                <w:szCs w:val="21"/>
              </w:rPr>
              <w:t>3.中标人不得将中标项目转包他人，若发现转包现象，招标人有权终止协议。</w:t>
            </w:r>
          </w:p>
        </w:tc>
      </w:tr>
    </w:tbl>
    <w:p>
      <w:pPr>
        <w:tabs>
          <w:tab w:val="left" w:pos="2852"/>
          <w:tab w:val="left" w:pos="8205"/>
        </w:tabs>
        <w:adjustRightInd w:val="0"/>
        <w:snapToGrid w:val="0"/>
        <w:spacing w:line="460" w:lineRule="exact"/>
        <w:ind w:firstLine="420" w:firstLineChars="200"/>
        <w:rPr>
          <w:rFonts w:ascii="宋体" w:hAnsi="宋体"/>
          <w:szCs w:val="21"/>
        </w:rPr>
      </w:pPr>
    </w:p>
    <w:p>
      <w:pPr>
        <w:tabs>
          <w:tab w:val="left" w:pos="2852"/>
          <w:tab w:val="left" w:pos="8205"/>
        </w:tabs>
        <w:adjustRightInd w:val="0"/>
        <w:snapToGrid w:val="0"/>
        <w:spacing w:line="460" w:lineRule="exact"/>
        <w:ind w:firstLine="420" w:firstLineChars="200"/>
        <w:rPr>
          <w:rFonts w:ascii="宋体" w:hAnsi="宋体" w:cs="宋体"/>
          <w:szCs w:val="21"/>
        </w:rPr>
      </w:pPr>
      <w:r>
        <w:rPr>
          <w:rFonts w:ascii="宋体" w:hAnsi="宋体" w:cs="宋体"/>
          <w:szCs w:val="21"/>
        </w:rPr>
        <w:t xml:space="preserve"> </w:t>
      </w:r>
    </w:p>
    <w:p>
      <w:pPr>
        <w:pStyle w:val="95"/>
        <w:rPr>
          <w:rFonts w:hAnsi="宋体" w:cs="宋体"/>
          <w:color w:val="auto"/>
          <w:szCs w:val="21"/>
        </w:rPr>
      </w:pPr>
    </w:p>
    <w:p>
      <w:pPr>
        <w:pStyle w:val="95"/>
        <w:rPr>
          <w:rFonts w:hAnsi="宋体" w:cs="宋体"/>
          <w:color w:val="auto"/>
          <w:szCs w:val="21"/>
        </w:rPr>
      </w:pPr>
    </w:p>
    <w:p>
      <w:pPr>
        <w:pStyle w:val="95"/>
        <w:rPr>
          <w:rFonts w:hAnsi="宋体" w:cs="宋体"/>
          <w:color w:val="auto"/>
          <w:szCs w:val="21"/>
        </w:rPr>
      </w:pPr>
    </w:p>
    <w:p>
      <w:pPr>
        <w:pStyle w:val="95"/>
        <w:rPr>
          <w:rFonts w:hAnsi="宋体" w:cs="宋体"/>
          <w:color w:val="auto"/>
          <w:szCs w:val="21"/>
        </w:rPr>
      </w:pPr>
    </w:p>
    <w:p>
      <w:pPr>
        <w:pStyle w:val="95"/>
        <w:rPr>
          <w:rFonts w:hAnsi="宋体" w:cs="宋体"/>
          <w:color w:val="auto"/>
          <w:szCs w:val="21"/>
        </w:rPr>
      </w:pPr>
    </w:p>
    <w:p>
      <w:pPr>
        <w:pStyle w:val="95"/>
        <w:rPr>
          <w:rFonts w:hAnsi="宋体" w:cs="宋体"/>
          <w:color w:val="auto"/>
          <w:szCs w:val="21"/>
        </w:rPr>
      </w:pPr>
    </w:p>
    <w:p>
      <w:pPr>
        <w:pStyle w:val="95"/>
        <w:rPr>
          <w:rFonts w:hAnsi="宋体" w:cs="宋体"/>
          <w:color w:val="auto"/>
          <w:szCs w:val="21"/>
        </w:rPr>
      </w:pPr>
    </w:p>
    <w:p>
      <w:pPr>
        <w:pStyle w:val="95"/>
        <w:rPr>
          <w:rFonts w:hAnsi="宋体" w:cs="宋体"/>
          <w:color w:val="auto"/>
          <w:szCs w:val="21"/>
        </w:rPr>
      </w:pPr>
    </w:p>
    <w:p>
      <w:pPr>
        <w:pStyle w:val="95"/>
        <w:rPr>
          <w:rFonts w:hAnsi="宋体" w:cs="宋体"/>
          <w:color w:val="auto"/>
          <w:szCs w:val="21"/>
        </w:rPr>
      </w:pPr>
    </w:p>
    <w:p>
      <w:pPr>
        <w:pStyle w:val="95"/>
        <w:rPr>
          <w:rFonts w:hAnsi="宋体" w:cs="宋体"/>
          <w:color w:val="auto"/>
          <w:szCs w:val="21"/>
        </w:rPr>
      </w:pPr>
    </w:p>
    <w:p>
      <w:pPr>
        <w:pStyle w:val="95"/>
        <w:rPr>
          <w:rFonts w:hAnsi="宋体" w:cs="宋体"/>
          <w:color w:val="auto"/>
          <w:szCs w:val="21"/>
        </w:rPr>
      </w:pPr>
    </w:p>
    <w:p>
      <w:pPr>
        <w:pStyle w:val="95"/>
        <w:rPr>
          <w:rFonts w:hAnsi="宋体" w:cs="宋体"/>
          <w:color w:val="auto"/>
          <w:szCs w:val="21"/>
        </w:rPr>
      </w:pPr>
    </w:p>
    <w:p>
      <w:pPr>
        <w:pStyle w:val="95"/>
        <w:rPr>
          <w:rFonts w:hAnsi="宋体" w:cs="宋体"/>
          <w:color w:val="auto"/>
          <w:szCs w:val="21"/>
        </w:rPr>
      </w:pPr>
    </w:p>
    <w:p>
      <w:pPr>
        <w:pStyle w:val="95"/>
        <w:rPr>
          <w:rFonts w:hAnsi="宋体" w:cs="宋体"/>
          <w:color w:val="auto"/>
          <w:szCs w:val="21"/>
        </w:rPr>
      </w:pPr>
    </w:p>
    <w:p>
      <w:pPr>
        <w:pStyle w:val="95"/>
        <w:rPr>
          <w:rFonts w:hAnsi="宋体" w:cs="宋体"/>
          <w:color w:val="auto"/>
          <w:szCs w:val="21"/>
        </w:rPr>
      </w:pPr>
    </w:p>
    <w:p>
      <w:pPr>
        <w:pStyle w:val="95"/>
        <w:rPr>
          <w:rFonts w:hAnsi="宋体" w:cs="宋体"/>
          <w:color w:val="auto"/>
          <w:szCs w:val="21"/>
        </w:rPr>
      </w:pPr>
    </w:p>
    <w:p>
      <w:pPr>
        <w:pStyle w:val="4"/>
        <w:numPr>
          <w:ilvl w:val="1"/>
          <w:numId w:val="0"/>
        </w:numPr>
        <w:tabs>
          <w:tab w:val="left" w:pos="7740"/>
        </w:tabs>
        <w:spacing w:before="0" w:after="0"/>
        <w:ind w:left="181"/>
        <w:rPr>
          <w:rFonts w:ascii="宋体" w:hAnsi="宋体"/>
          <w:szCs w:val="30"/>
        </w:rPr>
      </w:pPr>
      <w:bookmarkStart w:id="7" w:name="_Toc74326508"/>
      <w:r>
        <w:rPr>
          <w:rFonts w:ascii="宋体" w:hAnsi="宋体"/>
          <w:szCs w:val="30"/>
        </w:rPr>
        <w:br w:type="page"/>
      </w:r>
      <w:r>
        <w:rPr>
          <w:rFonts w:hint="eastAsia" w:ascii="宋体" w:hAnsi="宋体"/>
          <w:szCs w:val="30"/>
        </w:rPr>
        <w:t>2.1招标货物明细一览表</w:t>
      </w:r>
      <w:bookmarkEnd w:id="7"/>
    </w:p>
    <w:tbl>
      <w:tblPr>
        <w:tblStyle w:val="36"/>
        <w:tblW w:w="0" w:type="auto"/>
        <w:tblInd w:w="0" w:type="dxa"/>
        <w:tblLayout w:type="fixed"/>
        <w:tblCellMar>
          <w:top w:w="0" w:type="dxa"/>
          <w:left w:w="108" w:type="dxa"/>
          <w:bottom w:w="0" w:type="dxa"/>
          <w:right w:w="108" w:type="dxa"/>
        </w:tblCellMar>
      </w:tblPr>
      <w:tblGrid>
        <w:gridCol w:w="438"/>
        <w:gridCol w:w="2080"/>
        <w:gridCol w:w="1701"/>
        <w:gridCol w:w="1276"/>
        <w:gridCol w:w="1134"/>
        <w:gridCol w:w="2410"/>
      </w:tblGrid>
      <w:tr>
        <w:tblPrEx>
          <w:tblCellMar>
            <w:top w:w="0" w:type="dxa"/>
            <w:left w:w="108" w:type="dxa"/>
            <w:bottom w:w="0" w:type="dxa"/>
            <w:right w:w="108" w:type="dxa"/>
          </w:tblCellMar>
        </w:tblPrEx>
        <w:trPr>
          <w:trHeight w:val="477" w:hRule="atLeast"/>
        </w:trPr>
        <w:tc>
          <w:tcPr>
            <w:tcW w:w="43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序号</w:t>
            </w:r>
          </w:p>
        </w:tc>
        <w:tc>
          <w:tcPr>
            <w:tcW w:w="2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名　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型号规格</w:t>
            </w:r>
          </w:p>
        </w:tc>
        <w:tc>
          <w:tcPr>
            <w:tcW w:w="1276" w:type="dxa"/>
            <w:tcBorders>
              <w:top w:val="single" w:color="auto" w:sz="4" w:space="0"/>
              <w:left w:val="single" w:color="auto" w:sz="4" w:space="0"/>
              <w:bottom w:val="single" w:color="000000"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预算单价（元）</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数量</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金额（元）</w:t>
            </w:r>
          </w:p>
        </w:tc>
      </w:tr>
      <w:tr>
        <w:tblPrEx>
          <w:tblCellMar>
            <w:top w:w="0" w:type="dxa"/>
            <w:left w:w="108" w:type="dxa"/>
            <w:bottom w:w="0" w:type="dxa"/>
            <w:right w:w="108" w:type="dxa"/>
          </w:tblCellMar>
        </w:tblPrEx>
        <w:trPr>
          <w:trHeight w:val="119" w:hRule="atLeast"/>
        </w:trPr>
        <w:tc>
          <w:tcPr>
            <w:tcW w:w="438" w:type="dxa"/>
            <w:vMerge w:val="restart"/>
            <w:tcBorders>
              <w:top w:val="nil"/>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1</w:t>
            </w:r>
          </w:p>
        </w:tc>
        <w:tc>
          <w:tcPr>
            <w:tcW w:w="2080" w:type="dxa"/>
            <w:vMerge w:val="restart"/>
            <w:tcBorders>
              <w:top w:val="nil"/>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计算机控制高速平缝缝纫机</w:t>
            </w:r>
          </w:p>
        </w:tc>
        <w:tc>
          <w:tcPr>
            <w:tcW w:w="1701"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薄料、中厚料</w:t>
            </w:r>
          </w:p>
        </w:tc>
        <w:tc>
          <w:tcPr>
            <w:tcW w:w="1276"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3600</w:t>
            </w:r>
          </w:p>
        </w:tc>
        <w:tc>
          <w:tcPr>
            <w:tcW w:w="1134"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473</w:t>
            </w:r>
          </w:p>
        </w:tc>
        <w:tc>
          <w:tcPr>
            <w:tcW w:w="2410" w:type="dxa"/>
            <w:tcBorders>
              <w:top w:val="single" w:color="auto" w:sz="4" w:space="0"/>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1702800</w:t>
            </w:r>
          </w:p>
        </w:tc>
      </w:tr>
      <w:tr>
        <w:tblPrEx>
          <w:tblCellMar>
            <w:top w:w="0" w:type="dxa"/>
            <w:left w:w="108" w:type="dxa"/>
            <w:bottom w:w="0" w:type="dxa"/>
            <w:right w:w="108" w:type="dxa"/>
          </w:tblCellMar>
        </w:tblPrEx>
        <w:trPr>
          <w:trHeight w:val="119" w:hRule="atLeast"/>
        </w:trPr>
        <w:tc>
          <w:tcPr>
            <w:tcW w:w="438"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宋体" w:hAnsi="宋体" w:cs="宋体"/>
                <w:kern w:val="0"/>
                <w:szCs w:val="21"/>
              </w:rPr>
            </w:pPr>
          </w:p>
        </w:tc>
        <w:tc>
          <w:tcPr>
            <w:tcW w:w="2080"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宋体" w:hAnsi="宋体" w:cs="宋体"/>
                <w:kern w:val="0"/>
                <w:szCs w:val="21"/>
              </w:rPr>
            </w:pPr>
          </w:p>
        </w:tc>
        <w:tc>
          <w:tcPr>
            <w:tcW w:w="1701"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厚料</w:t>
            </w:r>
          </w:p>
        </w:tc>
        <w:tc>
          <w:tcPr>
            <w:tcW w:w="1276"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3700</w:t>
            </w:r>
          </w:p>
        </w:tc>
        <w:tc>
          <w:tcPr>
            <w:tcW w:w="1134"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46</w:t>
            </w:r>
          </w:p>
        </w:tc>
        <w:tc>
          <w:tcPr>
            <w:tcW w:w="241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170200</w:t>
            </w:r>
          </w:p>
        </w:tc>
      </w:tr>
      <w:tr>
        <w:tblPrEx>
          <w:tblCellMar>
            <w:top w:w="0" w:type="dxa"/>
            <w:left w:w="108" w:type="dxa"/>
            <w:bottom w:w="0" w:type="dxa"/>
            <w:right w:w="108" w:type="dxa"/>
          </w:tblCellMar>
        </w:tblPrEx>
        <w:trPr>
          <w:trHeight w:val="119" w:hRule="atLeast"/>
        </w:trPr>
        <w:tc>
          <w:tcPr>
            <w:tcW w:w="438" w:type="dxa"/>
            <w:vMerge w:val="restart"/>
            <w:tcBorders>
              <w:top w:val="nil"/>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2</w:t>
            </w:r>
          </w:p>
        </w:tc>
        <w:tc>
          <w:tcPr>
            <w:tcW w:w="2080" w:type="dxa"/>
            <w:vMerge w:val="restart"/>
            <w:tcBorders>
              <w:top w:val="nil"/>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计算机控制高速侧切刀平缝缝纫机</w:t>
            </w:r>
          </w:p>
        </w:tc>
        <w:tc>
          <w:tcPr>
            <w:tcW w:w="1701"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侧切</w:t>
            </w:r>
          </w:p>
        </w:tc>
        <w:tc>
          <w:tcPr>
            <w:tcW w:w="1276"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4200</w:t>
            </w:r>
          </w:p>
        </w:tc>
        <w:tc>
          <w:tcPr>
            <w:tcW w:w="1134"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75</w:t>
            </w:r>
          </w:p>
        </w:tc>
        <w:tc>
          <w:tcPr>
            <w:tcW w:w="241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315000</w:t>
            </w:r>
          </w:p>
        </w:tc>
      </w:tr>
      <w:tr>
        <w:tblPrEx>
          <w:tblCellMar>
            <w:top w:w="0" w:type="dxa"/>
            <w:left w:w="108" w:type="dxa"/>
            <w:bottom w:w="0" w:type="dxa"/>
            <w:right w:w="108" w:type="dxa"/>
          </w:tblCellMar>
        </w:tblPrEx>
        <w:trPr>
          <w:trHeight w:val="119" w:hRule="atLeast"/>
        </w:trPr>
        <w:tc>
          <w:tcPr>
            <w:tcW w:w="438"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宋体" w:hAnsi="宋体" w:cs="宋体"/>
                <w:kern w:val="0"/>
                <w:szCs w:val="21"/>
              </w:rPr>
            </w:pPr>
          </w:p>
        </w:tc>
        <w:tc>
          <w:tcPr>
            <w:tcW w:w="2080"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宋体" w:hAnsi="宋体" w:cs="宋体"/>
                <w:kern w:val="0"/>
                <w:szCs w:val="21"/>
              </w:rPr>
            </w:pPr>
          </w:p>
        </w:tc>
        <w:tc>
          <w:tcPr>
            <w:tcW w:w="1701"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切包一体</w:t>
            </w:r>
          </w:p>
        </w:tc>
        <w:tc>
          <w:tcPr>
            <w:tcW w:w="1276"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4600</w:t>
            </w:r>
          </w:p>
        </w:tc>
        <w:tc>
          <w:tcPr>
            <w:tcW w:w="1134"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7</w:t>
            </w:r>
          </w:p>
        </w:tc>
        <w:tc>
          <w:tcPr>
            <w:tcW w:w="241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32200</w:t>
            </w:r>
          </w:p>
        </w:tc>
      </w:tr>
      <w:tr>
        <w:tblPrEx>
          <w:tblCellMar>
            <w:top w:w="0" w:type="dxa"/>
            <w:left w:w="108" w:type="dxa"/>
            <w:bottom w:w="0" w:type="dxa"/>
            <w:right w:w="108" w:type="dxa"/>
          </w:tblCellMar>
        </w:tblPrEx>
        <w:trPr>
          <w:trHeight w:val="119" w:hRule="atLeast"/>
        </w:trPr>
        <w:tc>
          <w:tcPr>
            <w:tcW w:w="438" w:type="dxa"/>
            <w:vMerge w:val="restart"/>
            <w:tcBorders>
              <w:top w:val="nil"/>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3</w:t>
            </w:r>
          </w:p>
        </w:tc>
        <w:tc>
          <w:tcPr>
            <w:tcW w:w="2080" w:type="dxa"/>
            <w:vMerge w:val="restart"/>
            <w:tcBorders>
              <w:top w:val="nil"/>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计算机控制针送料平缝缝纫机</w:t>
            </w:r>
          </w:p>
        </w:tc>
        <w:tc>
          <w:tcPr>
            <w:tcW w:w="1701"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薄料、中厚料</w:t>
            </w:r>
          </w:p>
        </w:tc>
        <w:tc>
          <w:tcPr>
            <w:tcW w:w="1276"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4500</w:t>
            </w:r>
          </w:p>
        </w:tc>
        <w:tc>
          <w:tcPr>
            <w:tcW w:w="1134"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54</w:t>
            </w:r>
          </w:p>
        </w:tc>
        <w:tc>
          <w:tcPr>
            <w:tcW w:w="241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243000</w:t>
            </w:r>
          </w:p>
        </w:tc>
      </w:tr>
      <w:tr>
        <w:tblPrEx>
          <w:tblCellMar>
            <w:top w:w="0" w:type="dxa"/>
            <w:left w:w="108" w:type="dxa"/>
            <w:bottom w:w="0" w:type="dxa"/>
            <w:right w:w="108" w:type="dxa"/>
          </w:tblCellMar>
        </w:tblPrEx>
        <w:trPr>
          <w:trHeight w:val="119" w:hRule="atLeast"/>
        </w:trPr>
        <w:tc>
          <w:tcPr>
            <w:tcW w:w="438"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宋体" w:hAnsi="宋体" w:cs="宋体"/>
                <w:kern w:val="0"/>
                <w:szCs w:val="21"/>
              </w:rPr>
            </w:pPr>
          </w:p>
        </w:tc>
        <w:tc>
          <w:tcPr>
            <w:tcW w:w="2080"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宋体" w:hAnsi="宋体" w:cs="宋体"/>
                <w:kern w:val="0"/>
                <w:szCs w:val="21"/>
              </w:rPr>
            </w:pPr>
          </w:p>
        </w:tc>
        <w:tc>
          <w:tcPr>
            <w:tcW w:w="1701"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厚料</w:t>
            </w:r>
          </w:p>
        </w:tc>
        <w:tc>
          <w:tcPr>
            <w:tcW w:w="1276"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4500</w:t>
            </w:r>
          </w:p>
        </w:tc>
        <w:tc>
          <w:tcPr>
            <w:tcW w:w="1134"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5</w:t>
            </w:r>
          </w:p>
        </w:tc>
        <w:tc>
          <w:tcPr>
            <w:tcW w:w="241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22500</w:t>
            </w:r>
          </w:p>
        </w:tc>
      </w:tr>
      <w:tr>
        <w:tblPrEx>
          <w:tblCellMar>
            <w:top w:w="0" w:type="dxa"/>
            <w:left w:w="108" w:type="dxa"/>
            <w:bottom w:w="0" w:type="dxa"/>
            <w:right w:w="108" w:type="dxa"/>
          </w:tblCellMar>
        </w:tblPrEx>
        <w:trPr>
          <w:trHeight w:val="239" w:hRule="atLeast"/>
        </w:trPr>
        <w:tc>
          <w:tcPr>
            <w:tcW w:w="438" w:type="dxa"/>
            <w:tcBorders>
              <w:top w:val="nil"/>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4</w:t>
            </w:r>
          </w:p>
        </w:tc>
        <w:tc>
          <w:tcPr>
            <w:tcW w:w="208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计算机控制双针针送料平缝缝纫机</w:t>
            </w:r>
          </w:p>
        </w:tc>
        <w:tc>
          <w:tcPr>
            <w:tcW w:w="1701"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针杆分离</w:t>
            </w:r>
          </w:p>
        </w:tc>
        <w:tc>
          <w:tcPr>
            <w:tcW w:w="1276"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12800</w:t>
            </w:r>
          </w:p>
        </w:tc>
        <w:tc>
          <w:tcPr>
            <w:tcW w:w="1134"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42</w:t>
            </w:r>
          </w:p>
        </w:tc>
        <w:tc>
          <w:tcPr>
            <w:tcW w:w="241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537600</w:t>
            </w:r>
          </w:p>
        </w:tc>
      </w:tr>
      <w:tr>
        <w:tblPrEx>
          <w:tblCellMar>
            <w:top w:w="0" w:type="dxa"/>
            <w:left w:w="108" w:type="dxa"/>
            <w:bottom w:w="0" w:type="dxa"/>
            <w:right w:w="108" w:type="dxa"/>
          </w:tblCellMar>
        </w:tblPrEx>
        <w:trPr>
          <w:trHeight w:val="239" w:hRule="atLeast"/>
        </w:trPr>
        <w:tc>
          <w:tcPr>
            <w:tcW w:w="438" w:type="dxa"/>
            <w:tcBorders>
              <w:top w:val="nil"/>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5</w:t>
            </w:r>
          </w:p>
        </w:tc>
        <w:tc>
          <w:tcPr>
            <w:tcW w:w="208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计算机控制链式线迹缝纫机</w:t>
            </w:r>
          </w:p>
        </w:tc>
        <w:tc>
          <w:tcPr>
            <w:tcW w:w="1701"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3针、中厚料</w:t>
            </w:r>
          </w:p>
        </w:tc>
        <w:tc>
          <w:tcPr>
            <w:tcW w:w="1276"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4500</w:t>
            </w:r>
          </w:p>
        </w:tc>
        <w:tc>
          <w:tcPr>
            <w:tcW w:w="1134"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20</w:t>
            </w:r>
          </w:p>
        </w:tc>
        <w:tc>
          <w:tcPr>
            <w:tcW w:w="241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90000</w:t>
            </w:r>
          </w:p>
        </w:tc>
      </w:tr>
      <w:tr>
        <w:tblPrEx>
          <w:tblCellMar>
            <w:top w:w="0" w:type="dxa"/>
            <w:left w:w="108" w:type="dxa"/>
            <w:bottom w:w="0" w:type="dxa"/>
            <w:right w:w="108" w:type="dxa"/>
          </w:tblCellMar>
        </w:tblPrEx>
        <w:trPr>
          <w:trHeight w:val="239" w:hRule="atLeast"/>
        </w:trPr>
        <w:tc>
          <w:tcPr>
            <w:tcW w:w="438" w:type="dxa"/>
            <w:tcBorders>
              <w:top w:val="nil"/>
              <w:left w:val="single" w:color="auto" w:sz="4" w:space="0"/>
              <w:bottom w:val="nil"/>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6</w:t>
            </w:r>
          </w:p>
        </w:tc>
        <w:tc>
          <w:tcPr>
            <w:tcW w:w="2080" w:type="dxa"/>
            <w:tcBorders>
              <w:top w:val="nil"/>
              <w:left w:val="nil"/>
              <w:bottom w:val="nil"/>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计算机控制多针链缝缝纫机</w:t>
            </w:r>
          </w:p>
        </w:tc>
        <w:tc>
          <w:tcPr>
            <w:tcW w:w="1701"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13针</w:t>
            </w:r>
          </w:p>
        </w:tc>
        <w:tc>
          <w:tcPr>
            <w:tcW w:w="1276"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13500</w:t>
            </w:r>
          </w:p>
        </w:tc>
        <w:tc>
          <w:tcPr>
            <w:tcW w:w="1134"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13</w:t>
            </w:r>
          </w:p>
        </w:tc>
        <w:tc>
          <w:tcPr>
            <w:tcW w:w="241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175500</w:t>
            </w:r>
          </w:p>
        </w:tc>
      </w:tr>
      <w:tr>
        <w:tblPrEx>
          <w:tblCellMar>
            <w:top w:w="0" w:type="dxa"/>
            <w:left w:w="108" w:type="dxa"/>
            <w:bottom w:w="0" w:type="dxa"/>
            <w:right w:w="108" w:type="dxa"/>
          </w:tblCellMar>
        </w:tblPrEx>
        <w:trPr>
          <w:trHeight w:val="239" w:hRule="atLeast"/>
        </w:trPr>
        <w:tc>
          <w:tcPr>
            <w:tcW w:w="43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7</w:t>
            </w:r>
          </w:p>
        </w:tc>
        <w:tc>
          <w:tcPr>
            <w:tcW w:w="2080" w:type="dxa"/>
            <w:tcBorders>
              <w:top w:val="single" w:color="auto" w:sz="4" w:space="0"/>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计算机控制上下差动送料平缝缝纫机</w:t>
            </w:r>
          </w:p>
        </w:tc>
        <w:tc>
          <w:tcPr>
            <w:tcW w:w="1701"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薄料、中厚料</w:t>
            </w:r>
          </w:p>
        </w:tc>
        <w:tc>
          <w:tcPr>
            <w:tcW w:w="1276"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9800</w:t>
            </w:r>
          </w:p>
        </w:tc>
        <w:tc>
          <w:tcPr>
            <w:tcW w:w="1134"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24</w:t>
            </w:r>
          </w:p>
        </w:tc>
        <w:tc>
          <w:tcPr>
            <w:tcW w:w="241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235200</w:t>
            </w:r>
          </w:p>
        </w:tc>
      </w:tr>
      <w:tr>
        <w:tblPrEx>
          <w:tblCellMar>
            <w:top w:w="0" w:type="dxa"/>
            <w:left w:w="108" w:type="dxa"/>
            <w:bottom w:w="0" w:type="dxa"/>
            <w:right w:w="108" w:type="dxa"/>
          </w:tblCellMar>
        </w:tblPrEx>
        <w:trPr>
          <w:trHeight w:val="119" w:hRule="atLeast"/>
        </w:trPr>
        <w:tc>
          <w:tcPr>
            <w:tcW w:w="438" w:type="dxa"/>
            <w:vMerge w:val="restart"/>
            <w:tcBorders>
              <w:top w:val="nil"/>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8</w:t>
            </w:r>
          </w:p>
        </w:tc>
        <w:tc>
          <w:tcPr>
            <w:tcW w:w="2080" w:type="dxa"/>
            <w:vMerge w:val="restart"/>
            <w:tcBorders>
              <w:top w:val="nil"/>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计算机控制高速包缝缝纫机</w:t>
            </w:r>
          </w:p>
        </w:tc>
        <w:tc>
          <w:tcPr>
            <w:tcW w:w="1701"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四线</w:t>
            </w:r>
          </w:p>
        </w:tc>
        <w:tc>
          <w:tcPr>
            <w:tcW w:w="1276"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4500</w:t>
            </w:r>
          </w:p>
        </w:tc>
        <w:tc>
          <w:tcPr>
            <w:tcW w:w="1134"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14</w:t>
            </w:r>
          </w:p>
        </w:tc>
        <w:tc>
          <w:tcPr>
            <w:tcW w:w="241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63000</w:t>
            </w:r>
          </w:p>
        </w:tc>
      </w:tr>
      <w:tr>
        <w:tblPrEx>
          <w:tblCellMar>
            <w:top w:w="0" w:type="dxa"/>
            <w:left w:w="108" w:type="dxa"/>
            <w:bottom w:w="0" w:type="dxa"/>
            <w:right w:w="108" w:type="dxa"/>
          </w:tblCellMar>
        </w:tblPrEx>
        <w:trPr>
          <w:trHeight w:val="119" w:hRule="atLeast"/>
        </w:trPr>
        <w:tc>
          <w:tcPr>
            <w:tcW w:w="438"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宋体" w:hAnsi="宋体" w:cs="宋体"/>
                <w:kern w:val="0"/>
                <w:szCs w:val="21"/>
              </w:rPr>
            </w:pPr>
          </w:p>
        </w:tc>
        <w:tc>
          <w:tcPr>
            <w:tcW w:w="2080"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宋体" w:hAnsi="宋体" w:cs="宋体"/>
                <w:kern w:val="0"/>
                <w:szCs w:val="21"/>
              </w:rPr>
            </w:pPr>
          </w:p>
        </w:tc>
        <w:tc>
          <w:tcPr>
            <w:tcW w:w="1701"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五线</w:t>
            </w:r>
          </w:p>
        </w:tc>
        <w:tc>
          <w:tcPr>
            <w:tcW w:w="1276"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4500</w:t>
            </w:r>
          </w:p>
        </w:tc>
        <w:tc>
          <w:tcPr>
            <w:tcW w:w="1134"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42</w:t>
            </w:r>
          </w:p>
        </w:tc>
        <w:tc>
          <w:tcPr>
            <w:tcW w:w="241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189000</w:t>
            </w:r>
          </w:p>
        </w:tc>
      </w:tr>
      <w:tr>
        <w:tblPrEx>
          <w:tblCellMar>
            <w:top w:w="0" w:type="dxa"/>
            <w:left w:w="108" w:type="dxa"/>
            <w:bottom w:w="0" w:type="dxa"/>
            <w:right w:w="108" w:type="dxa"/>
          </w:tblCellMar>
        </w:tblPrEx>
        <w:trPr>
          <w:trHeight w:val="139" w:hRule="atLeast"/>
        </w:trPr>
        <w:tc>
          <w:tcPr>
            <w:tcW w:w="438" w:type="dxa"/>
            <w:tcBorders>
              <w:top w:val="nil"/>
              <w:left w:val="single" w:color="auto" w:sz="4" w:space="0"/>
              <w:bottom w:val="nil"/>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9</w:t>
            </w:r>
          </w:p>
        </w:tc>
        <w:tc>
          <w:tcPr>
            <w:tcW w:w="2080" w:type="dxa"/>
            <w:tcBorders>
              <w:top w:val="nil"/>
              <w:left w:val="nil"/>
              <w:bottom w:val="nil"/>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计算机控制带模板缝纫机（自动模板机）</w:t>
            </w:r>
          </w:p>
        </w:tc>
        <w:tc>
          <w:tcPr>
            <w:tcW w:w="1701"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大型</w:t>
            </w:r>
          </w:p>
        </w:tc>
        <w:tc>
          <w:tcPr>
            <w:tcW w:w="1276"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34000</w:t>
            </w:r>
          </w:p>
        </w:tc>
        <w:tc>
          <w:tcPr>
            <w:tcW w:w="1134"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13</w:t>
            </w:r>
          </w:p>
        </w:tc>
        <w:tc>
          <w:tcPr>
            <w:tcW w:w="241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442000</w:t>
            </w:r>
          </w:p>
        </w:tc>
      </w:tr>
      <w:tr>
        <w:tblPrEx>
          <w:tblCellMar>
            <w:top w:w="0" w:type="dxa"/>
            <w:left w:w="108" w:type="dxa"/>
            <w:bottom w:w="0" w:type="dxa"/>
            <w:right w:w="108" w:type="dxa"/>
          </w:tblCellMar>
        </w:tblPrEx>
        <w:trPr>
          <w:trHeight w:val="271" w:hRule="atLeast"/>
        </w:trPr>
        <w:tc>
          <w:tcPr>
            <w:tcW w:w="43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10</w:t>
            </w:r>
          </w:p>
        </w:tc>
        <w:tc>
          <w:tcPr>
            <w:tcW w:w="2080" w:type="dxa"/>
            <w:tcBorders>
              <w:top w:val="single" w:color="auto" w:sz="4" w:space="0"/>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计算机控制花样缝缝纫机</w:t>
            </w:r>
          </w:p>
        </w:tc>
        <w:tc>
          <w:tcPr>
            <w:tcW w:w="1701"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2210</w:t>
            </w:r>
          </w:p>
        </w:tc>
        <w:tc>
          <w:tcPr>
            <w:tcW w:w="1276"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31000</w:t>
            </w:r>
          </w:p>
        </w:tc>
        <w:tc>
          <w:tcPr>
            <w:tcW w:w="1134"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12</w:t>
            </w:r>
          </w:p>
        </w:tc>
        <w:tc>
          <w:tcPr>
            <w:tcW w:w="241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372000</w:t>
            </w:r>
          </w:p>
        </w:tc>
      </w:tr>
      <w:tr>
        <w:tblPrEx>
          <w:tblCellMar>
            <w:top w:w="0" w:type="dxa"/>
            <w:left w:w="108" w:type="dxa"/>
            <w:bottom w:w="0" w:type="dxa"/>
            <w:right w:w="108" w:type="dxa"/>
          </w:tblCellMar>
        </w:tblPrEx>
        <w:trPr>
          <w:trHeight w:val="239" w:hRule="atLeast"/>
        </w:trPr>
        <w:tc>
          <w:tcPr>
            <w:tcW w:w="438" w:type="dxa"/>
            <w:tcBorders>
              <w:top w:val="nil"/>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11</w:t>
            </w:r>
          </w:p>
        </w:tc>
        <w:tc>
          <w:tcPr>
            <w:tcW w:w="208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计算机控制加固缝缝纫机</w:t>
            </w:r>
          </w:p>
        </w:tc>
        <w:tc>
          <w:tcPr>
            <w:tcW w:w="1701"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薄料、中厚料</w:t>
            </w:r>
          </w:p>
        </w:tc>
        <w:tc>
          <w:tcPr>
            <w:tcW w:w="1276"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12000</w:t>
            </w:r>
          </w:p>
        </w:tc>
        <w:tc>
          <w:tcPr>
            <w:tcW w:w="1134"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7</w:t>
            </w:r>
          </w:p>
        </w:tc>
        <w:tc>
          <w:tcPr>
            <w:tcW w:w="241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84000</w:t>
            </w:r>
          </w:p>
        </w:tc>
      </w:tr>
      <w:tr>
        <w:tblPrEx>
          <w:tblCellMar>
            <w:top w:w="0" w:type="dxa"/>
            <w:left w:w="108" w:type="dxa"/>
            <w:bottom w:w="0" w:type="dxa"/>
            <w:right w:w="108" w:type="dxa"/>
          </w:tblCellMar>
        </w:tblPrEx>
        <w:trPr>
          <w:trHeight w:val="267" w:hRule="atLeast"/>
        </w:trPr>
        <w:tc>
          <w:tcPr>
            <w:tcW w:w="5495" w:type="dxa"/>
            <w:gridSpan w:val="4"/>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合计</w:t>
            </w:r>
          </w:p>
        </w:tc>
        <w:tc>
          <w:tcPr>
            <w:tcW w:w="1134" w:type="dxa"/>
            <w:tcBorders>
              <w:top w:val="nil"/>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1052</w:t>
            </w:r>
          </w:p>
        </w:tc>
        <w:tc>
          <w:tcPr>
            <w:tcW w:w="241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4674000</w:t>
            </w:r>
          </w:p>
        </w:tc>
      </w:tr>
    </w:tbl>
    <w:p>
      <w:pPr>
        <w:pStyle w:val="95"/>
        <w:rPr>
          <w:rFonts w:hAnsi="宋体" w:cs="宋体"/>
          <w:color w:val="auto"/>
          <w:szCs w:val="21"/>
        </w:rPr>
        <w:sectPr>
          <w:headerReference r:id="rId7" w:type="default"/>
          <w:pgSz w:w="11906" w:h="16838"/>
          <w:pgMar w:top="1418" w:right="1418" w:bottom="964" w:left="1474" w:header="851" w:footer="992" w:gutter="0"/>
          <w:cols w:space="720" w:num="1"/>
          <w:docGrid w:linePitch="312" w:charSpace="0"/>
        </w:sectPr>
      </w:pPr>
    </w:p>
    <w:p>
      <w:pPr>
        <w:jc w:val="center"/>
        <w:outlineLvl w:val="0"/>
        <w:rPr>
          <w:rFonts w:ascii="宋体" w:hAnsi="宋体"/>
          <w:b/>
          <w:sz w:val="36"/>
        </w:rPr>
      </w:pPr>
      <w:bookmarkStart w:id="8" w:name="_Toc22837"/>
      <w:bookmarkStart w:id="9" w:name="_Toc74326509"/>
      <w:r>
        <w:rPr>
          <w:rFonts w:hint="eastAsia" w:ascii="宋体" w:hAnsi="宋体"/>
          <w:b/>
          <w:sz w:val="36"/>
        </w:rPr>
        <w:t>第二章   投标人须知</w:t>
      </w:r>
      <w:bookmarkEnd w:id="8"/>
      <w:bookmarkEnd w:id="9"/>
    </w:p>
    <w:p>
      <w:pPr>
        <w:pStyle w:val="4"/>
        <w:numPr>
          <w:ilvl w:val="1"/>
          <w:numId w:val="0"/>
        </w:numPr>
        <w:spacing w:before="120" w:beforeLines="50" w:after="120" w:afterLines="50" w:line="240" w:lineRule="auto"/>
        <w:ind w:left="181"/>
        <w:rPr>
          <w:rFonts w:ascii="宋体" w:hAnsi="宋体"/>
          <w:szCs w:val="30"/>
        </w:rPr>
      </w:pPr>
      <w:bookmarkStart w:id="10" w:name="_Toc6311"/>
      <w:bookmarkStart w:id="11" w:name="_Toc17215675"/>
      <w:bookmarkStart w:id="12" w:name="_Toc44996337"/>
      <w:bookmarkStart w:id="13" w:name="_Toc74326510"/>
      <w:bookmarkStart w:id="14" w:name="_Toc74083203"/>
      <w:r>
        <w:rPr>
          <w:rFonts w:hint="eastAsia" w:ascii="宋体" w:hAnsi="宋体"/>
          <w:szCs w:val="30"/>
        </w:rPr>
        <w:t>投标须知前附表</w:t>
      </w:r>
      <w:bookmarkEnd w:id="10"/>
      <w:bookmarkEnd w:id="11"/>
      <w:bookmarkEnd w:id="12"/>
      <w:bookmarkEnd w:id="13"/>
      <w:bookmarkEnd w:id="14"/>
    </w:p>
    <w:p>
      <w:pPr>
        <w:spacing w:line="360" w:lineRule="auto"/>
        <w:ind w:right="-42" w:firstLine="420" w:firstLineChars="200"/>
        <w:rPr>
          <w:rFonts w:ascii="宋体" w:hAnsi="宋体"/>
          <w:szCs w:val="21"/>
        </w:rPr>
      </w:pPr>
      <w:r>
        <w:rPr>
          <w:rFonts w:hint="eastAsia" w:ascii="宋体" w:hAnsi="宋体"/>
          <w:szCs w:val="21"/>
        </w:rPr>
        <w:t>本须知前附表的条款号是与《投标人须知》中条款的项号相对应的。如果有矛盾的话，应以本须知前附表为准。</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033"/>
        <w:gridCol w:w="7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36" w:type="dxa"/>
            <w:vAlign w:val="center"/>
          </w:tcPr>
          <w:p>
            <w:pPr>
              <w:spacing w:line="420" w:lineRule="exact"/>
              <w:jc w:val="center"/>
              <w:rPr>
                <w:rFonts w:ascii="宋体" w:hAnsi="宋体"/>
                <w:szCs w:val="21"/>
              </w:rPr>
            </w:pPr>
            <w:r>
              <w:rPr>
                <w:rFonts w:hint="eastAsia" w:ascii="宋体" w:hAnsi="宋体"/>
                <w:szCs w:val="21"/>
              </w:rPr>
              <w:t>项号</w:t>
            </w:r>
          </w:p>
        </w:tc>
        <w:tc>
          <w:tcPr>
            <w:tcW w:w="1033" w:type="dxa"/>
            <w:vAlign w:val="center"/>
          </w:tcPr>
          <w:p>
            <w:pPr>
              <w:spacing w:line="420" w:lineRule="exact"/>
              <w:jc w:val="center"/>
              <w:rPr>
                <w:rFonts w:ascii="宋体" w:hAnsi="宋体"/>
                <w:szCs w:val="21"/>
              </w:rPr>
            </w:pPr>
            <w:r>
              <w:rPr>
                <w:rFonts w:hint="eastAsia" w:ascii="宋体" w:hAnsi="宋体"/>
                <w:szCs w:val="21"/>
              </w:rPr>
              <w:t>条款号</w:t>
            </w:r>
          </w:p>
        </w:tc>
        <w:tc>
          <w:tcPr>
            <w:tcW w:w="7461" w:type="dxa"/>
            <w:vAlign w:val="center"/>
          </w:tcPr>
          <w:p>
            <w:pPr>
              <w:spacing w:line="420" w:lineRule="exact"/>
              <w:jc w:val="center"/>
              <w:rPr>
                <w:rFonts w:ascii="宋体" w:hAnsi="宋体"/>
                <w:szCs w:val="21"/>
              </w:rPr>
            </w:pPr>
            <w:r>
              <w:rPr>
                <w:rFonts w:hint="eastAsia" w:ascii="宋体" w:hAnsi="宋体"/>
                <w:szCs w:val="21"/>
              </w:rPr>
              <w:t>编</w:t>
            </w:r>
            <w:r>
              <w:rPr>
                <w:rFonts w:ascii="宋体" w:hAnsi="宋体"/>
                <w:szCs w:val="21"/>
              </w:rPr>
              <w:t xml:space="preserve">   </w:t>
            </w:r>
            <w:r>
              <w:rPr>
                <w:rFonts w:hint="eastAsia" w:ascii="宋体" w:hAnsi="宋体"/>
                <w:szCs w:val="21"/>
              </w:rPr>
              <w:t>列</w:t>
            </w:r>
            <w:r>
              <w:rPr>
                <w:rFonts w:ascii="宋体" w:hAnsi="宋体"/>
                <w:szCs w:val="21"/>
              </w:rPr>
              <w:t xml:space="preserve">   </w:t>
            </w:r>
            <w:r>
              <w:rPr>
                <w:rFonts w:hint="eastAsia" w:ascii="宋体" w:hAnsi="宋体"/>
                <w:szCs w:val="21"/>
              </w:rPr>
              <w:t>内</w:t>
            </w:r>
            <w:r>
              <w:rPr>
                <w:rFonts w:ascii="宋体" w:hAnsi="宋体"/>
                <w:szCs w:val="21"/>
              </w:rPr>
              <w:t xml:space="preserve">    </w:t>
            </w:r>
            <w:r>
              <w:rPr>
                <w:rFonts w:hint="eastAsia" w:ascii="宋体" w:hAnsi="宋体"/>
                <w:szCs w:val="21"/>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736" w:type="dxa"/>
            <w:vAlign w:val="center"/>
          </w:tcPr>
          <w:p>
            <w:pPr>
              <w:spacing w:line="420" w:lineRule="exact"/>
              <w:jc w:val="center"/>
              <w:rPr>
                <w:rFonts w:ascii="宋体" w:hAnsi="宋体"/>
                <w:szCs w:val="21"/>
              </w:rPr>
            </w:pPr>
            <w:r>
              <w:rPr>
                <w:rFonts w:ascii="宋体" w:hAnsi="宋体"/>
                <w:szCs w:val="21"/>
              </w:rPr>
              <w:t>1</w:t>
            </w:r>
          </w:p>
        </w:tc>
        <w:tc>
          <w:tcPr>
            <w:tcW w:w="1033" w:type="dxa"/>
            <w:vAlign w:val="center"/>
          </w:tcPr>
          <w:p>
            <w:pPr>
              <w:spacing w:line="420" w:lineRule="exact"/>
              <w:jc w:val="center"/>
              <w:rPr>
                <w:rFonts w:ascii="宋体" w:hAnsi="宋体"/>
                <w:szCs w:val="21"/>
              </w:rPr>
            </w:pPr>
            <w:r>
              <w:rPr>
                <w:rFonts w:ascii="宋体" w:hAnsi="宋体"/>
                <w:szCs w:val="21"/>
              </w:rPr>
              <w:t>1.1</w:t>
            </w:r>
          </w:p>
        </w:tc>
        <w:tc>
          <w:tcPr>
            <w:tcW w:w="7461" w:type="dxa"/>
            <w:vAlign w:val="center"/>
          </w:tcPr>
          <w:p>
            <w:pPr>
              <w:spacing w:line="440" w:lineRule="exact"/>
              <w:rPr>
                <w:rFonts w:ascii="宋体" w:hAnsi="宋体"/>
                <w:szCs w:val="21"/>
              </w:rPr>
            </w:pPr>
            <w:r>
              <w:rPr>
                <w:rFonts w:hint="eastAsia" w:ascii="宋体" w:hAnsi="宋体"/>
                <w:szCs w:val="21"/>
              </w:rPr>
              <w:t>项目名称：2021年度建阳兴欣织造有限责任公司缝纫设备采购项目</w:t>
            </w:r>
          </w:p>
          <w:p>
            <w:pPr>
              <w:spacing w:line="440" w:lineRule="exact"/>
              <w:rPr>
                <w:rFonts w:ascii="宋体" w:hAnsi="宋体"/>
                <w:szCs w:val="21"/>
              </w:rPr>
            </w:pPr>
            <w:r>
              <w:rPr>
                <w:rFonts w:hint="eastAsia" w:ascii="宋体" w:hAnsi="宋体"/>
                <w:szCs w:val="21"/>
              </w:rPr>
              <w:t>项目内容：详见招标货物一览表</w:t>
            </w:r>
          </w:p>
          <w:p>
            <w:pPr>
              <w:spacing w:line="440" w:lineRule="exact"/>
              <w:rPr>
                <w:rFonts w:ascii="宋体" w:hAnsi="宋体"/>
                <w:szCs w:val="21"/>
              </w:rPr>
            </w:pPr>
            <w:r>
              <w:rPr>
                <w:rFonts w:hint="eastAsia" w:ascii="宋体" w:hAnsi="宋体"/>
                <w:szCs w:val="21"/>
              </w:rPr>
              <w:t>项目编号： FJYS2021-248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36" w:type="dxa"/>
            <w:vAlign w:val="center"/>
          </w:tcPr>
          <w:p>
            <w:pPr>
              <w:spacing w:line="420" w:lineRule="exact"/>
              <w:jc w:val="center"/>
              <w:rPr>
                <w:rFonts w:ascii="宋体" w:hAnsi="宋体"/>
                <w:szCs w:val="21"/>
              </w:rPr>
            </w:pPr>
            <w:r>
              <w:rPr>
                <w:rFonts w:ascii="宋体" w:hAnsi="宋体"/>
                <w:szCs w:val="21"/>
              </w:rPr>
              <w:t>2</w:t>
            </w:r>
          </w:p>
        </w:tc>
        <w:tc>
          <w:tcPr>
            <w:tcW w:w="1033" w:type="dxa"/>
            <w:vAlign w:val="center"/>
          </w:tcPr>
          <w:p>
            <w:pPr>
              <w:spacing w:line="420" w:lineRule="exact"/>
              <w:jc w:val="center"/>
              <w:rPr>
                <w:rFonts w:ascii="宋体" w:hAnsi="宋体"/>
                <w:szCs w:val="21"/>
              </w:rPr>
            </w:pPr>
            <w:r>
              <w:rPr>
                <w:rFonts w:ascii="宋体" w:hAnsi="宋体"/>
                <w:szCs w:val="21"/>
              </w:rPr>
              <w:t>3.</w:t>
            </w:r>
            <w:r>
              <w:rPr>
                <w:rFonts w:hint="eastAsia" w:ascii="宋体" w:hAnsi="宋体"/>
                <w:szCs w:val="21"/>
              </w:rPr>
              <w:t>1</w:t>
            </w:r>
          </w:p>
        </w:tc>
        <w:tc>
          <w:tcPr>
            <w:tcW w:w="7461" w:type="dxa"/>
            <w:vAlign w:val="center"/>
          </w:tcPr>
          <w:p>
            <w:pPr>
              <w:spacing w:line="440" w:lineRule="exact"/>
              <w:rPr>
                <w:rFonts w:ascii="宋体" w:hAnsi="宋体"/>
                <w:b/>
                <w:szCs w:val="21"/>
              </w:rPr>
            </w:pPr>
            <w:r>
              <w:rPr>
                <w:rFonts w:hint="eastAsia" w:ascii="宋体" w:hAnsi="宋体"/>
                <w:b/>
                <w:szCs w:val="21"/>
              </w:rPr>
              <w:t xml:space="preserve">基本资格标准：                          </w:t>
            </w:r>
          </w:p>
          <w:p>
            <w:pPr>
              <w:numPr>
                <w:ilvl w:val="0"/>
                <w:numId w:val="2"/>
              </w:numPr>
              <w:spacing w:line="380" w:lineRule="exact"/>
              <w:ind w:firstLine="316" w:firstLineChars="150"/>
              <w:rPr>
                <w:rFonts w:ascii="宋体" w:hAnsi="宋体"/>
                <w:b/>
                <w:szCs w:val="21"/>
              </w:rPr>
            </w:pPr>
            <w:r>
              <w:rPr>
                <w:rFonts w:hint="eastAsia" w:ascii="宋体" w:hAnsi="宋体"/>
                <w:b/>
                <w:szCs w:val="21"/>
              </w:rPr>
              <w:t>凡有能力提供本招标文件所述货物及服务的，具有境内制造商或制造商授权经销商均可能成为合格的投标人。(投标人若为制造商授权经销商的需提供制造商授予地区级或以上授权书)。</w:t>
            </w:r>
          </w:p>
          <w:p>
            <w:pPr>
              <w:numPr>
                <w:ilvl w:val="0"/>
                <w:numId w:val="2"/>
              </w:numPr>
              <w:spacing w:line="380" w:lineRule="exact"/>
              <w:ind w:firstLine="316" w:firstLineChars="150"/>
              <w:rPr>
                <w:rFonts w:ascii="宋体" w:hAnsi="宋体"/>
                <w:b/>
                <w:bCs/>
                <w:szCs w:val="21"/>
              </w:rPr>
            </w:pPr>
            <w:r>
              <w:rPr>
                <w:rFonts w:hint="eastAsia" w:ascii="宋体" w:hAnsi="宋体"/>
                <w:b/>
                <w:szCs w:val="21"/>
              </w:rPr>
              <w:t>需提交以下资格证明文件：</w:t>
            </w:r>
          </w:p>
          <w:p>
            <w:pPr>
              <w:spacing w:line="380" w:lineRule="exact"/>
              <w:ind w:firstLine="422" w:firstLineChars="200"/>
              <w:rPr>
                <w:rFonts w:ascii="宋体" w:hAnsi="宋体"/>
                <w:b/>
                <w:bCs/>
                <w:szCs w:val="21"/>
              </w:rPr>
            </w:pPr>
            <w:r>
              <w:rPr>
                <w:rFonts w:hint="eastAsia" w:ascii="宋体" w:hAnsi="宋体"/>
                <w:b/>
                <w:bCs/>
                <w:szCs w:val="21"/>
              </w:rPr>
              <w:t xml:space="preserve">A、须提供有效的企业法人营业执照、税务登记证复印件或三证合一的营业执照复印件。    </w:t>
            </w:r>
          </w:p>
          <w:p>
            <w:pPr>
              <w:spacing w:line="380" w:lineRule="exact"/>
              <w:ind w:left="425" w:leftChars="196" w:hanging="13" w:hangingChars="6"/>
              <w:outlineLvl w:val="0"/>
              <w:rPr>
                <w:rFonts w:ascii="宋体" w:hAnsi="宋体"/>
                <w:b/>
                <w:bCs/>
                <w:szCs w:val="21"/>
              </w:rPr>
            </w:pPr>
            <w:bookmarkStart w:id="15" w:name="_Toc74326511"/>
            <w:bookmarkStart w:id="16" w:name="_Toc74083204"/>
            <w:r>
              <w:rPr>
                <w:rFonts w:hint="eastAsia" w:ascii="宋体" w:hAnsi="宋体"/>
                <w:b/>
                <w:bCs/>
                <w:szCs w:val="21"/>
              </w:rPr>
              <w:t>B、法定</w:t>
            </w:r>
            <w:r>
              <w:rPr>
                <w:rFonts w:ascii="宋体" w:hAnsi="宋体"/>
                <w:b/>
                <w:bCs/>
                <w:szCs w:val="21"/>
              </w:rPr>
              <w:t>代表</w:t>
            </w:r>
            <w:r>
              <w:rPr>
                <w:rFonts w:hint="eastAsia" w:ascii="宋体" w:hAnsi="宋体"/>
                <w:b/>
                <w:bCs/>
                <w:szCs w:val="21"/>
              </w:rPr>
              <w:t>人（如为单位负责人，则提供单位负责人）</w:t>
            </w:r>
            <w:r>
              <w:rPr>
                <w:rFonts w:ascii="宋体" w:hAnsi="宋体"/>
                <w:b/>
                <w:bCs/>
                <w:szCs w:val="21"/>
              </w:rPr>
              <w:t>身份证</w:t>
            </w:r>
            <w:r>
              <w:rPr>
                <w:rFonts w:hint="eastAsia" w:ascii="宋体" w:hAnsi="宋体"/>
                <w:b/>
                <w:szCs w:val="21"/>
              </w:rPr>
              <w:t>正反面</w:t>
            </w:r>
            <w:r>
              <w:rPr>
                <w:rFonts w:ascii="宋体" w:hAnsi="宋体"/>
                <w:b/>
                <w:bCs/>
                <w:szCs w:val="21"/>
              </w:rPr>
              <w:t>复印件；</w:t>
            </w:r>
            <w:bookmarkEnd w:id="15"/>
            <w:bookmarkEnd w:id="16"/>
          </w:p>
          <w:p>
            <w:pPr>
              <w:spacing w:line="380" w:lineRule="exact"/>
              <w:ind w:firstLine="413" w:firstLineChars="196"/>
              <w:outlineLvl w:val="0"/>
              <w:rPr>
                <w:rFonts w:ascii="宋体" w:hAnsi="宋体"/>
                <w:b/>
                <w:bCs/>
                <w:szCs w:val="21"/>
              </w:rPr>
            </w:pPr>
            <w:bookmarkStart w:id="17" w:name="_Toc74326512"/>
            <w:bookmarkStart w:id="18" w:name="_Toc74083205"/>
            <w:r>
              <w:rPr>
                <w:rFonts w:hint="eastAsia" w:ascii="宋体" w:hAnsi="宋体"/>
                <w:b/>
                <w:bCs/>
                <w:szCs w:val="21"/>
              </w:rPr>
              <w:t>C、投标</w:t>
            </w:r>
            <w:r>
              <w:rPr>
                <w:rFonts w:ascii="宋体" w:hAnsi="宋体"/>
                <w:b/>
                <w:bCs/>
                <w:szCs w:val="21"/>
              </w:rPr>
              <w:t>代表身份证</w:t>
            </w:r>
            <w:r>
              <w:rPr>
                <w:rFonts w:hint="eastAsia" w:ascii="宋体" w:hAnsi="宋体"/>
                <w:b/>
                <w:szCs w:val="21"/>
              </w:rPr>
              <w:t>正反面</w:t>
            </w:r>
            <w:r>
              <w:rPr>
                <w:rFonts w:ascii="宋体" w:hAnsi="宋体"/>
                <w:b/>
                <w:bCs/>
                <w:szCs w:val="21"/>
              </w:rPr>
              <w:t>复印件；</w:t>
            </w:r>
            <w:bookmarkEnd w:id="17"/>
            <w:bookmarkEnd w:id="18"/>
          </w:p>
          <w:p>
            <w:pPr>
              <w:spacing w:line="380" w:lineRule="exact"/>
              <w:ind w:firstLine="413" w:firstLineChars="196"/>
              <w:rPr>
                <w:rFonts w:ascii="宋体" w:hAnsi="宋体"/>
                <w:b/>
                <w:bCs/>
                <w:szCs w:val="21"/>
              </w:rPr>
            </w:pPr>
            <w:r>
              <w:rPr>
                <w:rFonts w:hint="eastAsia" w:ascii="宋体" w:hAnsi="宋体"/>
                <w:b/>
                <w:bCs/>
                <w:szCs w:val="21"/>
              </w:rPr>
              <w:t>D、法定代表人授权书原件(格式详见第六章“投标文件格式”，投标代表是法定代表人（单位负责人），则无需提供。</w:t>
            </w:r>
          </w:p>
          <w:p>
            <w:pPr>
              <w:spacing w:line="380" w:lineRule="exact"/>
              <w:ind w:firstLine="211" w:firstLineChars="100"/>
              <w:rPr>
                <w:rFonts w:ascii="宋体" w:hAnsi="宋体"/>
                <w:b/>
                <w:szCs w:val="21"/>
              </w:rPr>
            </w:pPr>
            <w:r>
              <w:rPr>
                <w:rFonts w:hint="eastAsia" w:ascii="宋体" w:hAnsi="宋体"/>
                <w:b/>
                <w:szCs w:val="21"/>
              </w:rPr>
              <w:t>（2）投标人须提供财务状况报告，依法缴纳税收和社会保障资金的相关材料：</w:t>
            </w:r>
          </w:p>
          <w:p>
            <w:pPr>
              <w:numPr>
                <w:ilvl w:val="0"/>
                <w:numId w:val="3"/>
              </w:numPr>
              <w:spacing w:line="380" w:lineRule="exact"/>
              <w:rPr>
                <w:rFonts w:ascii="宋体" w:hAnsi="宋体"/>
                <w:b/>
                <w:szCs w:val="21"/>
              </w:rPr>
            </w:pPr>
            <w:r>
              <w:rPr>
                <w:rFonts w:hint="eastAsia" w:ascii="宋体" w:hAnsi="宋体"/>
                <w:b/>
                <w:szCs w:val="21"/>
              </w:rPr>
              <w:t>财务状况报告：投标人须提供财务报告（经审计的上一年度）或财务报表或资信证明</w:t>
            </w:r>
            <w:r>
              <w:rPr>
                <w:rFonts w:ascii="宋体" w:hAnsi="宋体"/>
                <w:b/>
                <w:szCs w:val="21"/>
              </w:rPr>
              <w:t>或者专业担保机构出具的投标担保函</w:t>
            </w:r>
            <w:r>
              <w:rPr>
                <w:rFonts w:hint="eastAsia" w:ascii="宋体" w:hAnsi="宋体"/>
                <w:b/>
                <w:szCs w:val="21"/>
              </w:rPr>
              <w:t>。提供资信证明的还应附上其开户许可证（基本存款账户）复印件。</w:t>
            </w:r>
          </w:p>
          <w:p>
            <w:pPr>
              <w:numPr>
                <w:ilvl w:val="0"/>
                <w:numId w:val="4"/>
              </w:numPr>
              <w:spacing w:line="380" w:lineRule="exact"/>
              <w:ind w:left="1018" w:leftChars="273" w:hanging="445" w:hangingChars="211"/>
              <w:rPr>
                <w:rFonts w:ascii="宋体" w:hAnsi="宋体"/>
                <w:b/>
                <w:szCs w:val="21"/>
              </w:rPr>
            </w:pPr>
            <w:r>
              <w:rPr>
                <w:rFonts w:hint="eastAsia" w:ascii="宋体" w:hAnsi="宋体"/>
                <w:b/>
                <w:szCs w:val="21"/>
              </w:rPr>
              <w:t>提供投标截止时间前六个月（不含投标截止时间的当月）中任意一个月依法缴纳税收的证明材料。</w:t>
            </w:r>
          </w:p>
          <w:p>
            <w:pPr>
              <w:numPr>
                <w:ilvl w:val="0"/>
                <w:numId w:val="4"/>
              </w:numPr>
              <w:spacing w:line="380" w:lineRule="exact"/>
              <w:ind w:left="1018" w:leftChars="273" w:hanging="445" w:hangingChars="211"/>
              <w:rPr>
                <w:rFonts w:ascii="宋体" w:hAnsi="宋体"/>
                <w:b/>
                <w:szCs w:val="21"/>
              </w:rPr>
            </w:pPr>
            <w:r>
              <w:rPr>
                <w:rFonts w:hint="eastAsia" w:ascii="宋体" w:hAnsi="宋体"/>
                <w:b/>
                <w:szCs w:val="21"/>
              </w:rPr>
              <w:t>提供投标截止时间前六个月（不含投标截止时间的当月）中任意一个月社会保障资金的相关材料:缴交社保的证明材料。</w:t>
            </w:r>
          </w:p>
          <w:p>
            <w:pPr>
              <w:spacing w:after="120" w:afterLines="50" w:line="380" w:lineRule="exact"/>
              <w:ind w:firstLine="413" w:firstLineChars="196"/>
              <w:rPr>
                <w:rFonts w:ascii="宋体" w:hAnsi="宋体"/>
                <w:b/>
                <w:szCs w:val="21"/>
              </w:rPr>
            </w:pPr>
            <w:r>
              <w:rPr>
                <w:rFonts w:hint="eastAsia" w:ascii="宋体" w:hAnsi="宋体"/>
                <w:b/>
                <w:szCs w:val="21"/>
              </w:rPr>
              <w:t>（注：投标人若为依法免税或不需要缴纳社会保障资金的供应商，应提供相应文件证明其依法免税或不需要缴纳社会保障资金的证明材料。）</w:t>
            </w:r>
          </w:p>
          <w:p>
            <w:pPr>
              <w:spacing w:line="380" w:lineRule="exact"/>
              <w:ind w:firstLine="316" w:firstLineChars="150"/>
              <w:rPr>
                <w:rFonts w:ascii="宋体" w:hAnsi="宋体"/>
                <w:b/>
                <w:szCs w:val="21"/>
              </w:rPr>
            </w:pPr>
            <w:r>
              <w:rPr>
                <w:rFonts w:hint="eastAsia" w:ascii="宋体" w:hAnsi="宋体"/>
                <w:b/>
                <w:szCs w:val="21"/>
              </w:rPr>
              <w:t>（3）投标人须提供参加招标活动前3年内在经营活动中没有重大违法记录的书面声明（格式自拟）。</w:t>
            </w:r>
          </w:p>
          <w:p>
            <w:pPr>
              <w:spacing w:line="380" w:lineRule="exact"/>
              <w:ind w:firstLine="316" w:firstLineChars="150"/>
              <w:rPr>
                <w:rFonts w:ascii="宋体" w:hAnsi="宋体"/>
                <w:b/>
                <w:szCs w:val="21"/>
              </w:rPr>
            </w:pPr>
            <w:r>
              <w:rPr>
                <w:rFonts w:hint="eastAsia" w:ascii="宋体" w:hAnsi="宋体"/>
                <w:b/>
                <w:szCs w:val="21"/>
              </w:rPr>
              <w:t>（4）投标人须提供具备履行本项目所必需的设备及专业技术能力的证明材料声明函。</w:t>
            </w:r>
          </w:p>
          <w:p>
            <w:pPr>
              <w:tabs>
                <w:tab w:val="left" w:pos="1260"/>
              </w:tabs>
              <w:spacing w:line="380" w:lineRule="exact"/>
              <w:ind w:firstLine="422" w:firstLineChars="200"/>
              <w:rPr>
                <w:rFonts w:ascii="宋体" w:hAnsi="宋体"/>
                <w:b/>
                <w:szCs w:val="21"/>
              </w:rPr>
            </w:pPr>
            <w:r>
              <w:rPr>
                <w:rFonts w:hint="eastAsia" w:ascii="宋体" w:hAnsi="宋体"/>
                <w:b/>
                <w:szCs w:val="21"/>
              </w:rPr>
              <w:t>(5) 投标人须提供近三年无行贿犯罪记录声明函（格式自拟）。</w:t>
            </w:r>
          </w:p>
          <w:p>
            <w:pPr>
              <w:spacing w:line="380" w:lineRule="exact"/>
              <w:ind w:firstLine="316" w:firstLineChars="150"/>
              <w:rPr>
                <w:rFonts w:ascii="宋体" w:hAnsi="宋体"/>
                <w:b/>
                <w:szCs w:val="21"/>
              </w:rPr>
            </w:pPr>
            <w:r>
              <w:rPr>
                <w:rFonts w:hint="eastAsia" w:ascii="宋体" w:hAnsi="宋体"/>
                <w:b/>
                <w:szCs w:val="21"/>
              </w:rPr>
              <w:t>（6）投标人可在招标文件要求的截止时点前分别通过“信用中国”网站（www.creditchina.gov.cn）、中国政府采购网（www.ccgp.gov.cn）查询并打印相应的信用记录，投标人提供的查询结果为其通过上述网站获取的信用信息查询结果原始页面的打印件（或截图）。以招标代理机构在开标结束后两小时内现场分别通过“信用中国”网站（www.creditchina.gov.cn）、中国政府采购网（www.ccgp.gov.cn）查询其上述信用记录为准。查询结果存在投标人在经营活动中有重大违法记录等应被拒绝参与招投标活动相关信息的，其资格审查不合格，以无效标处理。</w:t>
            </w:r>
          </w:p>
          <w:p>
            <w:pPr>
              <w:spacing w:before="120" w:beforeLines="50" w:line="380" w:lineRule="exact"/>
              <w:ind w:firstLine="422" w:firstLineChars="200"/>
              <w:rPr>
                <w:rFonts w:ascii="宋体" w:hAnsi="宋体"/>
                <w:b/>
                <w:szCs w:val="21"/>
              </w:rPr>
            </w:pPr>
            <w:r>
              <w:rPr>
                <w:rFonts w:hint="eastAsia" w:ascii="宋体" w:hAnsi="宋体"/>
                <w:b/>
                <w:szCs w:val="21"/>
              </w:rPr>
              <w:t>(7)本项目不允许联合体投标。</w:t>
            </w:r>
          </w:p>
          <w:p>
            <w:pPr>
              <w:spacing w:line="420" w:lineRule="exact"/>
              <w:rPr>
                <w:rFonts w:ascii="宋体" w:hAnsi="宋体" w:cs="宋体"/>
                <w:b/>
                <w:kern w:val="0"/>
                <w:szCs w:val="21"/>
              </w:rPr>
            </w:pPr>
            <w:r>
              <w:rPr>
                <w:rFonts w:hint="eastAsia" w:ascii="宋体" w:hAnsi="宋体" w:cs="宋体"/>
                <w:b/>
                <w:kern w:val="0"/>
                <w:szCs w:val="21"/>
              </w:rPr>
              <w:t>注：投标人提交以上文件或证明的所有文件应是最新（有效）、清晰、加盖持有者的公章或签名，原件备查。未提供以上文件的投标将被视为无效投标。</w:t>
            </w:r>
          </w:p>
          <w:p>
            <w:pPr>
              <w:pStyle w:val="9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6" w:type="dxa"/>
            <w:vAlign w:val="center"/>
          </w:tcPr>
          <w:p>
            <w:pPr>
              <w:spacing w:line="420" w:lineRule="exact"/>
              <w:jc w:val="center"/>
              <w:rPr>
                <w:rFonts w:ascii="宋体" w:hAnsi="宋体"/>
                <w:szCs w:val="21"/>
              </w:rPr>
            </w:pPr>
            <w:r>
              <w:rPr>
                <w:rFonts w:ascii="宋体" w:hAnsi="宋体"/>
                <w:szCs w:val="21"/>
              </w:rPr>
              <w:t>3</w:t>
            </w:r>
          </w:p>
        </w:tc>
        <w:tc>
          <w:tcPr>
            <w:tcW w:w="1033" w:type="dxa"/>
            <w:vAlign w:val="center"/>
          </w:tcPr>
          <w:p>
            <w:pPr>
              <w:spacing w:line="420" w:lineRule="exact"/>
              <w:jc w:val="center"/>
              <w:rPr>
                <w:rFonts w:ascii="宋体" w:hAnsi="宋体"/>
                <w:szCs w:val="21"/>
              </w:rPr>
            </w:pPr>
            <w:r>
              <w:rPr>
                <w:rFonts w:hint="eastAsia" w:ascii="宋体" w:hAnsi="宋体"/>
                <w:szCs w:val="21"/>
              </w:rPr>
              <w:t>11.1</w:t>
            </w:r>
          </w:p>
        </w:tc>
        <w:tc>
          <w:tcPr>
            <w:tcW w:w="7461" w:type="dxa"/>
            <w:vAlign w:val="center"/>
          </w:tcPr>
          <w:p>
            <w:pPr>
              <w:spacing w:line="440" w:lineRule="exact"/>
              <w:rPr>
                <w:rFonts w:ascii="宋体" w:hAnsi="宋体"/>
                <w:szCs w:val="21"/>
              </w:rPr>
            </w:pPr>
            <w:r>
              <w:rPr>
                <w:rFonts w:hint="eastAsia" w:ascii="宋体" w:hAnsi="宋体"/>
                <w:szCs w:val="21"/>
              </w:rPr>
              <w:t>投标有效期：投标截止期结束后</w:t>
            </w:r>
            <w:r>
              <w:rPr>
                <w:rFonts w:hint="eastAsia" w:ascii="宋体" w:hAnsi="宋体"/>
                <w:szCs w:val="21"/>
                <w:u w:val="single"/>
              </w:rPr>
              <w:t>90</w:t>
            </w:r>
            <w:r>
              <w:rPr>
                <w:rFonts w:ascii="宋体" w:hAnsi="宋体"/>
                <w:szCs w:val="21"/>
                <w:u w:val="single"/>
              </w:rPr>
              <w:t xml:space="preserve"> </w:t>
            </w:r>
            <w:r>
              <w:rPr>
                <w:rFonts w:hint="eastAsia" w:ascii="宋体" w:hAnsi="宋体"/>
                <w:szCs w:val="21"/>
              </w:rPr>
              <w:t>日历日。</w:t>
            </w:r>
          </w:p>
          <w:p>
            <w:pPr>
              <w:spacing w:line="440" w:lineRule="exact"/>
              <w:rPr>
                <w:rFonts w:ascii="宋体" w:hAnsi="宋体"/>
                <w:szCs w:val="21"/>
              </w:rPr>
            </w:pPr>
            <w:r>
              <w:rPr>
                <w:rFonts w:hint="eastAsia" w:ascii="宋体" w:hAnsi="宋体"/>
                <w:szCs w:val="21"/>
              </w:rPr>
              <w:t>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36" w:type="dxa"/>
            <w:vAlign w:val="center"/>
          </w:tcPr>
          <w:p>
            <w:pPr>
              <w:spacing w:line="420" w:lineRule="exact"/>
              <w:jc w:val="center"/>
              <w:rPr>
                <w:rFonts w:ascii="宋体" w:hAnsi="宋体"/>
                <w:szCs w:val="21"/>
              </w:rPr>
            </w:pPr>
            <w:r>
              <w:rPr>
                <w:rFonts w:ascii="宋体" w:hAnsi="宋体"/>
                <w:szCs w:val="21"/>
              </w:rPr>
              <w:t>4</w:t>
            </w:r>
          </w:p>
        </w:tc>
        <w:tc>
          <w:tcPr>
            <w:tcW w:w="1033" w:type="dxa"/>
            <w:vAlign w:val="center"/>
          </w:tcPr>
          <w:p>
            <w:pPr>
              <w:spacing w:line="420" w:lineRule="exact"/>
              <w:jc w:val="center"/>
              <w:rPr>
                <w:rFonts w:ascii="宋体" w:hAnsi="宋体"/>
                <w:szCs w:val="21"/>
              </w:rPr>
            </w:pPr>
          </w:p>
        </w:tc>
        <w:tc>
          <w:tcPr>
            <w:tcW w:w="7461" w:type="dxa"/>
            <w:vAlign w:val="center"/>
          </w:tcPr>
          <w:p>
            <w:pPr>
              <w:spacing w:line="460" w:lineRule="exact"/>
              <w:rPr>
                <w:rFonts w:ascii="宋体" w:hAnsi="宋体"/>
                <w:b/>
                <w:spacing w:val="-18"/>
                <w:szCs w:val="21"/>
                <w:u w:val="single"/>
                <w:shd w:val="pct10" w:color="auto" w:fill="FFFFFF"/>
              </w:rPr>
            </w:pPr>
            <w:r>
              <w:rPr>
                <w:rFonts w:hint="eastAsia" w:ascii="宋体" w:hAnsi="宋体"/>
                <w:szCs w:val="21"/>
              </w:rPr>
              <w:t>投标文件递交地址：福州市鼓楼区工业路526号华润万象城一期S2#4层开标间</w:t>
            </w:r>
          </w:p>
          <w:p>
            <w:pPr>
              <w:spacing w:line="460" w:lineRule="exact"/>
              <w:rPr>
                <w:rFonts w:ascii="宋体" w:hAnsi="宋体"/>
                <w:szCs w:val="21"/>
              </w:rPr>
            </w:pPr>
            <w:r>
              <w:rPr>
                <w:rFonts w:hint="eastAsia" w:ascii="宋体" w:hAnsi="宋体"/>
                <w:szCs w:val="21"/>
              </w:rPr>
              <w:t>接收人：</w:t>
            </w:r>
            <w:r>
              <w:rPr>
                <w:rFonts w:hint="eastAsia" w:ascii="宋体" w:hAnsi="宋体"/>
                <w:szCs w:val="21"/>
                <w:u w:val="single"/>
              </w:rPr>
              <w:t>福建优胜招标项目管理集团有限公司</w:t>
            </w:r>
          </w:p>
          <w:p>
            <w:pPr>
              <w:spacing w:line="460" w:lineRule="exact"/>
              <w:rPr>
                <w:rFonts w:ascii="宋体" w:hAnsi="宋体"/>
                <w:szCs w:val="21"/>
              </w:rPr>
            </w:pPr>
            <w:r>
              <w:rPr>
                <w:rFonts w:hint="eastAsia" w:ascii="宋体" w:hAnsi="宋体"/>
                <w:szCs w:val="21"/>
              </w:rPr>
              <w:t>投标截止时间：</w:t>
            </w:r>
            <w:r>
              <w:rPr>
                <w:rFonts w:hint="eastAsia" w:ascii="宋体" w:hAnsi="宋体"/>
                <w:b/>
                <w:bCs/>
                <w:shd w:val="pct10" w:color="auto" w:fill="FFFFFF"/>
              </w:rPr>
              <w:t>2021年   月   日下午14:30:00</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36" w:type="dxa"/>
            <w:vAlign w:val="center"/>
          </w:tcPr>
          <w:p>
            <w:pPr>
              <w:spacing w:line="420" w:lineRule="exact"/>
              <w:ind w:right="-42"/>
              <w:jc w:val="center"/>
              <w:rPr>
                <w:rFonts w:ascii="宋体" w:hAnsi="宋体"/>
                <w:szCs w:val="21"/>
              </w:rPr>
            </w:pPr>
            <w:r>
              <w:rPr>
                <w:rFonts w:hint="eastAsia" w:ascii="宋体" w:hAnsi="宋体"/>
                <w:szCs w:val="21"/>
              </w:rPr>
              <w:t>5</w:t>
            </w:r>
          </w:p>
        </w:tc>
        <w:tc>
          <w:tcPr>
            <w:tcW w:w="1033" w:type="dxa"/>
            <w:vAlign w:val="center"/>
          </w:tcPr>
          <w:p>
            <w:pPr>
              <w:spacing w:line="420" w:lineRule="exact"/>
              <w:jc w:val="center"/>
              <w:rPr>
                <w:rFonts w:ascii="宋体" w:hAnsi="宋体"/>
                <w:szCs w:val="21"/>
              </w:rPr>
            </w:pPr>
            <w:r>
              <w:rPr>
                <w:rFonts w:hint="eastAsia" w:ascii="宋体" w:hAnsi="宋体"/>
                <w:szCs w:val="21"/>
              </w:rPr>
              <w:t>12</w:t>
            </w:r>
          </w:p>
        </w:tc>
        <w:tc>
          <w:tcPr>
            <w:tcW w:w="7461" w:type="dxa"/>
            <w:vAlign w:val="center"/>
          </w:tcPr>
          <w:p>
            <w:pPr>
              <w:spacing w:line="460" w:lineRule="exact"/>
              <w:rPr>
                <w:rFonts w:ascii="宋体" w:hAnsi="宋体"/>
                <w:szCs w:val="21"/>
              </w:rPr>
            </w:pPr>
            <w:r>
              <w:rPr>
                <w:rFonts w:hint="eastAsia" w:ascii="宋体" w:hAnsi="宋体"/>
                <w:szCs w:val="21"/>
              </w:rPr>
              <w:t>投标保证金：</w:t>
            </w:r>
            <w:r>
              <w:rPr>
                <w:rFonts w:hint="eastAsia" w:ascii="宋体" w:hAnsi="宋体"/>
                <w:b/>
                <w:szCs w:val="21"/>
                <w:shd w:val="pct10" w:color="auto" w:fill="FFFFFF"/>
              </w:rPr>
              <w:t>详见招标货物一览表</w:t>
            </w:r>
            <w:r>
              <w:rPr>
                <w:rFonts w:hint="eastAsia" w:ascii="宋体" w:hAnsi="宋体"/>
                <w:szCs w:val="21"/>
              </w:rPr>
              <w:t>。投标保证金须以投标单位名义按转账或电汇形式提交（不接受现金、个人网上银行），在</w:t>
            </w:r>
            <w:r>
              <w:rPr>
                <w:rFonts w:hint="eastAsia" w:ascii="宋体" w:hAnsi="宋体"/>
                <w:b/>
                <w:bCs/>
                <w:shd w:val="pct10" w:color="auto" w:fill="FFFFFF"/>
              </w:rPr>
              <w:t>2021年   月   日下午14:30:00</w:t>
            </w:r>
            <w:r>
              <w:rPr>
                <w:rFonts w:hint="eastAsia" w:ascii="宋体" w:hAnsi="宋体"/>
                <w:szCs w:val="21"/>
              </w:rPr>
              <w:t>前（北京时间），向福建优胜招标项目管理集团有限公司缴交要求的投标保证金并到帐（是否到达指定的存款</w:t>
            </w:r>
            <w:bookmarkStart w:id="171" w:name="_GoBack"/>
            <w:bookmarkEnd w:id="171"/>
            <w:r>
              <w:rPr>
                <w:rFonts w:hint="eastAsia" w:ascii="宋体" w:hAnsi="宋体"/>
                <w:szCs w:val="21"/>
                <w:lang w:eastAsia="zh-CN"/>
              </w:rPr>
              <w:t>账户</w:t>
            </w:r>
            <w:r>
              <w:rPr>
                <w:rFonts w:hint="eastAsia" w:ascii="宋体" w:hAnsi="宋体"/>
                <w:szCs w:val="21"/>
              </w:rPr>
              <w:t>，以公开招标文件中确定的福建优胜招标项目管理集团有限公司开户行对帐单为准），投标人在缴纳保证金时须在汇款用途或摘要栏上注明所投项目的招标编号及包号。</w:t>
            </w:r>
            <w:r>
              <w:rPr>
                <w:rFonts w:hint="eastAsia" w:ascii="宋体" w:hAnsi="宋体"/>
                <w:b/>
                <w:szCs w:val="21"/>
              </w:rPr>
              <w:t>投标保证金未按规定时间及金额到达指定账户或未按规定缴纳形式提交的投标文件将被拒绝。</w:t>
            </w:r>
          </w:p>
          <w:p>
            <w:pPr>
              <w:spacing w:line="460" w:lineRule="exact"/>
              <w:rPr>
                <w:rFonts w:ascii="宋体" w:hAnsi="宋体"/>
                <w:szCs w:val="21"/>
              </w:rPr>
            </w:pPr>
            <w:r>
              <w:rPr>
                <w:rFonts w:hint="eastAsia" w:ascii="宋体" w:hAnsi="宋体"/>
                <w:szCs w:val="21"/>
              </w:rPr>
              <w:t>投标保证金退款手续说明见12.6。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36" w:type="dxa"/>
            <w:vAlign w:val="center"/>
          </w:tcPr>
          <w:p>
            <w:pPr>
              <w:spacing w:line="420" w:lineRule="exact"/>
              <w:ind w:right="-42"/>
              <w:jc w:val="center"/>
              <w:rPr>
                <w:rFonts w:ascii="宋体" w:hAnsi="宋体"/>
                <w:szCs w:val="21"/>
              </w:rPr>
            </w:pPr>
            <w:r>
              <w:rPr>
                <w:rFonts w:hint="eastAsia" w:ascii="宋体" w:hAnsi="宋体"/>
                <w:szCs w:val="21"/>
              </w:rPr>
              <w:t>6</w:t>
            </w:r>
          </w:p>
        </w:tc>
        <w:tc>
          <w:tcPr>
            <w:tcW w:w="1033" w:type="dxa"/>
            <w:vAlign w:val="center"/>
          </w:tcPr>
          <w:p>
            <w:pPr>
              <w:spacing w:line="420" w:lineRule="exact"/>
              <w:jc w:val="center"/>
              <w:rPr>
                <w:rFonts w:ascii="宋体" w:hAnsi="宋体"/>
                <w:szCs w:val="21"/>
              </w:rPr>
            </w:pPr>
            <w:r>
              <w:rPr>
                <w:rFonts w:hint="eastAsia" w:ascii="宋体" w:hAnsi="宋体"/>
                <w:szCs w:val="21"/>
              </w:rPr>
              <w:t>13.3</w:t>
            </w:r>
          </w:p>
        </w:tc>
        <w:tc>
          <w:tcPr>
            <w:tcW w:w="7461" w:type="dxa"/>
            <w:vAlign w:val="center"/>
          </w:tcPr>
          <w:p>
            <w:pPr>
              <w:spacing w:line="400" w:lineRule="exact"/>
              <w:rPr>
                <w:rFonts w:ascii="宋体" w:hAnsi="宋体"/>
                <w:b/>
                <w:szCs w:val="21"/>
                <w:shd w:val="pct10" w:color="auto" w:fill="FFFFFF"/>
              </w:rPr>
            </w:pPr>
            <w:r>
              <w:rPr>
                <w:rFonts w:hint="eastAsia" w:ascii="宋体" w:hAnsi="宋体"/>
                <w:b/>
                <w:szCs w:val="21"/>
                <w:shd w:val="pct10" w:color="auto" w:fill="FFFFFF"/>
              </w:rPr>
              <w:t>投标文件的编制：</w:t>
            </w:r>
          </w:p>
          <w:p>
            <w:pPr>
              <w:spacing w:line="400" w:lineRule="exact"/>
              <w:rPr>
                <w:rFonts w:ascii="宋体" w:hAnsi="宋体"/>
                <w:b/>
                <w:szCs w:val="21"/>
                <w:shd w:val="pct10" w:color="auto" w:fill="FFFFFF"/>
              </w:rPr>
            </w:pPr>
            <w:r>
              <w:rPr>
                <w:rFonts w:hint="eastAsia" w:ascii="宋体" w:hAnsi="宋体"/>
                <w:b/>
                <w:szCs w:val="21"/>
                <w:shd w:val="pct10" w:color="auto" w:fill="FFFFFF"/>
              </w:rPr>
              <w:t>投标人须编制由投标须知中投标文件的编写第10条规定文件组成的投标文件，包括技术商务部分和报价部分。投标人必须将技术商务部分和报价部分单独装订，分册密封投标，并在投标文件封面和密封袋上分别标明“投标文件技术商务部分”和“投标文件报价部分”，否则为无效投标。</w:t>
            </w:r>
          </w:p>
          <w:p>
            <w:pPr>
              <w:spacing w:line="400" w:lineRule="exact"/>
              <w:rPr>
                <w:rFonts w:ascii="宋体" w:hAnsi="宋体"/>
                <w:b/>
                <w:szCs w:val="21"/>
                <w:shd w:val="pct10" w:color="auto" w:fill="FFFFFF"/>
              </w:rPr>
            </w:pPr>
            <w:r>
              <w:rPr>
                <w:rFonts w:hint="eastAsia" w:ascii="宋体" w:hAnsi="宋体"/>
                <w:b/>
                <w:szCs w:val="21"/>
                <w:shd w:val="pct10" w:color="auto" w:fill="FFFFFF"/>
              </w:rPr>
              <w:t>投标文件正本一份、副本五份。投标文件都必须用A4幅面纸张打印，应编制封面、目录、页码，必须用胶装（为永久性、无破坏不可拆分）装订成册，加盖骑缝章或逐页盖章，封面须加盖公章，在封面标明“正本”、“副本”字样。副本可用正本的复印件，正本与副本如有不一致，则以正本为准。</w:t>
            </w:r>
          </w:p>
          <w:p>
            <w:pPr>
              <w:spacing w:line="420" w:lineRule="exact"/>
              <w:rPr>
                <w:rFonts w:ascii="宋体" w:hAnsi="宋体"/>
                <w:b/>
                <w:szCs w:val="21"/>
                <w:shd w:val="pct10" w:color="auto" w:fill="FFFFFF"/>
              </w:rPr>
            </w:pPr>
            <w:r>
              <w:rPr>
                <w:rFonts w:hint="eastAsia" w:ascii="宋体" w:hAnsi="宋体"/>
                <w:b/>
                <w:szCs w:val="21"/>
                <w:shd w:val="pct10" w:color="auto" w:fill="FFFFFF"/>
              </w:rPr>
              <w:t>未按此规定编制的，将被视为未实质性响应招标文件要求，其投标文件无效。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36" w:type="dxa"/>
            <w:vAlign w:val="center"/>
          </w:tcPr>
          <w:p>
            <w:pPr>
              <w:spacing w:line="420" w:lineRule="exact"/>
              <w:ind w:right="-42"/>
              <w:jc w:val="center"/>
              <w:rPr>
                <w:rFonts w:ascii="宋体" w:hAnsi="宋体"/>
                <w:szCs w:val="21"/>
              </w:rPr>
            </w:pPr>
            <w:r>
              <w:rPr>
                <w:rFonts w:hint="eastAsia" w:ascii="宋体" w:hAnsi="宋体"/>
                <w:szCs w:val="21"/>
              </w:rPr>
              <w:t>7</w:t>
            </w:r>
          </w:p>
        </w:tc>
        <w:tc>
          <w:tcPr>
            <w:tcW w:w="1033" w:type="dxa"/>
            <w:vAlign w:val="center"/>
          </w:tcPr>
          <w:p>
            <w:pPr>
              <w:spacing w:line="420" w:lineRule="exact"/>
              <w:jc w:val="center"/>
              <w:rPr>
                <w:rFonts w:ascii="宋体" w:hAnsi="宋体"/>
                <w:szCs w:val="21"/>
              </w:rPr>
            </w:pPr>
            <w:r>
              <w:rPr>
                <w:rFonts w:hint="eastAsia" w:ascii="宋体" w:hAnsi="宋体"/>
                <w:szCs w:val="21"/>
              </w:rPr>
              <w:t>19.1</w:t>
            </w:r>
          </w:p>
        </w:tc>
        <w:tc>
          <w:tcPr>
            <w:tcW w:w="7461" w:type="dxa"/>
            <w:vAlign w:val="center"/>
          </w:tcPr>
          <w:p>
            <w:pPr>
              <w:spacing w:line="460" w:lineRule="exact"/>
              <w:rPr>
                <w:rFonts w:ascii="宋体" w:hAnsi="宋体"/>
                <w:b/>
                <w:szCs w:val="21"/>
              </w:rPr>
            </w:pPr>
            <w:r>
              <w:rPr>
                <w:rFonts w:hint="eastAsia" w:ascii="宋体" w:hAnsi="宋体"/>
                <w:b/>
                <w:szCs w:val="21"/>
              </w:rPr>
              <w:t>评标标准和方法：具体详见本招标文件第四章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36" w:type="dxa"/>
            <w:vAlign w:val="center"/>
          </w:tcPr>
          <w:p>
            <w:pPr>
              <w:spacing w:line="420" w:lineRule="exact"/>
              <w:ind w:right="-42"/>
              <w:jc w:val="center"/>
              <w:rPr>
                <w:rFonts w:ascii="宋体" w:hAnsi="宋体"/>
                <w:szCs w:val="21"/>
              </w:rPr>
            </w:pPr>
            <w:r>
              <w:rPr>
                <w:rFonts w:hint="eastAsia" w:ascii="宋体" w:hAnsi="宋体"/>
                <w:szCs w:val="21"/>
              </w:rPr>
              <w:t>8</w:t>
            </w:r>
          </w:p>
        </w:tc>
        <w:tc>
          <w:tcPr>
            <w:tcW w:w="1033" w:type="dxa"/>
            <w:vAlign w:val="center"/>
          </w:tcPr>
          <w:p>
            <w:pPr>
              <w:spacing w:line="420" w:lineRule="exact"/>
              <w:jc w:val="center"/>
              <w:rPr>
                <w:rFonts w:ascii="宋体" w:hAnsi="宋体"/>
                <w:szCs w:val="21"/>
              </w:rPr>
            </w:pPr>
          </w:p>
        </w:tc>
        <w:tc>
          <w:tcPr>
            <w:tcW w:w="7461" w:type="dxa"/>
            <w:vAlign w:val="center"/>
          </w:tcPr>
          <w:p>
            <w:pPr>
              <w:spacing w:line="460" w:lineRule="exact"/>
              <w:rPr>
                <w:rFonts w:ascii="宋体" w:hAnsi="宋体"/>
                <w:b/>
                <w:szCs w:val="21"/>
              </w:rPr>
            </w:pPr>
            <w:r>
              <w:rPr>
                <w:rFonts w:hint="eastAsia" w:ascii="宋体" w:hAnsi="宋体"/>
                <w:b/>
                <w:szCs w:val="21"/>
              </w:rPr>
              <w:t xml:space="preserve">废标条款：  </w:t>
            </w:r>
          </w:p>
          <w:p>
            <w:pPr>
              <w:numPr>
                <w:ilvl w:val="0"/>
                <w:numId w:val="5"/>
              </w:numPr>
              <w:spacing w:line="480" w:lineRule="exact"/>
              <w:rPr>
                <w:rFonts w:ascii="宋体" w:hAnsi="宋体"/>
                <w:szCs w:val="21"/>
              </w:rPr>
            </w:pPr>
            <w:r>
              <w:rPr>
                <w:rFonts w:hint="eastAsia" w:ascii="宋体" w:hAnsi="宋体"/>
                <w:szCs w:val="21"/>
              </w:rPr>
              <w:t>未符合公开招标文件规定资格标准及第二章投标人须知中合格的投标人的要求的；</w:t>
            </w:r>
          </w:p>
          <w:p>
            <w:pPr>
              <w:numPr>
                <w:ilvl w:val="0"/>
                <w:numId w:val="5"/>
              </w:numPr>
              <w:adjustRightInd w:val="0"/>
              <w:snapToGrid w:val="0"/>
              <w:spacing w:line="480" w:lineRule="exact"/>
              <w:ind w:left="720" w:hanging="720"/>
              <w:rPr>
                <w:rFonts w:ascii="宋体" w:hAnsi="宋体"/>
                <w:szCs w:val="21"/>
              </w:rPr>
            </w:pPr>
            <w:r>
              <w:rPr>
                <w:rFonts w:hint="eastAsia" w:ascii="宋体" w:hAnsi="宋体"/>
                <w:szCs w:val="21"/>
              </w:rPr>
              <w:t>投标人存在</w:t>
            </w:r>
            <w:r>
              <w:rPr>
                <w:rFonts w:ascii="宋体" w:hAnsi="宋体"/>
                <w:szCs w:val="21"/>
              </w:rPr>
              <w:t>串通投标行为</w:t>
            </w:r>
            <w:r>
              <w:rPr>
                <w:rFonts w:hint="eastAsia" w:ascii="宋体" w:hAnsi="宋体"/>
                <w:szCs w:val="21"/>
              </w:rPr>
              <w:t>的（本章第19.4项）；</w:t>
            </w:r>
          </w:p>
          <w:p>
            <w:pPr>
              <w:numPr>
                <w:ilvl w:val="0"/>
                <w:numId w:val="5"/>
              </w:numPr>
              <w:adjustRightInd w:val="0"/>
              <w:snapToGrid w:val="0"/>
              <w:spacing w:line="480" w:lineRule="exact"/>
              <w:ind w:left="364" w:hanging="364"/>
              <w:rPr>
                <w:rFonts w:ascii="宋体" w:hAnsi="宋体"/>
                <w:szCs w:val="21"/>
              </w:rPr>
            </w:pPr>
            <w:r>
              <w:rPr>
                <w:rFonts w:hint="eastAsia" w:ascii="宋体" w:hAnsi="宋体"/>
                <w:szCs w:val="21"/>
              </w:rPr>
              <w:t>投标人资格性和符合性审查不合格的（本章第17.3项）；</w:t>
            </w:r>
          </w:p>
          <w:p>
            <w:pPr>
              <w:numPr>
                <w:ilvl w:val="0"/>
                <w:numId w:val="5"/>
              </w:numPr>
              <w:adjustRightInd w:val="0"/>
              <w:snapToGrid w:val="0"/>
              <w:spacing w:line="480" w:lineRule="exact"/>
              <w:ind w:left="121" w:hanging="121"/>
              <w:rPr>
                <w:rFonts w:ascii="宋体" w:hAnsi="宋体"/>
                <w:szCs w:val="21"/>
              </w:rPr>
            </w:pPr>
            <w:r>
              <w:rPr>
                <w:rFonts w:hint="eastAsia" w:ascii="宋体" w:hAnsi="宋体"/>
                <w:szCs w:val="21"/>
              </w:rPr>
              <w:t>投标人投标文件中所有资格证明文件未加盖公章，并未注明与原件一致。</w:t>
            </w:r>
          </w:p>
          <w:p>
            <w:pPr>
              <w:adjustRightInd w:val="0"/>
              <w:snapToGrid w:val="0"/>
              <w:spacing w:line="480" w:lineRule="exact"/>
              <w:rPr>
                <w:rFonts w:ascii="宋体" w:hAnsi="宋体"/>
                <w:b/>
                <w:szCs w:val="21"/>
                <w:shd w:val="pct10" w:color="auto" w:fill="FFFFFF"/>
              </w:rPr>
            </w:pPr>
            <w:r>
              <w:rPr>
                <w:rFonts w:hint="eastAsia" w:ascii="宋体" w:hAnsi="宋体"/>
                <w:szCs w:val="21"/>
              </w:rPr>
              <w:t>（5）</w:t>
            </w:r>
            <w:r>
              <w:rPr>
                <w:rFonts w:hint="eastAsia" w:ascii="宋体" w:hAnsi="宋体"/>
                <w:b/>
                <w:szCs w:val="21"/>
                <w:shd w:val="pct10" w:color="auto" w:fill="FFFFFF"/>
              </w:rPr>
              <w:t>投标人被列入失信被执行人、重大税收违法案件当事人名单。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36" w:type="dxa"/>
            <w:vAlign w:val="center"/>
          </w:tcPr>
          <w:p>
            <w:pPr>
              <w:spacing w:line="420" w:lineRule="exact"/>
              <w:ind w:right="-42"/>
              <w:jc w:val="center"/>
              <w:rPr>
                <w:rFonts w:ascii="宋体" w:hAnsi="宋体"/>
                <w:szCs w:val="21"/>
              </w:rPr>
            </w:pPr>
            <w:r>
              <w:rPr>
                <w:rFonts w:hint="eastAsia" w:ascii="宋体" w:hAnsi="宋体"/>
                <w:szCs w:val="21"/>
              </w:rPr>
              <w:t>9</w:t>
            </w:r>
          </w:p>
        </w:tc>
        <w:tc>
          <w:tcPr>
            <w:tcW w:w="1033" w:type="dxa"/>
            <w:vAlign w:val="center"/>
          </w:tcPr>
          <w:p>
            <w:pPr>
              <w:spacing w:line="420" w:lineRule="exact"/>
              <w:jc w:val="center"/>
              <w:rPr>
                <w:rFonts w:ascii="宋体" w:hAnsi="宋体"/>
                <w:szCs w:val="21"/>
              </w:rPr>
            </w:pPr>
          </w:p>
        </w:tc>
        <w:tc>
          <w:tcPr>
            <w:tcW w:w="7461" w:type="dxa"/>
            <w:vAlign w:val="center"/>
          </w:tcPr>
          <w:p>
            <w:pPr>
              <w:spacing w:line="440" w:lineRule="exact"/>
              <w:rPr>
                <w:rFonts w:ascii="宋体" w:hAnsi="宋体"/>
                <w:b/>
                <w:szCs w:val="21"/>
              </w:rPr>
            </w:pPr>
            <w:r>
              <w:rPr>
                <w:rFonts w:hint="eastAsia" w:ascii="宋体" w:hAnsi="宋体"/>
                <w:b/>
                <w:szCs w:val="21"/>
              </w:rPr>
              <w:t>招标服务费：</w:t>
            </w:r>
          </w:p>
          <w:p>
            <w:pPr>
              <w:spacing w:line="440" w:lineRule="exact"/>
              <w:rPr>
                <w:rFonts w:ascii="宋体" w:hAnsi="宋体"/>
                <w:szCs w:val="21"/>
              </w:rPr>
            </w:pPr>
            <w:r>
              <w:rPr>
                <w:rFonts w:hint="eastAsia" w:ascii="宋体" w:hAnsi="宋体"/>
                <w:b/>
                <w:bCs/>
                <w:szCs w:val="21"/>
              </w:rPr>
              <w:t>招标代理服务费向中标人收取。包干价20000元。</w:t>
            </w:r>
            <w:r>
              <w:rPr>
                <w:rFonts w:hint="eastAsia" w:ascii="宋体" w:hAnsi="宋体"/>
                <w:bCs/>
                <w:szCs w:val="21"/>
              </w:rPr>
              <w:t>招标服务费在中标人领取中标通知书前以支票、汇票、现金等付款方式一次性缴清。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36" w:type="dxa"/>
            <w:vAlign w:val="center"/>
          </w:tcPr>
          <w:p>
            <w:pPr>
              <w:spacing w:line="420" w:lineRule="exact"/>
              <w:ind w:right="-42"/>
              <w:jc w:val="center"/>
              <w:rPr>
                <w:rFonts w:ascii="宋体" w:hAnsi="宋体"/>
                <w:szCs w:val="21"/>
              </w:rPr>
            </w:pPr>
            <w:r>
              <w:rPr>
                <w:rFonts w:hint="eastAsia" w:ascii="宋体" w:hAnsi="宋体"/>
                <w:szCs w:val="21"/>
              </w:rPr>
              <w:t>10</w:t>
            </w:r>
          </w:p>
        </w:tc>
        <w:tc>
          <w:tcPr>
            <w:tcW w:w="1033" w:type="dxa"/>
            <w:vAlign w:val="center"/>
          </w:tcPr>
          <w:p>
            <w:pPr>
              <w:spacing w:line="420" w:lineRule="exact"/>
              <w:jc w:val="center"/>
              <w:rPr>
                <w:rFonts w:ascii="宋体" w:hAnsi="宋体"/>
                <w:szCs w:val="21"/>
              </w:rPr>
            </w:pPr>
            <w:r>
              <w:rPr>
                <w:rFonts w:hint="eastAsia" w:ascii="宋体" w:hAnsi="宋体"/>
                <w:szCs w:val="21"/>
              </w:rPr>
              <w:t>23.1</w:t>
            </w:r>
          </w:p>
        </w:tc>
        <w:tc>
          <w:tcPr>
            <w:tcW w:w="7461" w:type="dxa"/>
            <w:vAlign w:val="center"/>
          </w:tcPr>
          <w:p>
            <w:pPr>
              <w:spacing w:line="440" w:lineRule="exact"/>
              <w:rPr>
                <w:rFonts w:ascii="宋体" w:hAnsi="宋体"/>
                <w:szCs w:val="21"/>
              </w:rPr>
            </w:pPr>
            <w:r>
              <w:rPr>
                <w:rFonts w:hint="eastAsia" w:ascii="宋体" w:hAnsi="宋体"/>
                <w:szCs w:val="21"/>
              </w:rPr>
              <w:t xml:space="preserve">招标项目行政监督部门： </w:t>
            </w:r>
            <w:r>
              <w:rPr>
                <w:rFonts w:hint="eastAsia" w:hAnsi="宋体"/>
                <w:szCs w:val="21"/>
              </w:rPr>
              <w:t>招标人监督部门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6" w:type="dxa"/>
            <w:vAlign w:val="center"/>
          </w:tcPr>
          <w:p>
            <w:pPr>
              <w:spacing w:line="420" w:lineRule="exact"/>
              <w:ind w:right="-42"/>
              <w:jc w:val="center"/>
              <w:rPr>
                <w:rFonts w:ascii="宋体" w:hAnsi="宋体"/>
                <w:szCs w:val="21"/>
              </w:rPr>
            </w:pPr>
            <w:r>
              <w:rPr>
                <w:rFonts w:hint="eastAsia" w:ascii="宋体" w:hAnsi="宋体"/>
                <w:szCs w:val="21"/>
              </w:rPr>
              <w:t>11</w:t>
            </w:r>
          </w:p>
        </w:tc>
        <w:tc>
          <w:tcPr>
            <w:tcW w:w="1033" w:type="dxa"/>
            <w:vAlign w:val="center"/>
          </w:tcPr>
          <w:p>
            <w:pPr>
              <w:spacing w:line="420" w:lineRule="exact"/>
              <w:jc w:val="center"/>
              <w:rPr>
                <w:rFonts w:ascii="宋体" w:hAnsi="宋体"/>
                <w:szCs w:val="21"/>
              </w:rPr>
            </w:pPr>
          </w:p>
        </w:tc>
        <w:tc>
          <w:tcPr>
            <w:tcW w:w="7461" w:type="dxa"/>
            <w:vAlign w:val="center"/>
          </w:tcPr>
          <w:p>
            <w:pPr>
              <w:pStyle w:val="140"/>
              <w:spacing w:before="0" w:after="0" w:line="460" w:lineRule="exact"/>
              <w:ind w:firstLine="420" w:firstLineChars="200"/>
              <w:rPr>
                <w:b w:val="0"/>
                <w:kern w:val="2"/>
                <w:sz w:val="21"/>
                <w:szCs w:val="21"/>
              </w:rPr>
            </w:pPr>
            <w:r>
              <w:rPr>
                <w:rFonts w:hint="eastAsia"/>
                <w:b w:val="0"/>
                <w:kern w:val="2"/>
                <w:sz w:val="21"/>
                <w:szCs w:val="21"/>
              </w:rPr>
              <w:t>1. 评标过程中无论是否有对原件进行核查，投标人都必须对其投标文件中提供各种资料、说明、声明、承诺的真实、准确、完整及合法有效负责。在评标过程中，如有发现投标人有为谋取中标而提供虚假资料或承诺欺骗招标人和评委的行为，将取消其中标资格，其投标保证金将不予退还。</w:t>
            </w:r>
          </w:p>
          <w:p>
            <w:pPr>
              <w:pStyle w:val="140"/>
              <w:spacing w:before="0" w:after="0" w:line="460" w:lineRule="exact"/>
              <w:ind w:firstLine="420" w:firstLineChars="200"/>
              <w:rPr>
                <w:b w:val="0"/>
                <w:sz w:val="21"/>
                <w:szCs w:val="21"/>
              </w:rPr>
            </w:pPr>
            <w:r>
              <w:rPr>
                <w:rFonts w:hint="eastAsia"/>
                <w:b w:val="0"/>
                <w:kern w:val="2"/>
                <w:sz w:val="21"/>
                <w:szCs w:val="21"/>
              </w:rPr>
              <w:t>2. 定标后，招标人有可能对中标人投标文件中的承诺内容、资料和说明进行实地核查，中标人应无条件配合招标人的核查工作，不得拒绝核查或隐瞒真实情况。若在中标后或签约时或履行合同过程中发现中标人是提供虚假材料或承诺谋取中标等违法违规行为，招标人将取消其中标人资格，其投标保证金、</w:t>
            </w:r>
            <w:r>
              <w:rPr>
                <w:rFonts w:hint="eastAsia"/>
                <w:b w:val="0"/>
                <w:sz w:val="21"/>
                <w:szCs w:val="21"/>
              </w:rPr>
              <w:t>履约保证金（如果已签订合同）将不予退还</w:t>
            </w:r>
            <w:r>
              <w:rPr>
                <w:rFonts w:hint="eastAsia"/>
                <w:b w:val="0"/>
                <w:kern w:val="2"/>
                <w:sz w:val="21"/>
                <w:szCs w:val="21"/>
              </w:rPr>
              <w:t>，给招标人造成损失（损失包括直接损失和间接损失及因追索该损失而产生的诉讼费、律师费等）的，还必须进行赔偿并负相关责任。</w:t>
            </w:r>
            <w:r>
              <w:rPr>
                <w:rFonts w:hint="eastAsia"/>
                <w:b w:val="0"/>
                <w:sz w:val="21"/>
                <w:szCs w:val="21"/>
              </w:rPr>
              <w:t>招标人有权按照中标候选人排序依法递补中标人并按相同标准和要求签订合同，以此类推。</w:t>
            </w:r>
          </w:p>
        </w:tc>
      </w:tr>
    </w:tbl>
    <w:p>
      <w:pPr>
        <w:spacing w:after="120" w:afterLines="50" w:line="500" w:lineRule="exact"/>
        <w:ind w:right="641"/>
        <w:jc w:val="center"/>
        <w:outlineLvl w:val="1"/>
        <w:rPr>
          <w:rFonts w:ascii="宋体" w:hAnsi="宋体"/>
          <w:b/>
          <w:szCs w:val="21"/>
        </w:rPr>
      </w:pPr>
      <w:bookmarkStart w:id="19" w:name="_Toc12027"/>
      <w:bookmarkStart w:id="20" w:name="_Toc74083206"/>
      <w:bookmarkStart w:id="21" w:name="_Toc74326513"/>
      <w:r>
        <w:rPr>
          <w:rFonts w:hint="eastAsia" w:ascii="宋体" w:hAnsi="宋体"/>
          <w:b/>
          <w:szCs w:val="21"/>
        </w:rPr>
        <w:t>一、说   明</w:t>
      </w:r>
      <w:bookmarkEnd w:id="19"/>
      <w:bookmarkEnd w:id="20"/>
      <w:bookmarkEnd w:id="21"/>
    </w:p>
    <w:p>
      <w:pPr>
        <w:spacing w:line="500" w:lineRule="atLeast"/>
        <w:rPr>
          <w:rFonts w:ascii="宋体" w:hAnsi="宋体"/>
          <w:b/>
          <w:bCs/>
          <w:szCs w:val="21"/>
        </w:rPr>
      </w:pPr>
      <w:r>
        <w:rPr>
          <w:rFonts w:hint="eastAsia" w:ascii="宋体" w:hAnsi="宋体"/>
          <w:b/>
          <w:bCs/>
          <w:szCs w:val="21"/>
        </w:rPr>
        <w:t>1、适用范围</w:t>
      </w:r>
    </w:p>
    <w:p>
      <w:pPr>
        <w:tabs>
          <w:tab w:val="left" w:pos="360"/>
        </w:tabs>
        <w:spacing w:line="500" w:lineRule="atLeast"/>
        <w:rPr>
          <w:rFonts w:ascii="宋体" w:hAnsi="宋体"/>
          <w:szCs w:val="21"/>
        </w:rPr>
      </w:pPr>
      <w:r>
        <w:rPr>
          <w:rFonts w:hint="eastAsia" w:ascii="宋体" w:hAnsi="宋体"/>
          <w:szCs w:val="21"/>
        </w:rPr>
        <w:t xml:space="preserve">    本公开招标文件仅适用于投标邀请中所叙述项目的货物及服务采购。</w:t>
      </w:r>
    </w:p>
    <w:p>
      <w:pPr>
        <w:spacing w:line="500" w:lineRule="atLeast"/>
        <w:rPr>
          <w:rFonts w:ascii="宋体" w:hAnsi="宋体"/>
          <w:b/>
          <w:bCs/>
          <w:szCs w:val="21"/>
        </w:rPr>
      </w:pPr>
      <w:r>
        <w:rPr>
          <w:rFonts w:hint="eastAsia" w:ascii="宋体" w:hAnsi="宋体"/>
          <w:b/>
          <w:bCs/>
          <w:szCs w:val="21"/>
        </w:rPr>
        <w:t>2、定义</w:t>
      </w:r>
    </w:p>
    <w:p>
      <w:pPr>
        <w:spacing w:line="500" w:lineRule="atLeast"/>
        <w:ind w:firstLine="480"/>
        <w:rPr>
          <w:rFonts w:ascii="宋体" w:hAnsi="宋体"/>
          <w:szCs w:val="21"/>
        </w:rPr>
      </w:pPr>
      <w:r>
        <w:rPr>
          <w:rFonts w:hint="eastAsia" w:ascii="宋体" w:hAnsi="宋体"/>
          <w:szCs w:val="21"/>
        </w:rPr>
        <w:t>2.1 “招标方”系指本次采购项目的业主方。</w:t>
      </w:r>
    </w:p>
    <w:p>
      <w:pPr>
        <w:spacing w:line="500" w:lineRule="atLeast"/>
        <w:ind w:firstLine="480"/>
        <w:rPr>
          <w:rFonts w:ascii="宋体" w:hAnsi="宋体"/>
          <w:szCs w:val="21"/>
        </w:rPr>
      </w:pPr>
      <w:r>
        <w:rPr>
          <w:rFonts w:hint="eastAsia" w:ascii="宋体" w:hAnsi="宋体"/>
          <w:szCs w:val="21"/>
        </w:rPr>
        <w:t>2.2 “招标采购单位”系指组织本次招标活动的招标方或招标代理机构。</w:t>
      </w:r>
    </w:p>
    <w:p>
      <w:pPr>
        <w:spacing w:line="500" w:lineRule="atLeast"/>
        <w:ind w:firstLine="480"/>
        <w:rPr>
          <w:rFonts w:ascii="宋体" w:hAnsi="宋体"/>
          <w:szCs w:val="21"/>
        </w:rPr>
      </w:pPr>
      <w:r>
        <w:rPr>
          <w:rFonts w:hint="eastAsia" w:ascii="宋体" w:hAnsi="宋体"/>
          <w:szCs w:val="21"/>
        </w:rPr>
        <w:t>2.3 “招标代理机构”系指本次招标采购项目活动组织方。</w:t>
      </w:r>
    </w:p>
    <w:p>
      <w:pPr>
        <w:spacing w:line="500" w:lineRule="atLeast"/>
        <w:ind w:firstLine="480"/>
        <w:rPr>
          <w:rFonts w:ascii="宋体" w:hAnsi="宋体"/>
          <w:szCs w:val="21"/>
        </w:rPr>
      </w:pPr>
      <w:r>
        <w:rPr>
          <w:rFonts w:hint="eastAsia" w:ascii="宋体" w:hAnsi="宋体"/>
          <w:szCs w:val="21"/>
        </w:rPr>
        <w:t>2.4 “投标人 ”系指报名，且已经提交或者准备提交本次投标文件的供应商。</w:t>
      </w:r>
    </w:p>
    <w:p>
      <w:pPr>
        <w:spacing w:line="500" w:lineRule="atLeast"/>
        <w:ind w:firstLine="480"/>
        <w:rPr>
          <w:rFonts w:ascii="宋体" w:hAnsi="宋体"/>
          <w:szCs w:val="21"/>
        </w:rPr>
      </w:pPr>
      <w:r>
        <w:rPr>
          <w:rFonts w:hint="eastAsia" w:ascii="宋体" w:hAnsi="宋体"/>
          <w:szCs w:val="21"/>
        </w:rPr>
        <w:t>2.5 “服务”系指招标文件规定中标供应商须承担的相应服务。</w:t>
      </w:r>
    </w:p>
    <w:p>
      <w:pPr>
        <w:spacing w:line="500" w:lineRule="atLeast"/>
        <w:rPr>
          <w:rFonts w:ascii="宋体" w:hAnsi="宋体"/>
          <w:b/>
          <w:bCs/>
          <w:szCs w:val="21"/>
        </w:rPr>
      </w:pPr>
      <w:r>
        <w:rPr>
          <w:rFonts w:hint="eastAsia" w:ascii="宋体" w:hAnsi="宋体"/>
          <w:b/>
          <w:bCs/>
          <w:szCs w:val="21"/>
        </w:rPr>
        <w:t>3、合格的投标人：</w:t>
      </w:r>
    </w:p>
    <w:p>
      <w:pPr>
        <w:spacing w:line="500" w:lineRule="atLeast"/>
        <w:ind w:firstLine="310" w:firstLineChars="147"/>
        <w:rPr>
          <w:rFonts w:ascii="宋体" w:hAnsi="宋体"/>
          <w:b/>
          <w:bCs/>
          <w:szCs w:val="21"/>
        </w:rPr>
      </w:pPr>
      <w:r>
        <w:rPr>
          <w:rFonts w:hint="eastAsia" w:ascii="宋体" w:hAnsi="宋体"/>
          <w:b/>
          <w:bCs/>
          <w:szCs w:val="21"/>
        </w:rPr>
        <w:t>3.1详见投标人须知前附表中资格标准。</w:t>
      </w:r>
    </w:p>
    <w:p>
      <w:pPr>
        <w:spacing w:line="500" w:lineRule="atLeast"/>
        <w:ind w:firstLine="308" w:firstLineChars="147"/>
        <w:rPr>
          <w:rFonts w:ascii="宋体" w:hAnsi="宋体"/>
          <w:szCs w:val="21"/>
        </w:rPr>
      </w:pPr>
      <w:r>
        <w:rPr>
          <w:rFonts w:hint="eastAsia" w:ascii="宋体" w:hAnsi="宋体"/>
          <w:szCs w:val="21"/>
        </w:rPr>
        <w:t>3.2投标代理人在同一个项目中只能接受一个投标人的委托参加投标。</w:t>
      </w:r>
    </w:p>
    <w:p>
      <w:pPr>
        <w:spacing w:line="500" w:lineRule="atLeast"/>
        <w:ind w:firstLine="315" w:firstLineChars="150"/>
        <w:rPr>
          <w:rFonts w:ascii="宋体" w:hAnsi="宋体"/>
          <w:szCs w:val="21"/>
        </w:rPr>
      </w:pPr>
      <w:r>
        <w:rPr>
          <w:rFonts w:hint="eastAsia" w:ascii="宋体" w:hAnsi="宋体"/>
          <w:szCs w:val="21"/>
        </w:rPr>
        <w:t>3.3一个投标人只能代表一家投标公司参与本项目投标。但如果投标人之间存在下列互为关联关系的情形之一的，不得同时参加本项目投标：</w:t>
      </w:r>
    </w:p>
    <w:p>
      <w:pPr>
        <w:numPr>
          <w:ilvl w:val="0"/>
          <w:numId w:val="6"/>
        </w:numPr>
        <w:spacing w:line="440" w:lineRule="exact"/>
        <w:ind w:left="473" w:hanging="472" w:hangingChars="225"/>
        <w:rPr>
          <w:rFonts w:ascii="宋体" w:hAnsi="宋体"/>
          <w:szCs w:val="21"/>
        </w:rPr>
      </w:pPr>
      <w:r>
        <w:rPr>
          <w:rFonts w:hint="eastAsia" w:ascii="宋体" w:hAnsi="宋体"/>
          <w:szCs w:val="21"/>
        </w:rPr>
        <w:t>法定代表人为同一人的两个及两个以上法人；</w:t>
      </w:r>
    </w:p>
    <w:p>
      <w:pPr>
        <w:numPr>
          <w:ilvl w:val="0"/>
          <w:numId w:val="6"/>
        </w:numPr>
        <w:spacing w:line="440" w:lineRule="exact"/>
        <w:ind w:left="473" w:hanging="472" w:hangingChars="225"/>
        <w:rPr>
          <w:rFonts w:ascii="宋体" w:hAnsi="宋体"/>
          <w:szCs w:val="21"/>
        </w:rPr>
      </w:pPr>
      <w:r>
        <w:rPr>
          <w:rFonts w:hint="eastAsia" w:ascii="宋体" w:hAnsi="宋体"/>
          <w:szCs w:val="21"/>
        </w:rPr>
        <w:t>母公司、直接或间接持股50%及以上的被投资公司；</w:t>
      </w:r>
    </w:p>
    <w:p>
      <w:pPr>
        <w:numPr>
          <w:ilvl w:val="0"/>
          <w:numId w:val="6"/>
        </w:numPr>
        <w:spacing w:line="440" w:lineRule="exact"/>
        <w:ind w:left="473" w:hanging="472" w:hangingChars="225"/>
        <w:rPr>
          <w:rFonts w:ascii="宋体" w:hAnsi="宋体"/>
          <w:szCs w:val="21"/>
        </w:rPr>
      </w:pPr>
      <w:r>
        <w:rPr>
          <w:rFonts w:hint="eastAsia" w:ascii="宋体" w:hAnsi="宋体"/>
          <w:szCs w:val="21"/>
        </w:rPr>
        <w:t>均为同一家母公司直接或间接持股50%及以上的被投资公司。</w:t>
      </w:r>
    </w:p>
    <w:p>
      <w:pPr>
        <w:spacing w:line="500" w:lineRule="atLeast"/>
        <w:ind w:firstLine="480"/>
        <w:rPr>
          <w:rFonts w:ascii="宋体" w:hAnsi="宋体"/>
          <w:szCs w:val="21"/>
        </w:rPr>
      </w:pPr>
      <w:r>
        <w:rPr>
          <w:rFonts w:hint="eastAsia" w:ascii="宋体" w:hAnsi="宋体"/>
          <w:szCs w:val="21"/>
        </w:rPr>
        <w:t>3.4投标人不得与本次招标项下设计、编制技术规格和其它文件的公司或提供咨询的公司包括其附属机构有任何利益关联。</w:t>
      </w:r>
    </w:p>
    <w:p>
      <w:pPr>
        <w:spacing w:line="500" w:lineRule="atLeast"/>
        <w:ind w:firstLine="480"/>
        <w:rPr>
          <w:rFonts w:ascii="宋体" w:hAnsi="宋体"/>
          <w:szCs w:val="21"/>
        </w:rPr>
      </w:pPr>
      <w:r>
        <w:rPr>
          <w:rFonts w:hint="eastAsia" w:ascii="宋体" w:hAnsi="宋体"/>
          <w:szCs w:val="21"/>
        </w:rPr>
        <w:t>3.5投标代理人在同一个项目中只能接受一个投标人的委托参加投标。</w:t>
      </w:r>
    </w:p>
    <w:p>
      <w:pPr>
        <w:spacing w:line="500" w:lineRule="atLeast"/>
        <w:ind w:firstLine="480"/>
        <w:rPr>
          <w:rFonts w:ascii="宋体" w:hAnsi="宋体"/>
          <w:b/>
          <w:szCs w:val="21"/>
        </w:rPr>
      </w:pPr>
      <w:r>
        <w:rPr>
          <w:rFonts w:hint="eastAsia" w:ascii="宋体" w:hAnsi="宋体"/>
          <w:b/>
          <w:szCs w:val="21"/>
        </w:rPr>
        <w:t>投标人有责任对以上3.3和3.4的情形做出声明，否则投标被拒绝。</w:t>
      </w:r>
    </w:p>
    <w:p>
      <w:pPr>
        <w:spacing w:line="500" w:lineRule="atLeast"/>
        <w:rPr>
          <w:rFonts w:ascii="宋体" w:hAnsi="宋体"/>
          <w:b/>
          <w:bCs/>
          <w:szCs w:val="21"/>
        </w:rPr>
      </w:pPr>
      <w:r>
        <w:rPr>
          <w:rFonts w:hint="eastAsia" w:ascii="宋体" w:hAnsi="宋体"/>
          <w:b/>
          <w:bCs/>
          <w:szCs w:val="21"/>
        </w:rPr>
        <w:t>4、投标费用</w:t>
      </w:r>
    </w:p>
    <w:p>
      <w:pPr>
        <w:spacing w:line="500" w:lineRule="atLeast"/>
        <w:rPr>
          <w:rFonts w:ascii="宋体" w:hAnsi="宋体"/>
          <w:szCs w:val="21"/>
        </w:rPr>
      </w:pPr>
      <w:r>
        <w:rPr>
          <w:rFonts w:hint="eastAsia" w:ascii="宋体" w:hAnsi="宋体"/>
          <w:szCs w:val="21"/>
        </w:rPr>
        <w:t xml:space="preserve">    投标人自行承担其准备与参加投标所涉及的一切费用。在任何情况下福建优胜招标项目管理集团有限公司及用户不承担任何费用。</w:t>
      </w:r>
    </w:p>
    <w:p>
      <w:pPr>
        <w:spacing w:after="120" w:afterLines="50" w:line="500" w:lineRule="exact"/>
        <w:ind w:right="641"/>
        <w:jc w:val="center"/>
        <w:outlineLvl w:val="1"/>
        <w:rPr>
          <w:rFonts w:ascii="宋体" w:hAnsi="宋体"/>
          <w:b/>
          <w:szCs w:val="21"/>
        </w:rPr>
      </w:pPr>
      <w:bookmarkStart w:id="22" w:name="_Toc15666"/>
      <w:bookmarkStart w:id="23" w:name="_Toc74326514"/>
      <w:bookmarkStart w:id="24" w:name="_Toc74083207"/>
      <w:r>
        <w:rPr>
          <w:rFonts w:hint="eastAsia" w:ascii="宋体" w:hAnsi="宋体"/>
          <w:b/>
          <w:szCs w:val="21"/>
        </w:rPr>
        <w:t>二、公开招标文件</w:t>
      </w:r>
      <w:bookmarkEnd w:id="22"/>
      <w:bookmarkEnd w:id="23"/>
      <w:bookmarkEnd w:id="24"/>
    </w:p>
    <w:p>
      <w:pPr>
        <w:spacing w:line="500" w:lineRule="atLeast"/>
        <w:rPr>
          <w:rFonts w:ascii="宋体" w:hAnsi="宋体"/>
          <w:b/>
          <w:bCs/>
          <w:szCs w:val="21"/>
        </w:rPr>
      </w:pPr>
      <w:r>
        <w:rPr>
          <w:rFonts w:hint="eastAsia" w:ascii="宋体" w:hAnsi="宋体"/>
          <w:b/>
          <w:bCs/>
          <w:szCs w:val="21"/>
        </w:rPr>
        <w:t>5、公开招标文件的构成</w:t>
      </w:r>
    </w:p>
    <w:p>
      <w:pPr>
        <w:tabs>
          <w:tab w:val="left" w:pos="360"/>
        </w:tabs>
        <w:spacing w:line="500" w:lineRule="atLeast"/>
        <w:rPr>
          <w:rFonts w:ascii="宋体" w:hAnsi="宋体"/>
          <w:szCs w:val="21"/>
        </w:rPr>
      </w:pPr>
      <w:r>
        <w:rPr>
          <w:rFonts w:hint="eastAsia" w:ascii="宋体" w:hAnsi="宋体"/>
          <w:szCs w:val="21"/>
        </w:rPr>
        <w:t xml:space="preserve">   公开招标文件用以阐明所需货物及服务、招标投标程序和合同条款。公开招标文件由下述部分组成：</w:t>
      </w:r>
    </w:p>
    <w:p>
      <w:pPr>
        <w:spacing w:line="500" w:lineRule="atLeast"/>
        <w:ind w:firstLine="420" w:firstLineChars="200"/>
        <w:rPr>
          <w:rFonts w:ascii="宋体" w:hAnsi="宋体"/>
          <w:szCs w:val="21"/>
        </w:rPr>
      </w:pPr>
      <w:r>
        <w:rPr>
          <w:rFonts w:hint="eastAsia" w:ascii="宋体" w:hAnsi="宋体"/>
          <w:szCs w:val="21"/>
        </w:rPr>
        <w:t xml:space="preserve">5.1投标邀请  </w:t>
      </w:r>
    </w:p>
    <w:p>
      <w:pPr>
        <w:spacing w:line="500" w:lineRule="atLeast"/>
        <w:rPr>
          <w:rFonts w:ascii="宋体" w:hAnsi="宋体"/>
          <w:szCs w:val="21"/>
        </w:rPr>
      </w:pPr>
      <w:r>
        <w:rPr>
          <w:rFonts w:hint="eastAsia" w:ascii="宋体" w:hAnsi="宋体"/>
          <w:szCs w:val="21"/>
        </w:rPr>
        <w:t xml:space="preserve">    5.2投标人须知</w:t>
      </w:r>
    </w:p>
    <w:p>
      <w:pPr>
        <w:spacing w:line="500" w:lineRule="atLeast"/>
        <w:ind w:firstLine="420" w:firstLineChars="200"/>
        <w:rPr>
          <w:rFonts w:ascii="宋体" w:hAnsi="宋体"/>
          <w:szCs w:val="21"/>
        </w:rPr>
      </w:pPr>
      <w:r>
        <w:rPr>
          <w:rFonts w:hint="eastAsia" w:ascii="宋体" w:hAnsi="宋体"/>
          <w:szCs w:val="21"/>
        </w:rPr>
        <w:t>5.3招标内容及要求</w:t>
      </w:r>
    </w:p>
    <w:p>
      <w:pPr>
        <w:spacing w:line="500" w:lineRule="atLeast"/>
        <w:rPr>
          <w:rFonts w:ascii="宋体" w:hAnsi="宋体"/>
          <w:szCs w:val="21"/>
        </w:rPr>
      </w:pPr>
      <w:r>
        <w:rPr>
          <w:rFonts w:hint="eastAsia" w:ascii="宋体" w:hAnsi="宋体"/>
          <w:szCs w:val="21"/>
        </w:rPr>
        <w:t xml:space="preserve">    5.4</w:t>
      </w:r>
      <w:r>
        <w:rPr>
          <w:rFonts w:hint="eastAsia" w:ascii="宋体" w:hAnsi="宋体"/>
          <w:bCs/>
          <w:szCs w:val="21"/>
        </w:rPr>
        <w:t>采购合同（参考文本）</w:t>
      </w:r>
    </w:p>
    <w:p>
      <w:pPr>
        <w:spacing w:line="500" w:lineRule="atLeast"/>
        <w:rPr>
          <w:rFonts w:ascii="宋体" w:hAnsi="宋体"/>
          <w:szCs w:val="21"/>
        </w:rPr>
      </w:pPr>
      <w:r>
        <w:rPr>
          <w:rFonts w:hint="eastAsia" w:ascii="宋体" w:hAnsi="宋体"/>
          <w:szCs w:val="21"/>
        </w:rPr>
        <w:t xml:space="preserve">    5.5投标文件格式</w:t>
      </w:r>
    </w:p>
    <w:p>
      <w:pPr>
        <w:spacing w:line="500" w:lineRule="atLeast"/>
        <w:rPr>
          <w:rFonts w:ascii="宋体" w:hAnsi="宋体"/>
          <w:b/>
          <w:bCs/>
          <w:szCs w:val="21"/>
        </w:rPr>
      </w:pPr>
      <w:r>
        <w:rPr>
          <w:rFonts w:hint="eastAsia" w:ascii="宋体" w:hAnsi="宋体"/>
          <w:b/>
          <w:bCs/>
          <w:szCs w:val="21"/>
        </w:rPr>
        <w:t>6、公开招标文件的澄清</w:t>
      </w:r>
    </w:p>
    <w:p>
      <w:pPr>
        <w:spacing w:line="520" w:lineRule="exact"/>
        <w:ind w:firstLine="525"/>
        <w:rPr>
          <w:rFonts w:ascii="宋体" w:hAnsi="宋体" w:cs="宋体"/>
          <w:szCs w:val="21"/>
        </w:rPr>
      </w:pPr>
      <w:r>
        <w:rPr>
          <w:rFonts w:hint="eastAsia" w:ascii="宋体" w:hAnsi="宋体" w:cs="宋体"/>
          <w:bCs/>
          <w:szCs w:val="21"/>
        </w:rPr>
        <w:t>6</w:t>
      </w:r>
      <w:r>
        <w:rPr>
          <w:rFonts w:hint="eastAsia" w:ascii="新宋体" w:hAnsi="新宋体" w:eastAsia="新宋体" w:cs="新宋体"/>
          <w:szCs w:val="21"/>
        </w:rPr>
        <w:t>.1投标人对公开招标文件如有疑点，可要求澄清，应在</w:t>
      </w:r>
      <w:r>
        <w:rPr>
          <w:rFonts w:hint="eastAsia" w:ascii="新宋体" w:hAnsi="新宋体" w:eastAsia="新宋体" w:cs="新宋体"/>
          <w:b/>
          <w:szCs w:val="21"/>
        </w:rPr>
        <w:t>本公开招标文件投标邀请函第八点规定的时间内</w:t>
      </w:r>
      <w:r>
        <w:rPr>
          <w:rFonts w:hint="eastAsia" w:ascii="新宋体" w:hAnsi="新宋体" w:eastAsia="新宋体" w:cs="新宋体"/>
          <w:szCs w:val="21"/>
        </w:rPr>
        <w:t>按投标邀请中载明的地址以书面原件形式</w:t>
      </w:r>
      <w:r>
        <w:rPr>
          <w:rFonts w:hint="eastAsia" w:ascii="宋体" w:hAnsi="宋体" w:cs="宋体"/>
          <w:b/>
          <w:szCs w:val="21"/>
        </w:rPr>
        <w:t>（有效签署的质疑函原件并加盖公章，拒绝传真、电邮、电话形式等其它形式）</w:t>
      </w:r>
      <w:r>
        <w:rPr>
          <w:rFonts w:hint="eastAsia" w:ascii="宋体" w:hAnsi="宋体" w:cs="宋体"/>
          <w:szCs w:val="21"/>
        </w:rPr>
        <w:t>并投标单位需携带营业执照副本、税务登记证、组织机构代码证复印件或三证合一的营业执照副本复印件和法定代表人授权书原件，被授权人身份证正反面复印件并加盖投标人公章，须提供完整的函件送达招标代理有限公司。</w:t>
      </w:r>
    </w:p>
    <w:p>
      <w:pPr>
        <w:spacing w:line="520" w:lineRule="exact"/>
        <w:ind w:firstLine="525"/>
        <w:rPr>
          <w:rFonts w:ascii="宋体" w:hAnsi="宋体" w:cs="宋体"/>
          <w:szCs w:val="21"/>
        </w:rPr>
      </w:pPr>
      <w:r>
        <w:rPr>
          <w:rFonts w:hint="eastAsia" w:ascii="宋体" w:hAnsi="宋体" w:cs="宋体"/>
          <w:szCs w:val="21"/>
        </w:rPr>
        <w:t>招标代理有限公司将视情况确定采用适当方式予以澄清或以书面形式予以答复，并在其认为必要时，将以不标明查询来源的书面答复形式发给已领取招标文件的每一投标人。</w:t>
      </w:r>
    </w:p>
    <w:p>
      <w:pPr>
        <w:spacing w:line="520" w:lineRule="exact"/>
        <w:ind w:firstLine="525"/>
        <w:rPr>
          <w:rFonts w:ascii="宋体" w:hAnsi="宋体"/>
          <w:szCs w:val="21"/>
        </w:rPr>
      </w:pPr>
      <w:r>
        <w:rPr>
          <w:rFonts w:hint="eastAsia" w:ascii="宋体" w:hAnsi="宋体" w:cs="宋体"/>
          <w:szCs w:val="21"/>
        </w:rPr>
        <w:t>6.2投标人未在本招标文件投标邀请函第八点规定的时间内提出疑义的,视为认同本招标文件中所有条款，今后将无权提出任何疑义。（质疑具体要求详见21.6规定）</w:t>
      </w:r>
    </w:p>
    <w:p>
      <w:pPr>
        <w:spacing w:line="500" w:lineRule="atLeast"/>
        <w:rPr>
          <w:rFonts w:ascii="宋体" w:hAnsi="宋体"/>
          <w:b/>
          <w:bCs/>
          <w:szCs w:val="21"/>
        </w:rPr>
      </w:pPr>
      <w:r>
        <w:rPr>
          <w:rFonts w:hint="eastAsia" w:ascii="宋体" w:hAnsi="宋体"/>
          <w:b/>
          <w:bCs/>
          <w:szCs w:val="21"/>
        </w:rPr>
        <w:t>7、公开招标文件的修改</w:t>
      </w:r>
    </w:p>
    <w:p>
      <w:pPr>
        <w:spacing w:line="520" w:lineRule="exact"/>
        <w:ind w:firstLine="525"/>
        <w:rPr>
          <w:rFonts w:ascii="宋体" w:hAnsi="宋体"/>
          <w:bCs/>
          <w:szCs w:val="21"/>
        </w:rPr>
      </w:pPr>
      <w:r>
        <w:rPr>
          <w:rFonts w:hint="eastAsia" w:ascii="宋体" w:hAnsi="宋体"/>
          <w:szCs w:val="21"/>
        </w:rPr>
        <w:t>7.1至投标截止日期前三个日历日，招标代理机构可主动或依投标人要求澄清的问题而修改采购文件，应在原信息发布的媒体上发布更正公告，并以书面形式通知所有投标人，投标人在收到该通知后应立即以邮件或传真的形式予以确认。该修改内容为文件的组成部分，对投标人具有约束力。但本文件第7.2条规定的推迟投标截止时间和开标时间情形不受本条约束。</w:t>
      </w:r>
    </w:p>
    <w:p>
      <w:pPr>
        <w:spacing w:line="520" w:lineRule="exact"/>
        <w:ind w:firstLine="525"/>
        <w:rPr>
          <w:rFonts w:ascii="宋体" w:hAnsi="宋体"/>
          <w:szCs w:val="21"/>
        </w:rPr>
      </w:pPr>
      <w:r>
        <w:rPr>
          <w:rFonts w:hint="eastAsia" w:ascii="宋体" w:hAnsi="宋体"/>
          <w:szCs w:val="21"/>
        </w:rPr>
        <w:t>7.2为使投标人在准备投标文件时有合理的时间考虑公开招标文件的修改，招标</w:t>
      </w:r>
      <w:r>
        <w:rPr>
          <w:rFonts w:hint="eastAsia" w:ascii="宋体" w:hAnsi="宋体"/>
          <w:bCs/>
          <w:szCs w:val="21"/>
        </w:rPr>
        <w:t>代理机构可酌情推迟投标截止时间和开标时间，但应当至少在投标截止时间三个日历日前将变更时间以书面形式通知所有</w:t>
      </w:r>
      <w:r>
        <w:rPr>
          <w:rFonts w:hint="eastAsia" w:ascii="宋体" w:hAnsi="宋体"/>
          <w:szCs w:val="21"/>
        </w:rPr>
        <w:t>投标人，并在采购信息发布的媒体上发布更正公告。该修改内容为公开招标文件的组成部分。在此情况下，招标人和投标人受投标截止期制约的所有权利和义务均应延长至新的截止日期。</w:t>
      </w:r>
    </w:p>
    <w:p>
      <w:pPr>
        <w:spacing w:after="120" w:afterLines="50" w:line="500" w:lineRule="exact"/>
        <w:ind w:right="641"/>
        <w:jc w:val="center"/>
        <w:outlineLvl w:val="1"/>
        <w:rPr>
          <w:rFonts w:ascii="宋体" w:hAnsi="宋体"/>
          <w:b/>
          <w:szCs w:val="21"/>
        </w:rPr>
      </w:pPr>
      <w:bookmarkStart w:id="25" w:name="_Toc29031"/>
      <w:bookmarkStart w:id="26" w:name="_Toc74083208"/>
      <w:bookmarkStart w:id="27" w:name="_Toc74326515"/>
      <w:r>
        <w:rPr>
          <w:rFonts w:hint="eastAsia" w:ascii="宋体" w:hAnsi="宋体"/>
          <w:b/>
          <w:szCs w:val="21"/>
        </w:rPr>
        <w:t>三、投标文件的编写</w:t>
      </w:r>
      <w:bookmarkEnd w:id="25"/>
      <w:bookmarkEnd w:id="26"/>
      <w:bookmarkEnd w:id="27"/>
    </w:p>
    <w:p>
      <w:pPr>
        <w:spacing w:line="500" w:lineRule="atLeast"/>
        <w:rPr>
          <w:rFonts w:ascii="宋体" w:hAnsi="宋体"/>
          <w:b/>
          <w:bCs/>
          <w:szCs w:val="21"/>
        </w:rPr>
      </w:pPr>
      <w:r>
        <w:rPr>
          <w:rFonts w:hint="eastAsia" w:ascii="宋体" w:hAnsi="宋体"/>
          <w:b/>
          <w:bCs/>
          <w:szCs w:val="21"/>
        </w:rPr>
        <w:t>8、提示</w:t>
      </w:r>
    </w:p>
    <w:p>
      <w:pPr>
        <w:spacing w:line="500" w:lineRule="atLeast"/>
        <w:ind w:firstLine="315" w:firstLineChars="150"/>
        <w:rPr>
          <w:rFonts w:ascii="宋体" w:hAnsi="宋体"/>
          <w:szCs w:val="21"/>
        </w:rPr>
      </w:pPr>
      <w:r>
        <w:rPr>
          <w:rFonts w:hint="eastAsia" w:ascii="宋体" w:hAnsi="宋体"/>
          <w:szCs w:val="21"/>
        </w:rPr>
        <w:t>8.1投标人应仔细阅读公开招标文件的所有内容，按照公开招标文件的要求提交投标文件。投标文件应对公开招标文件的要求作出实质性响应，并保证所提供的全部资料的真实性，否则其投标将被拒绝。</w:t>
      </w:r>
    </w:p>
    <w:p>
      <w:pPr>
        <w:spacing w:line="500" w:lineRule="atLeast"/>
        <w:ind w:firstLine="315" w:firstLineChars="150"/>
        <w:rPr>
          <w:rFonts w:ascii="宋体" w:hAnsi="宋体"/>
          <w:szCs w:val="21"/>
        </w:rPr>
      </w:pPr>
      <w:r>
        <w:rPr>
          <w:rFonts w:hint="eastAsia" w:ascii="宋体" w:hAnsi="宋体"/>
          <w:szCs w:val="21"/>
        </w:rPr>
        <w:t>8.2 除非有另外的规定，投标人可对招标货物一览表所列的全部合同包或部分合同包进行投标。招标代理机构不接受有任何可选择性的投标，每个项目只能有一个投标。</w:t>
      </w:r>
    </w:p>
    <w:p>
      <w:pPr>
        <w:spacing w:line="500" w:lineRule="atLeast"/>
        <w:rPr>
          <w:rFonts w:ascii="宋体" w:hAnsi="宋体"/>
          <w:b/>
          <w:bCs/>
          <w:szCs w:val="21"/>
        </w:rPr>
      </w:pPr>
      <w:r>
        <w:rPr>
          <w:rFonts w:hint="eastAsia" w:ascii="宋体" w:hAnsi="宋体"/>
          <w:b/>
          <w:bCs/>
          <w:szCs w:val="21"/>
        </w:rPr>
        <w:t>9、</w:t>
      </w:r>
      <w:r>
        <w:rPr>
          <w:rFonts w:hint="eastAsia" w:ascii="宋体" w:hAnsi="宋体"/>
          <w:b/>
          <w:szCs w:val="21"/>
        </w:rPr>
        <w:t>投标文件语言</w:t>
      </w:r>
    </w:p>
    <w:p>
      <w:pPr>
        <w:tabs>
          <w:tab w:val="left" w:pos="360"/>
        </w:tabs>
        <w:spacing w:line="500" w:lineRule="atLeast"/>
        <w:rPr>
          <w:rFonts w:ascii="宋体" w:hAnsi="宋体"/>
          <w:szCs w:val="21"/>
        </w:rPr>
      </w:pPr>
      <w:r>
        <w:rPr>
          <w:rFonts w:hint="eastAsia" w:ascii="宋体" w:hAnsi="宋体"/>
          <w:szCs w:val="21"/>
        </w:rPr>
        <w:t xml:space="preserve">   9.1投标文件应用中文书写，各种计量单位及符号应采用国际上统一使用的公制计量单位和符号；对不同文字文本投标文件的解释发生异议的，以中文文本为准。</w:t>
      </w:r>
    </w:p>
    <w:p>
      <w:pPr>
        <w:tabs>
          <w:tab w:val="left" w:pos="360"/>
        </w:tabs>
        <w:spacing w:line="500" w:lineRule="atLeast"/>
        <w:ind w:firstLine="420" w:firstLineChars="200"/>
        <w:rPr>
          <w:rFonts w:ascii="宋体" w:hAnsi="宋体"/>
          <w:b/>
          <w:szCs w:val="21"/>
        </w:rPr>
      </w:pPr>
      <w:r>
        <w:rPr>
          <w:rFonts w:hint="eastAsia" w:ascii="宋体" w:hAnsi="宋体"/>
          <w:szCs w:val="21"/>
        </w:rPr>
        <w:t>9.2公开招标文件中载明的资格或技术商务要求中涉及的投标人提供的证明文件/材料的原件属于非中文描述的，必须提供具有翻译资质的机构翻译的中文译本。翻译机构应为中国翻译协会成员单位，翻译的中文译本应由翻译人员签名并加盖翻译机构公章，同时提供翻译人员翻译资格证书。投标人投标时提供的中文译本、翻译机构及翻译人员资格证书可为复印件，并加盖投标人公章。</w:t>
      </w:r>
    </w:p>
    <w:p>
      <w:pPr>
        <w:tabs>
          <w:tab w:val="left" w:pos="360"/>
        </w:tabs>
        <w:spacing w:line="500" w:lineRule="atLeast"/>
        <w:ind w:firstLine="413" w:firstLineChars="196"/>
        <w:rPr>
          <w:rFonts w:ascii="宋体" w:hAnsi="宋体"/>
          <w:szCs w:val="21"/>
        </w:rPr>
      </w:pPr>
      <w:r>
        <w:rPr>
          <w:rFonts w:hint="eastAsia" w:ascii="宋体" w:hAnsi="宋体"/>
          <w:b/>
          <w:szCs w:val="21"/>
        </w:rPr>
        <w:t>※若提供的中文译本不符合上述要求，认定为该项资格或技术商务的证明文件/材料无效，即该项资格或技术商务要求不符合。</w:t>
      </w:r>
    </w:p>
    <w:p>
      <w:pPr>
        <w:spacing w:line="500" w:lineRule="atLeast"/>
        <w:rPr>
          <w:rFonts w:ascii="宋体" w:hAnsi="宋体"/>
          <w:b/>
          <w:bCs/>
          <w:szCs w:val="21"/>
        </w:rPr>
      </w:pPr>
      <w:r>
        <w:rPr>
          <w:rFonts w:hint="eastAsia" w:ascii="宋体" w:hAnsi="宋体"/>
          <w:b/>
          <w:bCs/>
          <w:szCs w:val="21"/>
        </w:rPr>
        <w:t>10、投标文件的组成</w:t>
      </w:r>
    </w:p>
    <w:p>
      <w:pPr>
        <w:spacing w:line="540" w:lineRule="exact"/>
        <w:ind w:firstLine="420" w:firstLineChars="200"/>
        <w:rPr>
          <w:rFonts w:ascii="宋体" w:hAnsi="宋体"/>
          <w:szCs w:val="21"/>
        </w:rPr>
      </w:pPr>
      <w:r>
        <w:rPr>
          <w:rFonts w:hint="eastAsia" w:ascii="宋体" w:hAnsi="宋体"/>
          <w:szCs w:val="21"/>
        </w:rPr>
        <w:t>10.1投标文件应包括下列部分：投标文件应包括第六章的所有附件及投标人根据招标项目的特点提供的其他文件。</w:t>
      </w:r>
    </w:p>
    <w:p>
      <w:pPr>
        <w:spacing w:line="540" w:lineRule="exact"/>
        <w:ind w:firstLine="420" w:firstLineChars="200"/>
        <w:rPr>
          <w:rFonts w:ascii="宋体" w:hAnsi="宋体"/>
          <w:szCs w:val="21"/>
        </w:rPr>
      </w:pPr>
      <w:r>
        <w:rPr>
          <w:rFonts w:hint="eastAsia" w:ascii="宋体" w:hAnsi="宋体"/>
          <w:szCs w:val="21"/>
        </w:rPr>
        <w:t>10.2投标文件的“报价部分”、“技术商务部分”必须分别装订成册，不可拆分，密封提交，否则，其投标视为无效投标。</w:t>
      </w:r>
    </w:p>
    <w:p>
      <w:pPr>
        <w:spacing w:line="500" w:lineRule="atLeast"/>
        <w:rPr>
          <w:rFonts w:ascii="宋体" w:hAnsi="宋体"/>
          <w:b/>
          <w:szCs w:val="21"/>
        </w:rPr>
      </w:pPr>
      <w:r>
        <w:rPr>
          <w:rFonts w:hint="eastAsia" w:ascii="宋体" w:hAnsi="宋体"/>
          <w:b/>
          <w:szCs w:val="21"/>
        </w:rPr>
        <w:t>11、投标有效期</w:t>
      </w:r>
    </w:p>
    <w:p>
      <w:pPr>
        <w:spacing w:line="500" w:lineRule="atLeast"/>
        <w:rPr>
          <w:rFonts w:ascii="宋体" w:hAnsi="宋体"/>
          <w:szCs w:val="21"/>
        </w:rPr>
      </w:pPr>
      <w:r>
        <w:rPr>
          <w:rFonts w:hint="eastAsia" w:ascii="宋体" w:hAnsi="宋体"/>
          <w:szCs w:val="21"/>
        </w:rPr>
        <w:t xml:space="preserve">    11.1投标文件从</w:t>
      </w:r>
      <w:r>
        <w:rPr>
          <w:rFonts w:hint="eastAsia" w:ascii="宋体" w:hAnsi="宋体"/>
          <w:bCs/>
          <w:szCs w:val="21"/>
        </w:rPr>
        <w:t>投标人须知前附表</w:t>
      </w:r>
      <w:r>
        <w:rPr>
          <w:rFonts w:hint="eastAsia" w:ascii="宋体" w:hAnsi="宋体"/>
          <w:szCs w:val="21"/>
        </w:rPr>
        <w:t>第4项所规定的投标截止期之后开始生效，在</w:t>
      </w:r>
      <w:r>
        <w:rPr>
          <w:rFonts w:hint="eastAsia" w:ascii="宋体" w:hAnsi="宋体"/>
          <w:bCs/>
          <w:szCs w:val="21"/>
        </w:rPr>
        <w:t>投标人须知前附表</w:t>
      </w:r>
      <w:r>
        <w:rPr>
          <w:rFonts w:hint="eastAsia" w:ascii="宋体" w:hAnsi="宋体"/>
          <w:szCs w:val="21"/>
        </w:rPr>
        <w:t>第</w:t>
      </w:r>
      <w:r>
        <w:rPr>
          <w:rFonts w:ascii="宋体" w:hAnsi="宋体"/>
          <w:szCs w:val="21"/>
        </w:rPr>
        <w:t>3</w:t>
      </w:r>
      <w:r>
        <w:rPr>
          <w:rFonts w:hint="eastAsia" w:ascii="宋体" w:hAnsi="宋体"/>
          <w:szCs w:val="21"/>
        </w:rPr>
        <w:t>项所规定的期限内保持有效。有效期不足将导致其投标文件被拒绝。</w:t>
      </w:r>
    </w:p>
    <w:p>
      <w:pPr>
        <w:spacing w:line="500" w:lineRule="atLeast"/>
        <w:rPr>
          <w:rFonts w:ascii="宋体" w:hAnsi="宋体"/>
          <w:szCs w:val="21"/>
        </w:rPr>
      </w:pPr>
      <w:r>
        <w:rPr>
          <w:rFonts w:hint="eastAsia" w:ascii="宋体" w:hAnsi="宋体"/>
          <w:szCs w:val="21"/>
        </w:rPr>
        <w:t xml:space="preserve">    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500" w:lineRule="atLeast"/>
        <w:rPr>
          <w:rFonts w:ascii="宋体" w:hAnsi="宋体"/>
          <w:b/>
          <w:szCs w:val="21"/>
        </w:rPr>
      </w:pPr>
      <w:r>
        <w:rPr>
          <w:rFonts w:hint="eastAsia" w:ascii="宋体" w:hAnsi="宋体"/>
          <w:b/>
          <w:szCs w:val="21"/>
        </w:rPr>
        <w:t>12、投标保证金</w:t>
      </w:r>
    </w:p>
    <w:p>
      <w:pPr>
        <w:spacing w:line="500" w:lineRule="atLeast"/>
        <w:ind w:firstLine="480"/>
        <w:rPr>
          <w:rFonts w:ascii="宋体" w:hAnsi="宋体"/>
          <w:szCs w:val="21"/>
        </w:rPr>
      </w:pPr>
      <w:r>
        <w:rPr>
          <w:rFonts w:hint="eastAsia" w:ascii="宋体" w:hAnsi="宋体"/>
          <w:szCs w:val="21"/>
        </w:rPr>
        <w:t>12.1投标保证金为投标文件的组成部分之一。</w:t>
      </w:r>
    </w:p>
    <w:p>
      <w:pPr>
        <w:spacing w:line="500" w:lineRule="atLeast"/>
        <w:ind w:firstLine="480"/>
        <w:rPr>
          <w:rFonts w:ascii="宋体" w:hAnsi="宋体"/>
          <w:szCs w:val="21"/>
        </w:rPr>
      </w:pPr>
      <w:r>
        <w:rPr>
          <w:rFonts w:hint="eastAsia" w:ascii="宋体" w:hAnsi="宋体"/>
          <w:szCs w:val="21"/>
        </w:rPr>
        <w:t>12.2投标人应在提交投标文件之前向招标代理机构缴交投标人须知前附表第5项要求的投标保证金。</w:t>
      </w:r>
    </w:p>
    <w:p>
      <w:pPr>
        <w:spacing w:line="500" w:lineRule="atLeast"/>
        <w:rPr>
          <w:rFonts w:ascii="宋体" w:hAnsi="宋体"/>
          <w:szCs w:val="21"/>
        </w:rPr>
      </w:pPr>
      <w:r>
        <w:rPr>
          <w:rFonts w:hint="eastAsia" w:ascii="宋体" w:hAnsi="宋体"/>
          <w:szCs w:val="21"/>
        </w:rPr>
        <w:t xml:space="preserve">    12.3投标保证金用于保护本次招标活动免受投标人的行为而引起的风险。</w:t>
      </w:r>
    </w:p>
    <w:p>
      <w:pPr>
        <w:spacing w:line="500" w:lineRule="atLeast"/>
        <w:ind w:firstLine="480"/>
        <w:rPr>
          <w:rFonts w:ascii="宋体" w:hAnsi="宋体"/>
          <w:szCs w:val="21"/>
        </w:rPr>
      </w:pPr>
      <w:r>
        <w:rPr>
          <w:rFonts w:hint="eastAsia" w:ascii="宋体" w:hAnsi="宋体"/>
          <w:szCs w:val="21"/>
        </w:rPr>
        <w:t>12.4投标保证金以汇票、转帐等非现金形式提交。</w:t>
      </w:r>
    </w:p>
    <w:p>
      <w:pPr>
        <w:spacing w:line="500" w:lineRule="atLeast"/>
        <w:ind w:firstLine="480"/>
        <w:rPr>
          <w:rFonts w:ascii="宋体" w:hAnsi="宋体"/>
          <w:szCs w:val="21"/>
        </w:rPr>
      </w:pPr>
      <w:r>
        <w:rPr>
          <w:rFonts w:hint="eastAsia" w:ascii="宋体" w:hAnsi="宋体"/>
          <w:szCs w:val="21"/>
        </w:rPr>
        <w:t>12.5未按规定缴交投标保证金的投标，将被视为无效投标。</w:t>
      </w:r>
      <w:bookmarkStart w:id="28" w:name="_Toc287002952"/>
    </w:p>
    <w:p>
      <w:pPr>
        <w:spacing w:line="500" w:lineRule="atLeast"/>
        <w:ind w:firstLine="480"/>
        <w:rPr>
          <w:rFonts w:ascii="宋体" w:hAnsi="宋体"/>
          <w:szCs w:val="21"/>
        </w:rPr>
      </w:pPr>
      <w:r>
        <w:rPr>
          <w:rFonts w:hint="eastAsia" w:ascii="宋体" w:hAnsi="宋体"/>
          <w:szCs w:val="21"/>
        </w:rPr>
        <w:t>12.6招标代理机构</w:t>
      </w:r>
      <w:r>
        <w:rPr>
          <w:rFonts w:ascii="宋体" w:hAnsi="宋体"/>
          <w:szCs w:val="21"/>
        </w:rPr>
        <w:t>将在</w:t>
      </w:r>
      <w:r>
        <w:rPr>
          <w:rFonts w:hint="eastAsia" w:ascii="宋体" w:hAnsi="宋体"/>
          <w:szCs w:val="21"/>
        </w:rPr>
        <w:t>中标通知书发出之日起五个工作日内予以原额无息退还</w:t>
      </w:r>
      <w:r>
        <w:rPr>
          <w:rFonts w:ascii="宋体" w:hAnsi="宋体"/>
          <w:szCs w:val="21"/>
        </w:rPr>
        <w:t>中标人</w:t>
      </w:r>
      <w:r>
        <w:rPr>
          <w:rFonts w:hint="eastAsia" w:ascii="宋体" w:hAnsi="宋体"/>
          <w:szCs w:val="21"/>
        </w:rPr>
        <w:t>以外</w:t>
      </w:r>
      <w:r>
        <w:rPr>
          <w:rFonts w:ascii="宋体" w:hAnsi="宋体"/>
          <w:szCs w:val="21"/>
        </w:rPr>
        <w:t>的投标人的投标保证金</w:t>
      </w:r>
      <w:r>
        <w:rPr>
          <w:rFonts w:hint="eastAsia" w:ascii="宋体" w:hAnsi="宋体"/>
          <w:szCs w:val="21"/>
        </w:rPr>
        <w:t>。因招标代理机构原因造成逾期退还</w:t>
      </w:r>
      <w:r>
        <w:rPr>
          <w:rFonts w:ascii="宋体" w:hAnsi="宋体"/>
          <w:szCs w:val="21"/>
        </w:rPr>
        <w:t>投标保证金的</w:t>
      </w:r>
      <w:r>
        <w:rPr>
          <w:rFonts w:hint="eastAsia" w:ascii="宋体" w:hAnsi="宋体"/>
          <w:szCs w:val="21"/>
        </w:rPr>
        <w:t>,招标代理机构应当按商业银行同期一年期贷款基准利率上浮20%后的利率向投标人支付资金占用费。</w:t>
      </w:r>
      <w:bookmarkEnd w:id="28"/>
      <w:bookmarkStart w:id="29" w:name="_Toc287002953"/>
    </w:p>
    <w:p>
      <w:pPr>
        <w:spacing w:line="500" w:lineRule="atLeast"/>
        <w:ind w:firstLine="480"/>
        <w:rPr>
          <w:rFonts w:ascii="宋体" w:hAnsi="宋体"/>
          <w:szCs w:val="21"/>
        </w:rPr>
      </w:pPr>
      <w:r>
        <w:rPr>
          <w:rFonts w:hint="eastAsia" w:ascii="宋体" w:hAnsi="宋体"/>
          <w:szCs w:val="21"/>
        </w:rPr>
        <w:t>12.7在中标人支付所有招标服务费并签订合同和支付履约保证金后5个工作日内，</w:t>
      </w:r>
      <w:r>
        <w:rPr>
          <w:rFonts w:ascii="宋体" w:hAnsi="宋体"/>
          <w:szCs w:val="21"/>
        </w:rPr>
        <w:t>中标人的投标保证金</w:t>
      </w:r>
      <w:r>
        <w:rPr>
          <w:rFonts w:hint="eastAsia" w:ascii="宋体" w:hAnsi="宋体"/>
          <w:szCs w:val="21"/>
        </w:rPr>
        <w:t>予以原额无息退还。</w:t>
      </w:r>
      <w:bookmarkEnd w:id="29"/>
    </w:p>
    <w:p>
      <w:pPr>
        <w:spacing w:line="500" w:lineRule="atLeast"/>
        <w:rPr>
          <w:rFonts w:ascii="宋体" w:hAnsi="宋体"/>
          <w:szCs w:val="21"/>
        </w:rPr>
      </w:pPr>
      <w:r>
        <w:rPr>
          <w:rFonts w:hint="eastAsia" w:ascii="宋体" w:hAnsi="宋体"/>
          <w:szCs w:val="21"/>
        </w:rPr>
        <w:t xml:space="preserve">    12.8 投标保证金的有效期与投标有效期一致。</w:t>
      </w:r>
    </w:p>
    <w:p>
      <w:pPr>
        <w:spacing w:line="500" w:lineRule="atLeast"/>
        <w:rPr>
          <w:rFonts w:ascii="宋体" w:hAnsi="宋体"/>
          <w:szCs w:val="21"/>
        </w:rPr>
      </w:pPr>
      <w:r>
        <w:rPr>
          <w:rFonts w:hint="eastAsia" w:ascii="宋体" w:hAnsi="宋体"/>
          <w:szCs w:val="21"/>
        </w:rPr>
        <w:t xml:space="preserve">    12.9 发生以下情况之一的，投标保证金将不予退还：</w:t>
      </w:r>
    </w:p>
    <w:p>
      <w:pPr>
        <w:pStyle w:val="9"/>
        <w:snapToGrid w:val="0"/>
        <w:spacing w:line="500" w:lineRule="atLeast"/>
        <w:ind w:firstLineChars="200"/>
        <w:rPr>
          <w:rFonts w:ascii="宋体" w:hAnsi="宋体"/>
          <w:szCs w:val="21"/>
        </w:rPr>
      </w:pPr>
      <w:r>
        <w:rPr>
          <w:rFonts w:hint="eastAsia" w:ascii="宋体" w:hAnsi="宋体"/>
          <w:szCs w:val="21"/>
        </w:rPr>
        <w:t>⑴投标人在投标截止期后，投标有效期内撤回投标；</w:t>
      </w:r>
    </w:p>
    <w:p>
      <w:pPr>
        <w:spacing w:line="500" w:lineRule="atLeast"/>
        <w:ind w:left="239" w:leftChars="114" w:firstLine="210" w:firstLineChars="100"/>
        <w:rPr>
          <w:rFonts w:ascii="宋体" w:hAnsi="宋体"/>
          <w:szCs w:val="21"/>
        </w:rPr>
      </w:pPr>
      <w:r>
        <w:rPr>
          <w:rFonts w:hint="eastAsia" w:ascii="宋体" w:hAnsi="宋体"/>
          <w:szCs w:val="21"/>
        </w:rPr>
        <w:t>⑵中标人未能做到按本须知第22条规定签订合同；</w:t>
      </w:r>
    </w:p>
    <w:p>
      <w:pPr>
        <w:spacing w:line="500" w:lineRule="atLeast"/>
        <w:ind w:left="678" w:leftChars="228" w:hanging="199" w:hangingChars="95"/>
        <w:rPr>
          <w:rFonts w:ascii="宋体" w:hAnsi="宋体"/>
          <w:szCs w:val="21"/>
        </w:rPr>
      </w:pPr>
      <w:r>
        <w:rPr>
          <w:rFonts w:hint="eastAsia" w:ascii="宋体" w:hAnsi="宋体"/>
          <w:szCs w:val="21"/>
        </w:rPr>
        <w:t>⑶中标人未按投标人须知前附表规定缴纳招标服务费；</w:t>
      </w:r>
    </w:p>
    <w:p>
      <w:pPr>
        <w:spacing w:line="500" w:lineRule="atLeast"/>
        <w:ind w:left="678" w:leftChars="228" w:hanging="199" w:hangingChars="95"/>
        <w:rPr>
          <w:rFonts w:ascii="宋体" w:hAnsi="宋体"/>
          <w:szCs w:val="21"/>
        </w:rPr>
      </w:pPr>
      <w:r>
        <w:rPr>
          <w:rFonts w:hint="eastAsia" w:ascii="宋体" w:hAnsi="宋体"/>
          <w:szCs w:val="21"/>
        </w:rPr>
        <w:t>⑷中标人未按公开招标文件规定提交履约保证金的；</w:t>
      </w:r>
    </w:p>
    <w:p>
      <w:pPr>
        <w:spacing w:line="500" w:lineRule="atLeast"/>
        <w:ind w:firstLine="420" w:firstLineChars="200"/>
        <w:rPr>
          <w:rFonts w:ascii="宋体" w:hAnsi="宋体"/>
          <w:szCs w:val="21"/>
        </w:rPr>
      </w:pPr>
      <w:r>
        <w:rPr>
          <w:rFonts w:hint="eastAsia" w:ascii="宋体" w:hAnsi="宋体"/>
          <w:szCs w:val="21"/>
        </w:rPr>
        <w:t>⑸以他人名义投标或者以其他方式弄虚作假，骗取中标；</w:t>
      </w:r>
    </w:p>
    <w:p>
      <w:pPr>
        <w:spacing w:line="500" w:lineRule="atLeast"/>
        <w:ind w:firstLine="420" w:firstLineChars="200"/>
        <w:rPr>
          <w:rFonts w:ascii="宋体" w:hAnsi="宋体"/>
          <w:szCs w:val="21"/>
        </w:rPr>
      </w:pPr>
      <w:r>
        <w:rPr>
          <w:rFonts w:hint="eastAsia" w:ascii="宋体" w:hAnsi="宋体"/>
          <w:szCs w:val="21"/>
        </w:rPr>
        <w:t>⑹本公开招标文件中规定的其他没收投标保证金的情形。</w:t>
      </w:r>
    </w:p>
    <w:p>
      <w:pPr>
        <w:spacing w:line="500" w:lineRule="atLeast"/>
        <w:ind w:firstLine="420" w:firstLineChars="200"/>
        <w:rPr>
          <w:rFonts w:ascii="宋体" w:hAnsi="宋体"/>
          <w:szCs w:val="21"/>
        </w:rPr>
      </w:pPr>
      <w:r>
        <w:rPr>
          <w:rFonts w:hint="eastAsia" w:ascii="宋体" w:hAnsi="宋体"/>
          <w:szCs w:val="21"/>
        </w:rPr>
        <w:t>上述不予退还投标保证金的情况给招标采购单位造成损失的，还要承担赔偿责任。</w:t>
      </w:r>
    </w:p>
    <w:p>
      <w:pPr>
        <w:spacing w:line="500" w:lineRule="atLeast"/>
        <w:rPr>
          <w:rFonts w:ascii="宋体" w:hAnsi="宋体"/>
          <w:szCs w:val="21"/>
        </w:rPr>
      </w:pPr>
      <w:r>
        <w:rPr>
          <w:rFonts w:hint="eastAsia" w:ascii="宋体" w:hAnsi="宋体"/>
          <w:szCs w:val="21"/>
        </w:rPr>
        <w:t>13</w:t>
      </w:r>
      <w:r>
        <w:rPr>
          <w:rFonts w:ascii="宋体" w:hAnsi="宋体"/>
          <w:szCs w:val="21"/>
        </w:rPr>
        <w:t xml:space="preserve">. </w:t>
      </w:r>
      <w:r>
        <w:rPr>
          <w:rFonts w:hint="eastAsia" w:ascii="宋体" w:hAnsi="宋体"/>
          <w:szCs w:val="21"/>
        </w:rPr>
        <w:t>投标文件的格式</w:t>
      </w:r>
    </w:p>
    <w:p>
      <w:pPr>
        <w:spacing w:line="460" w:lineRule="exact"/>
        <w:ind w:left="424" w:leftChars="202"/>
        <w:rPr>
          <w:rFonts w:ascii="宋体" w:hAnsi="宋体"/>
          <w:b/>
          <w:bCs/>
          <w:szCs w:val="21"/>
        </w:rPr>
      </w:pPr>
      <w:r>
        <w:rPr>
          <w:rFonts w:hint="eastAsia" w:ascii="宋体" w:hAnsi="宋体"/>
          <w:b/>
          <w:bCs/>
          <w:szCs w:val="21"/>
        </w:rPr>
        <w:t>13.1投标文件的编制：详见投标人须知前附表。</w:t>
      </w:r>
    </w:p>
    <w:p>
      <w:pPr>
        <w:spacing w:line="460" w:lineRule="exact"/>
        <w:ind w:firstLine="369" w:firstLineChars="176"/>
        <w:rPr>
          <w:rFonts w:ascii="宋体" w:hAnsi="宋体"/>
          <w:szCs w:val="21"/>
        </w:rPr>
      </w:pPr>
      <w:r>
        <w:rPr>
          <w:rFonts w:hint="eastAsia" w:ascii="宋体" w:hAnsi="宋体"/>
          <w:szCs w:val="21"/>
        </w:rPr>
        <w:t>13.2投标文件应由投标人的法定代表人或者其授权代表签字并加盖公章，如由后者签字，应提供“法定代表人授权委托书”及被授权人身份证复印件。</w:t>
      </w:r>
    </w:p>
    <w:p>
      <w:pPr>
        <w:spacing w:line="460" w:lineRule="exact"/>
        <w:ind w:left="424" w:leftChars="202"/>
        <w:rPr>
          <w:rFonts w:ascii="宋体" w:hAnsi="宋体"/>
          <w:szCs w:val="21"/>
        </w:rPr>
      </w:pPr>
      <w:r>
        <w:rPr>
          <w:rFonts w:hint="eastAsia" w:ascii="宋体" w:hAnsi="宋体"/>
          <w:szCs w:val="21"/>
        </w:rPr>
        <w:t>13.3除非有另外的规定或许可，投标使用货币为人民币。</w:t>
      </w:r>
    </w:p>
    <w:p>
      <w:pPr>
        <w:spacing w:line="500" w:lineRule="atLeast"/>
        <w:ind w:firstLine="420" w:firstLineChars="200"/>
        <w:rPr>
          <w:rFonts w:ascii="宋体" w:hAnsi="宋体"/>
          <w:szCs w:val="21"/>
        </w:rPr>
      </w:pPr>
      <w:r>
        <w:rPr>
          <w:rFonts w:ascii="宋体" w:hAnsi="宋体"/>
          <w:szCs w:val="21"/>
        </w:rPr>
        <w:t>1</w:t>
      </w:r>
      <w:r>
        <w:rPr>
          <w:rFonts w:hint="eastAsia" w:ascii="宋体" w:hAnsi="宋体"/>
          <w:szCs w:val="21"/>
        </w:rPr>
        <w:t>3</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投标文件的正本和全部副本均应使用不能擦去的墨料或墨水打印、书写或复印，并由法定代表人或其授权代表签署，盖投标人公章。</w:t>
      </w:r>
    </w:p>
    <w:p>
      <w:pPr>
        <w:spacing w:line="500" w:lineRule="atLeast"/>
        <w:ind w:firstLine="420" w:firstLineChars="200"/>
        <w:rPr>
          <w:rFonts w:ascii="宋体" w:hAnsi="宋体"/>
          <w:szCs w:val="21"/>
        </w:rPr>
      </w:pPr>
      <w:r>
        <w:rPr>
          <w:rFonts w:ascii="宋体" w:hAnsi="宋体"/>
          <w:szCs w:val="21"/>
        </w:rPr>
        <w:t>1</w:t>
      </w:r>
      <w:r>
        <w:rPr>
          <w:rFonts w:hint="eastAsia" w:ascii="宋体" w:hAnsi="宋体"/>
          <w:szCs w:val="21"/>
        </w:rPr>
        <w:t>3</w:t>
      </w:r>
      <w:r>
        <w:rPr>
          <w:rFonts w:ascii="宋体" w:hAnsi="宋体"/>
          <w:szCs w:val="21"/>
        </w:rPr>
        <w:t>.</w:t>
      </w:r>
      <w:r>
        <w:rPr>
          <w:rFonts w:hint="eastAsia" w:ascii="宋体" w:hAnsi="宋体"/>
          <w:szCs w:val="21"/>
        </w:rPr>
        <w:t>5全套投标文件应无涂改和行间插字，除非这些改动是根据招标代理机构的指示进行的，或者是为改正投标人造成的必须修改的错误而进行的。有改动时，修改处应由授权代表签署证明或加盖校正章。</w:t>
      </w:r>
    </w:p>
    <w:p>
      <w:pPr>
        <w:spacing w:line="500" w:lineRule="atLeast"/>
        <w:ind w:firstLine="420" w:firstLineChars="200"/>
        <w:rPr>
          <w:rFonts w:ascii="宋体" w:hAnsi="宋体"/>
          <w:szCs w:val="21"/>
        </w:rPr>
      </w:pPr>
      <w:r>
        <w:rPr>
          <w:rFonts w:hint="eastAsia" w:ascii="宋体" w:hAnsi="宋体"/>
          <w:szCs w:val="21"/>
        </w:rPr>
        <w:t>13.6未按本须知规定的格式填写投标文件、投标文件字迹模糊不清的，其投标将被拒绝。</w:t>
      </w:r>
    </w:p>
    <w:p>
      <w:pPr>
        <w:spacing w:line="500" w:lineRule="atLeast"/>
        <w:ind w:firstLine="422" w:firstLineChars="200"/>
        <w:rPr>
          <w:rFonts w:ascii="宋体" w:hAnsi="宋体"/>
          <w:b/>
          <w:szCs w:val="21"/>
          <w:shd w:val="pct10" w:color="auto" w:fill="FFFFFF"/>
        </w:rPr>
      </w:pPr>
      <w:r>
        <w:rPr>
          <w:rFonts w:hint="eastAsia" w:ascii="宋体" w:hAnsi="宋体"/>
          <w:b/>
          <w:szCs w:val="21"/>
          <w:shd w:val="pct10" w:color="auto" w:fill="FFFFFF"/>
        </w:rPr>
        <w:t>13.7所有资格证明文件复印件须注明“与原件一致”并加盖投标人公章。</w:t>
      </w:r>
    </w:p>
    <w:p>
      <w:pPr>
        <w:spacing w:after="120" w:afterLines="50" w:line="500" w:lineRule="exact"/>
        <w:ind w:right="641"/>
        <w:jc w:val="center"/>
        <w:outlineLvl w:val="1"/>
        <w:rPr>
          <w:rFonts w:ascii="宋体" w:hAnsi="宋体"/>
          <w:b/>
          <w:szCs w:val="21"/>
        </w:rPr>
      </w:pPr>
      <w:bookmarkStart w:id="30" w:name="_Toc74326516"/>
      <w:bookmarkStart w:id="31" w:name="_Toc74083209"/>
      <w:bookmarkStart w:id="32" w:name="_Toc234"/>
      <w:r>
        <w:rPr>
          <w:rFonts w:hint="eastAsia" w:ascii="宋体" w:hAnsi="宋体"/>
          <w:b/>
          <w:szCs w:val="21"/>
        </w:rPr>
        <w:t>四、投标文件的递交</w:t>
      </w:r>
      <w:bookmarkEnd w:id="30"/>
      <w:bookmarkEnd w:id="31"/>
      <w:bookmarkEnd w:id="32"/>
    </w:p>
    <w:p>
      <w:pPr>
        <w:spacing w:line="500" w:lineRule="atLeast"/>
        <w:rPr>
          <w:rFonts w:ascii="宋体" w:hAnsi="宋体"/>
          <w:b/>
          <w:bCs/>
          <w:szCs w:val="21"/>
          <w:u w:val="single"/>
          <w:shd w:val="pct10" w:color="auto" w:fill="FFFFFF"/>
        </w:rPr>
      </w:pPr>
      <w:r>
        <w:rPr>
          <w:rFonts w:hint="eastAsia" w:ascii="宋体" w:hAnsi="宋体"/>
          <w:b/>
          <w:bCs/>
          <w:szCs w:val="21"/>
          <w:u w:val="single"/>
          <w:shd w:val="pct10" w:color="auto" w:fill="FFFFFF"/>
        </w:rPr>
        <w:t>14、</w:t>
      </w:r>
      <w:r>
        <w:rPr>
          <w:rFonts w:hint="eastAsia" w:ascii="宋体" w:hAnsi="宋体"/>
          <w:b/>
          <w:szCs w:val="21"/>
          <w:u w:val="single"/>
          <w:shd w:val="pct10" w:color="auto" w:fill="FFFFFF"/>
        </w:rPr>
        <w:t>投标文件的密封、标记和递交</w:t>
      </w:r>
    </w:p>
    <w:p>
      <w:pPr>
        <w:spacing w:line="500" w:lineRule="atLeast"/>
        <w:ind w:firstLine="422" w:firstLineChars="200"/>
        <w:rPr>
          <w:rFonts w:ascii="宋体" w:hAnsi="宋体"/>
          <w:b/>
          <w:szCs w:val="21"/>
          <w:u w:val="single"/>
          <w:shd w:val="pct10" w:color="auto" w:fill="FFFFFF"/>
        </w:rPr>
      </w:pPr>
      <w:r>
        <w:rPr>
          <w:rFonts w:hint="eastAsia" w:ascii="宋体" w:hAnsi="宋体"/>
          <w:b/>
          <w:szCs w:val="21"/>
          <w:u w:val="single"/>
          <w:shd w:val="pct10" w:color="auto" w:fill="FFFFFF"/>
        </w:rPr>
        <w:t>14.1投标人应将投标文件的报价部分的正本和全部副本分别用信封密封，并分别标明招标编号、投标人名称、投标项目名称及“报价部分正本”或“报价部分副本”字样。投标文件的技术商务部分密封同报价部分。投标人投标时须提交报价部分正本、报价部分副本、技术商务部分正本、技术商务部分副本至少四个密封袋。</w:t>
      </w:r>
    </w:p>
    <w:p>
      <w:pPr>
        <w:spacing w:line="500" w:lineRule="atLeast"/>
        <w:ind w:firstLine="422" w:firstLineChars="200"/>
        <w:rPr>
          <w:rFonts w:ascii="宋体" w:hAnsi="宋体"/>
          <w:b/>
          <w:szCs w:val="21"/>
          <w:u w:val="single"/>
          <w:shd w:val="pct10" w:color="auto" w:fill="FFFFFF"/>
        </w:rPr>
      </w:pPr>
      <w:r>
        <w:rPr>
          <w:rFonts w:hint="eastAsia" w:ascii="宋体" w:hAnsi="宋体"/>
          <w:b/>
          <w:szCs w:val="21"/>
          <w:u w:val="single"/>
          <w:shd w:val="pct10" w:color="auto" w:fill="FFFFFF"/>
        </w:rPr>
        <w:t>未按此规定密封的投标文件将被拒绝。</w:t>
      </w:r>
    </w:p>
    <w:p>
      <w:pPr>
        <w:spacing w:line="500" w:lineRule="atLeast"/>
        <w:ind w:firstLine="422" w:firstLineChars="200"/>
        <w:rPr>
          <w:rFonts w:ascii="宋体" w:hAnsi="宋体"/>
          <w:b/>
          <w:szCs w:val="21"/>
          <w:u w:val="single"/>
          <w:shd w:val="pct10" w:color="auto" w:fill="FFFFFF"/>
        </w:rPr>
      </w:pPr>
      <w:r>
        <w:rPr>
          <w:rFonts w:hint="eastAsia" w:ascii="宋体" w:hAnsi="宋体"/>
          <w:b/>
          <w:szCs w:val="21"/>
          <w:u w:val="single"/>
          <w:shd w:val="pct10" w:color="auto" w:fill="FFFFFF"/>
        </w:rPr>
        <w:t>14.2 每一信封密封处应注明“于         之前（指招标邀请中规定的开标日期及时间）不准启封”的字样，并加盖投标人公章。</w:t>
      </w:r>
    </w:p>
    <w:p>
      <w:pPr>
        <w:spacing w:line="500" w:lineRule="atLeast"/>
        <w:ind w:firstLine="422" w:firstLineChars="200"/>
        <w:rPr>
          <w:rFonts w:ascii="宋体" w:hAnsi="宋体"/>
          <w:b/>
          <w:szCs w:val="21"/>
          <w:u w:val="single"/>
          <w:shd w:val="pct10" w:color="auto" w:fill="FFFFFF"/>
        </w:rPr>
      </w:pPr>
      <w:r>
        <w:rPr>
          <w:rFonts w:hint="eastAsia" w:ascii="宋体" w:hAnsi="宋体"/>
          <w:b/>
          <w:szCs w:val="21"/>
          <w:u w:val="single"/>
          <w:shd w:val="pct10" w:color="auto" w:fill="FFFFFF"/>
        </w:rPr>
        <w:t>14.3如果未按上述规定进行密封和标记，招标代理机构将不承担由此造成的对投标文件的误投或提前拆封的责任。</w:t>
      </w:r>
    </w:p>
    <w:p>
      <w:pPr>
        <w:spacing w:line="500" w:lineRule="atLeast"/>
        <w:ind w:firstLine="422" w:firstLineChars="200"/>
        <w:rPr>
          <w:rFonts w:ascii="宋体" w:hAnsi="宋体"/>
          <w:b/>
          <w:szCs w:val="21"/>
          <w:u w:val="single"/>
          <w:shd w:val="pct10" w:color="auto" w:fill="FFFFFF"/>
        </w:rPr>
      </w:pPr>
      <w:r>
        <w:rPr>
          <w:rFonts w:hint="eastAsia" w:ascii="宋体" w:hAnsi="宋体"/>
          <w:b/>
          <w:szCs w:val="21"/>
          <w:u w:val="single"/>
          <w:shd w:val="pct10" w:color="auto" w:fill="FFFFFF"/>
        </w:rPr>
        <w:t>14.4投标文件应在投标邀请中规定的截止时间前送达，迟到的投标文件为无效投标文件, 将被拒收。</w:t>
      </w:r>
    </w:p>
    <w:p>
      <w:pPr>
        <w:spacing w:line="500" w:lineRule="atLeast"/>
        <w:ind w:firstLine="422" w:firstLineChars="200"/>
        <w:rPr>
          <w:rFonts w:ascii="宋体" w:hAnsi="宋体"/>
          <w:b/>
          <w:szCs w:val="21"/>
          <w:u w:val="single"/>
          <w:shd w:val="pct10" w:color="auto" w:fill="FFFFFF"/>
        </w:rPr>
      </w:pPr>
      <w:r>
        <w:rPr>
          <w:rFonts w:hint="eastAsia" w:ascii="宋体" w:hAnsi="宋体"/>
          <w:b/>
          <w:szCs w:val="21"/>
          <w:u w:val="single"/>
          <w:shd w:val="pct10" w:color="auto" w:fill="FFFFFF"/>
        </w:rPr>
        <w:t>14.5投标人 在投标截止时间前，可以对所提交的投标文件进行修改或者撤回，并书面通知招标代理机构。修改的内容和撤回通知应当按本须知要求签署、盖章、密封，并作为投标文件的组成部分。</w:t>
      </w:r>
    </w:p>
    <w:p>
      <w:pPr>
        <w:spacing w:line="500" w:lineRule="atLeast"/>
        <w:ind w:firstLine="422" w:firstLineChars="200"/>
        <w:rPr>
          <w:rFonts w:ascii="宋体" w:hAnsi="宋体"/>
          <w:b/>
          <w:szCs w:val="21"/>
          <w:u w:val="single"/>
          <w:shd w:val="pct10" w:color="auto" w:fill="FFFFFF"/>
        </w:rPr>
      </w:pPr>
      <w:r>
        <w:rPr>
          <w:rFonts w:hint="eastAsia" w:ascii="宋体" w:hAnsi="宋体"/>
          <w:b/>
          <w:szCs w:val="21"/>
          <w:u w:val="single"/>
          <w:shd w:val="pct10" w:color="auto" w:fill="FFFFFF"/>
        </w:rPr>
        <w:t>14.6投标人在投标截止期后不得修改、撤回投标文件。投标人 在投标截止期后修改投标文件的，其投标被拒绝。</w:t>
      </w:r>
    </w:p>
    <w:p>
      <w:pPr>
        <w:spacing w:line="500" w:lineRule="atLeast"/>
        <w:ind w:firstLine="422" w:firstLineChars="200"/>
        <w:rPr>
          <w:rFonts w:ascii="宋体" w:hAnsi="宋体"/>
          <w:b/>
          <w:szCs w:val="21"/>
          <w:u w:val="single"/>
          <w:shd w:val="pct10" w:color="auto" w:fill="FFFFFF"/>
        </w:rPr>
      </w:pPr>
      <w:r>
        <w:rPr>
          <w:rFonts w:hint="eastAsia" w:ascii="宋体" w:hAnsi="宋体"/>
          <w:b/>
          <w:szCs w:val="21"/>
          <w:u w:val="single"/>
          <w:shd w:val="pct10" w:color="auto" w:fill="FFFFFF"/>
        </w:rPr>
        <w:t>14.7投标截止时间结束后参加投标的投标人 ，本项目不足三家的，本次招标程序终止，除采购任务取消情形外，招标采购单位将依法重新组织采购。</w:t>
      </w:r>
    </w:p>
    <w:p>
      <w:pPr>
        <w:spacing w:line="500" w:lineRule="atLeast"/>
        <w:ind w:firstLine="420" w:firstLineChars="200"/>
        <w:rPr>
          <w:rFonts w:ascii="宋体" w:hAnsi="宋体"/>
          <w:szCs w:val="21"/>
        </w:rPr>
      </w:pPr>
    </w:p>
    <w:p>
      <w:pPr>
        <w:spacing w:after="120" w:afterLines="50" w:line="500" w:lineRule="exact"/>
        <w:ind w:right="641"/>
        <w:jc w:val="center"/>
        <w:outlineLvl w:val="1"/>
        <w:rPr>
          <w:rFonts w:ascii="宋体" w:hAnsi="宋体"/>
          <w:b/>
          <w:szCs w:val="21"/>
        </w:rPr>
      </w:pPr>
      <w:bookmarkStart w:id="33" w:name="_Toc13296"/>
      <w:bookmarkStart w:id="34" w:name="_Toc74083210"/>
      <w:bookmarkStart w:id="35" w:name="_Toc74326517"/>
      <w:r>
        <w:rPr>
          <w:rFonts w:hint="eastAsia" w:ascii="宋体" w:hAnsi="宋体"/>
          <w:b/>
          <w:szCs w:val="21"/>
        </w:rPr>
        <w:t>五、投标文件的评估和比较</w:t>
      </w:r>
      <w:bookmarkEnd w:id="33"/>
      <w:bookmarkEnd w:id="34"/>
      <w:bookmarkEnd w:id="35"/>
    </w:p>
    <w:p>
      <w:pPr>
        <w:spacing w:line="500" w:lineRule="atLeast"/>
        <w:rPr>
          <w:rFonts w:ascii="宋体" w:hAnsi="宋体"/>
          <w:szCs w:val="21"/>
        </w:rPr>
      </w:pPr>
      <w:r>
        <w:rPr>
          <w:rFonts w:hint="eastAsia" w:ascii="宋体" w:hAnsi="宋体"/>
          <w:szCs w:val="21"/>
        </w:rPr>
        <w:t>15、开标</w:t>
      </w:r>
    </w:p>
    <w:p>
      <w:pPr>
        <w:spacing w:line="500" w:lineRule="atLeast"/>
        <w:ind w:firstLine="420" w:firstLineChars="200"/>
        <w:rPr>
          <w:rFonts w:ascii="宋体" w:hAnsi="宋体"/>
          <w:szCs w:val="21"/>
        </w:rPr>
      </w:pPr>
      <w:r>
        <w:rPr>
          <w:rFonts w:hint="eastAsia" w:ascii="宋体" w:hAnsi="宋体"/>
          <w:szCs w:val="21"/>
        </w:rPr>
        <w:t>15.1在投标人须知前附表中所规定的时间、地点开标。</w:t>
      </w:r>
    </w:p>
    <w:p>
      <w:pPr>
        <w:spacing w:line="500" w:lineRule="atLeast"/>
        <w:ind w:firstLine="420" w:firstLineChars="200"/>
        <w:rPr>
          <w:rFonts w:ascii="宋体" w:hAnsi="宋体"/>
          <w:szCs w:val="21"/>
        </w:rPr>
      </w:pPr>
      <w:r>
        <w:rPr>
          <w:rFonts w:hint="eastAsia" w:ascii="宋体" w:hAnsi="宋体"/>
          <w:szCs w:val="21"/>
        </w:rPr>
        <w:t>15.2开标会由招标代理机构主持，招标人、投标人和有关监督部门可以派出人员参加。</w:t>
      </w:r>
    </w:p>
    <w:p>
      <w:pPr>
        <w:spacing w:line="500" w:lineRule="atLeast"/>
        <w:ind w:firstLine="420" w:firstLineChars="200"/>
        <w:rPr>
          <w:rFonts w:ascii="宋体" w:hAnsi="宋体"/>
          <w:szCs w:val="21"/>
        </w:rPr>
      </w:pPr>
      <w:r>
        <w:rPr>
          <w:rFonts w:hint="eastAsia" w:ascii="宋体" w:hAnsi="宋体"/>
          <w:szCs w:val="21"/>
        </w:rPr>
        <w:t>15.3开标时，在本次招标监督人员的见证下，投标人代表检查投标文件的密封情况，招标代理机构对符合密封要求的投标文件按照相应顺序当场逐一拆封，开标会唱标人宣唱各投标人的投标，唱标内容为开标一览表中的内容或招标代理机构认为需要宣唱的内容，开标会记录人对唱标内容作开标记录。</w:t>
      </w:r>
    </w:p>
    <w:p>
      <w:pPr>
        <w:spacing w:line="500" w:lineRule="atLeast"/>
        <w:ind w:firstLine="420" w:firstLineChars="200"/>
        <w:rPr>
          <w:rFonts w:ascii="宋体" w:hAnsi="宋体"/>
          <w:szCs w:val="21"/>
        </w:rPr>
      </w:pPr>
      <w:r>
        <w:rPr>
          <w:rFonts w:hint="eastAsia" w:ascii="宋体" w:hAnsi="宋体"/>
          <w:szCs w:val="21"/>
        </w:rPr>
        <w:t>15.4投标人未派出人员参加开标会的，其唱标内容由招标代理机构记录后，按“投标人无确认”处理(即：投标人不得在开标会后以“文件密封、标记和递交，投标报价、开标记录”等方面的事由向招标代理机构提出任何异议或要求)。</w:t>
      </w:r>
    </w:p>
    <w:p>
      <w:pPr>
        <w:spacing w:line="500" w:lineRule="atLeast"/>
        <w:ind w:firstLine="420" w:firstLineChars="200"/>
        <w:rPr>
          <w:rFonts w:ascii="宋体" w:hAnsi="宋体"/>
          <w:szCs w:val="21"/>
        </w:rPr>
      </w:pPr>
      <w:r>
        <w:rPr>
          <w:rFonts w:hint="eastAsia" w:ascii="宋体" w:hAnsi="宋体"/>
          <w:szCs w:val="21"/>
        </w:rPr>
        <w:t>15.5参加开标会的投标人代表须遵守开标时规定，并听从招标代理机构的指示，否则，招标代理机构可以拒绝其参加开标会且不允许其对开标记录进行签字确认，并按“投标人无确认”处理。</w:t>
      </w:r>
    </w:p>
    <w:p>
      <w:pPr>
        <w:spacing w:line="500" w:lineRule="atLeast"/>
        <w:ind w:firstLine="420" w:firstLineChars="200"/>
        <w:rPr>
          <w:rFonts w:ascii="宋体" w:hAnsi="宋体"/>
          <w:szCs w:val="21"/>
        </w:rPr>
      </w:pPr>
      <w:r>
        <w:rPr>
          <w:rFonts w:hint="eastAsia" w:ascii="宋体" w:hAnsi="宋体"/>
          <w:szCs w:val="21"/>
        </w:rPr>
        <w:t>15.6唱标结束后，投标人代表须持本人身份证对开标记录进行签字确认，投标人代表的签字确认即表明投标人对开标过程及开标记录予以认可，投标人不得在开标会后以“文件密封、标记和递交、投标报价、开标记录”等方面的事由向招标代理机构提出任何异议或要求。</w:t>
      </w:r>
    </w:p>
    <w:p>
      <w:pPr>
        <w:spacing w:line="500" w:lineRule="atLeast"/>
        <w:ind w:firstLine="420" w:firstLineChars="200"/>
        <w:rPr>
          <w:rFonts w:ascii="宋体" w:hAnsi="宋体"/>
          <w:szCs w:val="21"/>
        </w:rPr>
      </w:pPr>
      <w:r>
        <w:rPr>
          <w:rFonts w:hint="eastAsia" w:ascii="宋体" w:hAnsi="宋体"/>
          <w:szCs w:val="21"/>
        </w:rPr>
        <w:t>15.7投标人代表对开标过程及开标记录若有异议，须按规定以书面形式当场向开标会主持人提出，否则，视为其对开标过程及开标记录予以认可，投标人不得在开标会后以“文件密封、标记和递交，投标报价、开标记录”等方面的事由向招标代理机构提出任何异议或要求。</w:t>
      </w:r>
    </w:p>
    <w:p>
      <w:pPr>
        <w:spacing w:line="500" w:lineRule="atLeast"/>
        <w:ind w:firstLine="420" w:firstLineChars="200"/>
        <w:rPr>
          <w:rFonts w:ascii="宋体" w:hAnsi="宋体"/>
          <w:szCs w:val="21"/>
        </w:rPr>
      </w:pPr>
      <w:r>
        <w:rPr>
          <w:rFonts w:hint="eastAsia" w:ascii="宋体" w:hAnsi="宋体"/>
          <w:szCs w:val="21"/>
        </w:rPr>
        <w:t>15.8投标人派出人员为非投标人代表的，则不允许其对开标记录进行签字确认，并按“投标人无确认”处理。</w:t>
      </w:r>
    </w:p>
    <w:p>
      <w:pPr>
        <w:spacing w:line="460" w:lineRule="exact"/>
        <w:outlineLvl w:val="2"/>
        <w:rPr>
          <w:rFonts w:ascii="宋体" w:hAnsi="宋体" w:cs="宋体"/>
          <w:szCs w:val="21"/>
        </w:rPr>
      </w:pPr>
      <w:bookmarkStart w:id="36" w:name="_Toc74326518"/>
      <w:bookmarkStart w:id="37" w:name="_Toc74083211"/>
      <w:bookmarkStart w:id="38" w:name="_Toc19539"/>
      <w:bookmarkStart w:id="39" w:name="_Toc27619"/>
      <w:r>
        <w:rPr>
          <w:rFonts w:ascii="宋体" w:hAnsi="宋体" w:cs="宋体"/>
          <w:szCs w:val="21"/>
        </w:rPr>
        <w:t>16</w:t>
      </w:r>
      <w:r>
        <w:rPr>
          <w:rFonts w:hint="eastAsia" w:ascii="宋体" w:hAnsi="宋体" w:cs="宋体"/>
          <w:szCs w:val="21"/>
        </w:rPr>
        <w:t>.资格审查</w:t>
      </w:r>
      <w:bookmarkEnd w:id="36"/>
      <w:bookmarkEnd w:id="37"/>
      <w:bookmarkEnd w:id="38"/>
    </w:p>
    <w:p>
      <w:pPr>
        <w:spacing w:line="460" w:lineRule="exact"/>
        <w:ind w:firstLine="420" w:firstLineChars="200"/>
        <w:rPr>
          <w:rFonts w:ascii="宋体" w:hAnsi="宋体" w:cs="宋体"/>
          <w:szCs w:val="21"/>
        </w:rPr>
      </w:pPr>
      <w:r>
        <w:rPr>
          <w:rFonts w:hint="eastAsia" w:ascii="宋体" w:hAnsi="宋体" w:cs="宋体"/>
          <w:szCs w:val="21"/>
        </w:rPr>
        <w:t>16.1开标结束后，福建优胜招标项目管理集团有限公司负责资格审查小组的组建及资格审查工作的组织。</w:t>
      </w:r>
    </w:p>
    <w:p>
      <w:pPr>
        <w:spacing w:line="460" w:lineRule="exact"/>
        <w:ind w:firstLine="420" w:firstLineChars="200"/>
        <w:rPr>
          <w:rFonts w:ascii="宋体" w:hAnsi="宋体" w:cs="宋体"/>
          <w:szCs w:val="21"/>
        </w:rPr>
      </w:pPr>
      <w:r>
        <w:rPr>
          <w:rFonts w:hint="eastAsia" w:ascii="宋体" w:hAnsi="宋体" w:cs="宋体"/>
          <w:szCs w:val="21"/>
        </w:rPr>
        <w:t>16.1.1资格审查小组由</w:t>
      </w:r>
      <w:r>
        <w:rPr>
          <w:rFonts w:ascii="宋体" w:hAnsi="宋体" w:cs="宋体"/>
          <w:szCs w:val="21"/>
        </w:rPr>
        <w:t>3</w:t>
      </w:r>
      <w:r>
        <w:rPr>
          <w:rFonts w:hint="eastAsia" w:ascii="宋体" w:hAnsi="宋体" w:cs="宋体"/>
          <w:szCs w:val="21"/>
        </w:rPr>
        <w:t>人组成，并负责具体审查事务，其中：由招标人派出的招标人代表至少1人，由福建优胜招标项目管理集团有限公司派出的工作人员至少1人，其余1人可为招标人代表或福建优胜招标项目管理集团有限公司的工作人员。</w:t>
      </w:r>
    </w:p>
    <w:p>
      <w:pPr>
        <w:spacing w:line="460" w:lineRule="exact"/>
        <w:ind w:firstLine="420" w:firstLineChars="200"/>
        <w:rPr>
          <w:rFonts w:ascii="宋体" w:hAnsi="宋体" w:cs="宋体"/>
          <w:szCs w:val="21"/>
        </w:rPr>
      </w:pPr>
      <w:r>
        <w:rPr>
          <w:rFonts w:hint="eastAsia" w:ascii="宋体" w:hAnsi="宋体" w:cs="宋体"/>
          <w:szCs w:val="21"/>
        </w:rPr>
        <w:t>16.1.2资格审查的依据是招标文件和投标文件。</w:t>
      </w:r>
    </w:p>
    <w:p>
      <w:pPr>
        <w:spacing w:line="460" w:lineRule="exact"/>
        <w:ind w:firstLine="420" w:firstLineChars="200"/>
        <w:rPr>
          <w:rFonts w:ascii="宋体" w:hAnsi="宋体" w:cs="宋体"/>
          <w:szCs w:val="21"/>
        </w:rPr>
      </w:pPr>
      <w:r>
        <w:rPr>
          <w:rFonts w:hint="eastAsia" w:ascii="宋体" w:hAnsi="宋体" w:cs="宋体"/>
          <w:szCs w:val="21"/>
        </w:rPr>
        <w:t>16.1.3资格审查的范围及内容：投标文件（资格及资信证明部分），按照投标人须知前附表第2项规定进行资格审查（投标人对参加采购活动近三年内在经营活动中没有重大违法记录书面声明未包含投标人、法定代表人、投标人代表的（若法人投标无须投标人代表）,视为资格性审查不符合,投标无效。）。</w:t>
      </w:r>
    </w:p>
    <w:p>
      <w:pPr>
        <w:spacing w:line="460" w:lineRule="exact"/>
        <w:ind w:firstLine="420" w:firstLineChars="200"/>
        <w:rPr>
          <w:rFonts w:ascii="宋体" w:hAnsi="宋体" w:cs="宋体"/>
          <w:szCs w:val="21"/>
        </w:rPr>
      </w:pPr>
      <w:r>
        <w:rPr>
          <w:rFonts w:hint="eastAsia" w:ascii="宋体" w:hAnsi="宋体" w:cs="宋体"/>
          <w:szCs w:val="21"/>
        </w:rPr>
        <w:t>16.2资格审查情况不得私自外泄，有关信息由福建优胜招标项目管理集团有限公司统一对外发布。</w:t>
      </w:r>
    </w:p>
    <w:p>
      <w:pPr>
        <w:spacing w:line="460" w:lineRule="exact"/>
        <w:ind w:firstLine="420" w:firstLineChars="200"/>
        <w:rPr>
          <w:rFonts w:ascii="宋体" w:hAnsi="宋体"/>
          <w:szCs w:val="21"/>
        </w:rPr>
      </w:pPr>
      <w:r>
        <w:rPr>
          <w:rFonts w:hint="eastAsia" w:ascii="宋体" w:hAnsi="宋体" w:cs="宋体"/>
          <w:szCs w:val="21"/>
        </w:rPr>
        <w:t>16.3资格审查合格的投标人不足三家的，不进行评标。同时，本次采购活动结束，福建优胜招标项目管理集团有限公司将依法组织后续采购活动（包括但不限于：重新招标、采用其他方式采购等）。</w:t>
      </w:r>
    </w:p>
    <w:p>
      <w:pPr>
        <w:tabs>
          <w:tab w:val="left" w:pos="3330"/>
        </w:tabs>
        <w:spacing w:line="460" w:lineRule="exact"/>
        <w:rPr>
          <w:rFonts w:ascii="宋体" w:hAnsi="宋体"/>
          <w:szCs w:val="21"/>
        </w:rPr>
      </w:pPr>
      <w:r>
        <w:rPr>
          <w:rFonts w:hint="eastAsia" w:ascii="宋体" w:hAnsi="宋体"/>
          <w:szCs w:val="21"/>
        </w:rPr>
        <w:t>17、评标委员会</w:t>
      </w:r>
    </w:p>
    <w:p>
      <w:pPr>
        <w:spacing w:line="460" w:lineRule="exact"/>
        <w:ind w:firstLine="210" w:firstLineChars="100"/>
        <w:rPr>
          <w:rFonts w:ascii="宋体" w:hAnsi="宋体" w:cs="宋体"/>
          <w:szCs w:val="21"/>
        </w:rPr>
      </w:pPr>
      <w:r>
        <w:rPr>
          <w:rFonts w:hint="eastAsia" w:ascii="宋体" w:hAnsi="宋体"/>
          <w:szCs w:val="21"/>
        </w:rPr>
        <w:t xml:space="preserve"> </w:t>
      </w:r>
      <w:r>
        <w:rPr>
          <w:rFonts w:ascii="宋体" w:hAnsi="宋体" w:cs="宋体"/>
          <w:szCs w:val="21"/>
        </w:rPr>
        <w:t xml:space="preserve">  1</w:t>
      </w:r>
      <w:r>
        <w:rPr>
          <w:rFonts w:hint="eastAsia" w:ascii="宋体" w:hAnsi="宋体" w:cs="宋体"/>
          <w:szCs w:val="21"/>
        </w:rPr>
        <w:t>7</w:t>
      </w:r>
      <w:r>
        <w:rPr>
          <w:rFonts w:ascii="宋体" w:hAnsi="宋体" w:cs="宋体"/>
          <w:szCs w:val="21"/>
        </w:rPr>
        <w:t>.1</w:t>
      </w:r>
      <w:r>
        <w:rPr>
          <w:rFonts w:hint="eastAsia" w:ascii="宋体" w:hAnsi="宋体" w:cs="宋体"/>
          <w:szCs w:val="21"/>
        </w:rPr>
        <w:t>福建优胜招标项目管理集团有限公司根据招标货物（服务）的特点依法组建评标委员会。评标委员会由技术、经济、法律方面的专家和招标人代表组成。成员为5人（含）以上单数组成，专家不能少于三分之二、在开标后的适当时间里由评标委员会对投标文件进行审查、质疑、评估和比较，并做出授予合同的建议。</w:t>
      </w:r>
    </w:p>
    <w:p>
      <w:pPr>
        <w:spacing w:line="46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7</w:t>
      </w:r>
      <w:r>
        <w:rPr>
          <w:rFonts w:ascii="宋体" w:hAnsi="宋体" w:cs="宋体"/>
          <w:szCs w:val="21"/>
        </w:rPr>
        <w:t xml:space="preserve">.2 </w:t>
      </w:r>
      <w:r>
        <w:rPr>
          <w:rFonts w:hint="eastAsia" w:ascii="宋体" w:hAnsi="宋体" w:cs="宋体"/>
          <w:szCs w:val="21"/>
        </w:rPr>
        <w:t>评标委员会成员有下列情形之一的，应当回避：</w:t>
      </w:r>
    </w:p>
    <w:p>
      <w:pPr>
        <w:spacing w:line="460" w:lineRule="exact"/>
        <w:ind w:firstLine="420" w:firstLineChars="200"/>
        <w:rPr>
          <w:rFonts w:ascii="宋体" w:hAnsi="宋体" w:cs="宋体"/>
          <w:szCs w:val="21"/>
        </w:rPr>
      </w:pPr>
      <w:r>
        <w:rPr>
          <w:rFonts w:hint="eastAsia" w:ascii="宋体" w:hAnsi="宋体" w:cs="宋体"/>
          <w:szCs w:val="21"/>
        </w:rPr>
        <w:t>（1）现在或者在采购活动发生前三年内，与投标人存在雇佣关系；</w:t>
      </w:r>
    </w:p>
    <w:p>
      <w:pPr>
        <w:spacing w:line="460" w:lineRule="exact"/>
        <w:ind w:firstLine="420" w:firstLineChars="200"/>
        <w:rPr>
          <w:rFonts w:ascii="宋体" w:hAnsi="宋体" w:cs="宋体"/>
          <w:szCs w:val="21"/>
        </w:rPr>
      </w:pPr>
      <w:r>
        <w:rPr>
          <w:rFonts w:hint="eastAsia" w:ascii="宋体" w:hAnsi="宋体" w:cs="宋体"/>
          <w:szCs w:val="21"/>
        </w:rPr>
        <w:t>（2）现在或者在采购活动发生前三年内担任投标人的财务顾问、法律顾问或技术顾问；</w:t>
      </w:r>
    </w:p>
    <w:p>
      <w:pPr>
        <w:spacing w:line="460" w:lineRule="exact"/>
        <w:ind w:firstLine="420" w:firstLineChars="200"/>
        <w:rPr>
          <w:rFonts w:ascii="宋体" w:hAnsi="宋体" w:cs="宋体"/>
          <w:szCs w:val="21"/>
        </w:rPr>
      </w:pPr>
      <w:r>
        <w:rPr>
          <w:rFonts w:hint="eastAsia" w:ascii="宋体" w:hAnsi="宋体" w:cs="宋体"/>
          <w:szCs w:val="21"/>
        </w:rPr>
        <w:t>（3）现在或者在采购活动发生前三年内是投标人的控股股东或者实际控制人；</w:t>
      </w:r>
    </w:p>
    <w:p>
      <w:pPr>
        <w:spacing w:line="460" w:lineRule="exact"/>
        <w:ind w:firstLine="420" w:firstLineChars="200"/>
        <w:rPr>
          <w:rFonts w:ascii="宋体" w:hAnsi="宋体" w:cs="宋体"/>
          <w:szCs w:val="21"/>
        </w:rPr>
      </w:pPr>
      <w:r>
        <w:rPr>
          <w:rFonts w:hint="eastAsia" w:ascii="宋体" w:hAnsi="宋体" w:cs="宋体"/>
          <w:szCs w:val="21"/>
        </w:rPr>
        <w:t>（4）与投标人的法定代表人或者负责人是直系血亲、三代以内旁系血亲及姻亲关系；</w:t>
      </w:r>
    </w:p>
    <w:p>
      <w:pPr>
        <w:spacing w:line="460" w:lineRule="exact"/>
        <w:ind w:firstLine="420" w:firstLineChars="200"/>
        <w:rPr>
          <w:rFonts w:ascii="宋体" w:hAnsi="宋体" w:cs="宋体"/>
          <w:szCs w:val="21"/>
        </w:rPr>
      </w:pPr>
      <w:r>
        <w:rPr>
          <w:rFonts w:hint="eastAsia" w:ascii="宋体" w:hAnsi="宋体" w:cs="宋体"/>
          <w:szCs w:val="21"/>
        </w:rPr>
        <w:t>（5）与投标人之间存在其他影响或可能影响采购活动依法进行的利害关系。</w:t>
      </w:r>
    </w:p>
    <w:p>
      <w:pPr>
        <w:spacing w:line="460" w:lineRule="exact"/>
        <w:ind w:firstLine="420" w:firstLineChars="200"/>
        <w:rPr>
          <w:rFonts w:ascii="宋体" w:hAnsi="宋体" w:cs="宋体"/>
          <w:szCs w:val="21"/>
        </w:rPr>
      </w:pPr>
      <w:r>
        <w:rPr>
          <w:rFonts w:hint="eastAsia" w:ascii="宋体" w:hAnsi="宋体" w:cs="宋体"/>
          <w:szCs w:val="21"/>
        </w:rPr>
        <w:t>17.3评标委员会负责具体评标事务，并按照下列原则依法独立履行有关职责：</w:t>
      </w:r>
    </w:p>
    <w:p>
      <w:pPr>
        <w:spacing w:line="460" w:lineRule="exact"/>
        <w:ind w:firstLine="420" w:firstLineChars="200"/>
        <w:rPr>
          <w:rFonts w:ascii="宋体" w:hAnsi="宋体" w:cs="宋体"/>
          <w:szCs w:val="21"/>
        </w:rPr>
      </w:pPr>
      <w:r>
        <w:rPr>
          <w:rFonts w:hint="eastAsia" w:ascii="宋体" w:hAnsi="宋体" w:cs="宋体"/>
          <w:szCs w:val="21"/>
        </w:rPr>
        <w:t>（1）评标应保护国家利益、社会公共利益和各方当事人合法权益，提高采购效益，保证项目质量。</w:t>
      </w:r>
    </w:p>
    <w:p>
      <w:pPr>
        <w:spacing w:line="460" w:lineRule="exact"/>
        <w:ind w:firstLine="420" w:firstLineChars="200"/>
        <w:rPr>
          <w:rFonts w:ascii="宋体" w:hAnsi="宋体" w:cs="宋体"/>
          <w:szCs w:val="21"/>
        </w:rPr>
      </w:pPr>
      <w:r>
        <w:rPr>
          <w:rFonts w:hint="eastAsia" w:ascii="宋体" w:hAnsi="宋体" w:cs="宋体"/>
          <w:szCs w:val="21"/>
        </w:rPr>
        <w:t>（2）评标应遵循公平、公正、科学、严谨和择优原则。</w:t>
      </w:r>
    </w:p>
    <w:p>
      <w:pPr>
        <w:spacing w:line="460" w:lineRule="exact"/>
        <w:ind w:firstLine="420" w:firstLineChars="200"/>
        <w:rPr>
          <w:rFonts w:ascii="宋体" w:hAnsi="宋体" w:cs="宋体"/>
          <w:szCs w:val="21"/>
        </w:rPr>
      </w:pPr>
      <w:r>
        <w:rPr>
          <w:rFonts w:hint="eastAsia" w:ascii="宋体" w:hAnsi="宋体" w:cs="宋体"/>
          <w:szCs w:val="21"/>
        </w:rPr>
        <w:t>（3）评标的依据是招标文件和投标文件。</w:t>
      </w:r>
    </w:p>
    <w:p>
      <w:pPr>
        <w:spacing w:line="460" w:lineRule="exact"/>
        <w:ind w:firstLine="420" w:firstLineChars="200"/>
        <w:rPr>
          <w:rFonts w:ascii="宋体" w:hAnsi="宋体" w:cs="宋体"/>
          <w:szCs w:val="21"/>
        </w:rPr>
      </w:pPr>
      <w:r>
        <w:rPr>
          <w:rFonts w:hint="eastAsia" w:ascii="宋体" w:hAnsi="宋体" w:cs="宋体"/>
          <w:szCs w:val="21"/>
        </w:rPr>
        <w:t>（4）应按照招标文件规定推荐中标候选人或确定中标人。</w:t>
      </w:r>
    </w:p>
    <w:p>
      <w:pPr>
        <w:spacing w:line="460" w:lineRule="exact"/>
        <w:ind w:firstLine="420" w:firstLineChars="200"/>
        <w:rPr>
          <w:rFonts w:ascii="宋体" w:hAnsi="宋体" w:cs="宋体"/>
          <w:szCs w:val="21"/>
        </w:rPr>
      </w:pPr>
      <w:r>
        <w:rPr>
          <w:rFonts w:hint="eastAsia" w:ascii="宋体" w:hAnsi="宋体" w:cs="宋体"/>
          <w:szCs w:val="21"/>
        </w:rPr>
        <w:t>（5）评标应遵守下列评标纪律：</w:t>
      </w:r>
    </w:p>
    <w:p>
      <w:pPr>
        <w:spacing w:line="460" w:lineRule="exact"/>
        <w:ind w:firstLine="420" w:firstLineChars="200"/>
        <w:rPr>
          <w:rFonts w:ascii="宋体" w:hAnsi="宋体" w:cs="宋体"/>
          <w:szCs w:val="21"/>
        </w:rPr>
      </w:pPr>
      <w:r>
        <w:rPr>
          <w:rFonts w:hint="eastAsia" w:ascii="宋体" w:hAnsi="宋体" w:cs="宋体"/>
          <w:szCs w:val="21"/>
        </w:rPr>
        <w:t>①评标情况不得私自外泄，有关信息由福建优胜招标项目管理集团有限公司统一对外发布。</w:t>
      </w:r>
    </w:p>
    <w:p>
      <w:pPr>
        <w:spacing w:line="460" w:lineRule="exact"/>
        <w:ind w:firstLine="420" w:firstLineChars="200"/>
        <w:rPr>
          <w:rFonts w:ascii="宋体" w:hAnsi="宋体" w:cs="宋体"/>
          <w:szCs w:val="21"/>
        </w:rPr>
      </w:pPr>
      <w:r>
        <w:rPr>
          <w:rFonts w:hint="eastAsia" w:ascii="宋体" w:hAnsi="宋体" w:cs="宋体"/>
          <w:szCs w:val="21"/>
        </w:rPr>
        <w:t>②对福建优胜招标项目管理集团有限公司或投标人提供的要求保密的资料，不得摘记翻印和外传。</w:t>
      </w:r>
    </w:p>
    <w:p>
      <w:pPr>
        <w:spacing w:line="460" w:lineRule="exact"/>
        <w:ind w:firstLine="420" w:firstLineChars="200"/>
        <w:rPr>
          <w:rFonts w:ascii="宋体" w:hAnsi="宋体" w:cs="宋体"/>
          <w:szCs w:val="21"/>
        </w:rPr>
      </w:pPr>
      <w:r>
        <w:rPr>
          <w:rFonts w:hint="eastAsia" w:ascii="宋体" w:hAnsi="宋体" w:cs="宋体"/>
          <w:szCs w:val="21"/>
        </w:rPr>
        <w:t>③不得收受投标人或有关人员的任何礼物，不得串联鼓动其他人袒护某投标人。若与投标人存在利害关系，则应主动声明并回避。</w:t>
      </w:r>
    </w:p>
    <w:p>
      <w:pPr>
        <w:spacing w:line="460" w:lineRule="exact"/>
        <w:ind w:firstLine="420" w:firstLineChars="200"/>
        <w:rPr>
          <w:rFonts w:ascii="宋体" w:hAnsi="宋体" w:cs="宋体"/>
          <w:szCs w:val="21"/>
        </w:rPr>
      </w:pPr>
      <w:r>
        <w:rPr>
          <w:rFonts w:hint="eastAsia" w:ascii="宋体" w:hAnsi="宋体" w:cs="宋体"/>
          <w:szCs w:val="21"/>
        </w:rPr>
        <w:t>④全体评委应按照招标文件规定进行评标，一切认定事项应查有实据且不得弄虚作假。</w:t>
      </w:r>
    </w:p>
    <w:p>
      <w:pPr>
        <w:spacing w:line="460" w:lineRule="exact"/>
        <w:ind w:firstLine="420" w:firstLineChars="200"/>
        <w:rPr>
          <w:rFonts w:ascii="宋体" w:hAnsi="宋体" w:cs="宋体"/>
          <w:szCs w:val="21"/>
        </w:rPr>
      </w:pPr>
      <w:r>
        <w:rPr>
          <w:rFonts w:hint="eastAsia" w:ascii="宋体" w:hAnsi="宋体" w:cs="宋体"/>
          <w:szCs w:val="21"/>
        </w:rPr>
        <w:t>⑤评标中应充分发扬民主，推荐中标候选人或确定中标人后要服从评标报告。</w:t>
      </w:r>
    </w:p>
    <w:p>
      <w:pPr>
        <w:spacing w:line="460" w:lineRule="exact"/>
        <w:ind w:firstLine="211" w:firstLineChars="100"/>
        <w:rPr>
          <w:rFonts w:ascii="宋体" w:hAnsi="宋体"/>
          <w:szCs w:val="21"/>
        </w:rPr>
      </w:pPr>
      <w:r>
        <w:rPr>
          <w:rStyle w:val="39"/>
          <w:rFonts w:hint="eastAsia" w:ascii="宋体" w:hAnsi="宋体"/>
          <w:szCs w:val="21"/>
        </w:rPr>
        <w:t>※对违反评标纪律的评委，将取消其评委资格，对评标工作造成严重损失者将予以通报批评乃至追究法律责任。</w:t>
      </w:r>
    </w:p>
    <w:p>
      <w:pPr>
        <w:spacing w:line="460" w:lineRule="exact"/>
        <w:outlineLvl w:val="2"/>
        <w:rPr>
          <w:rFonts w:ascii="宋体" w:hAnsi="宋体"/>
          <w:szCs w:val="21"/>
        </w:rPr>
      </w:pPr>
      <w:bookmarkStart w:id="40" w:name="_Toc14203"/>
      <w:bookmarkStart w:id="41" w:name="_Toc74083212"/>
      <w:bookmarkStart w:id="42" w:name="_Toc74326519"/>
      <w:r>
        <w:rPr>
          <w:rFonts w:ascii="宋体" w:hAnsi="宋体" w:cs="宋体"/>
          <w:szCs w:val="21"/>
        </w:rPr>
        <w:t>1</w:t>
      </w:r>
      <w:r>
        <w:rPr>
          <w:rFonts w:hint="eastAsia" w:ascii="宋体" w:hAnsi="宋体" w:cs="宋体"/>
          <w:szCs w:val="21"/>
        </w:rPr>
        <w:t>8.评标程序</w:t>
      </w:r>
      <w:bookmarkEnd w:id="40"/>
      <w:bookmarkEnd w:id="41"/>
      <w:bookmarkEnd w:id="42"/>
    </w:p>
    <w:p>
      <w:pPr>
        <w:spacing w:line="460" w:lineRule="exact"/>
        <w:ind w:firstLine="420" w:firstLineChars="200"/>
        <w:rPr>
          <w:rFonts w:ascii="宋体" w:hAnsi="宋体" w:cs="宋体"/>
          <w:szCs w:val="21"/>
        </w:rPr>
      </w:pPr>
      <w:r>
        <w:rPr>
          <w:rFonts w:hint="eastAsia" w:ascii="宋体" w:hAnsi="宋体" w:cs="宋体"/>
          <w:szCs w:val="21"/>
        </w:rPr>
        <w:t>18.1评标前的准备工作</w:t>
      </w:r>
    </w:p>
    <w:p>
      <w:pPr>
        <w:spacing w:line="460" w:lineRule="exact"/>
        <w:ind w:firstLine="420" w:firstLineChars="200"/>
        <w:rPr>
          <w:rFonts w:ascii="宋体" w:hAnsi="宋体" w:cs="宋体"/>
          <w:szCs w:val="21"/>
        </w:rPr>
      </w:pPr>
      <w:r>
        <w:rPr>
          <w:rFonts w:hint="eastAsia" w:ascii="宋体" w:hAnsi="宋体" w:cs="宋体"/>
          <w:szCs w:val="21"/>
        </w:rPr>
        <w:t>（1）全体评委应认真审阅招标文件，了解评委应履行或遵守的职责、义务和评标纪律。</w:t>
      </w:r>
    </w:p>
    <w:p>
      <w:pPr>
        <w:spacing w:line="460" w:lineRule="exact"/>
        <w:ind w:firstLine="420" w:firstLineChars="200"/>
        <w:rPr>
          <w:rFonts w:ascii="宋体" w:hAnsi="宋体" w:cs="宋体"/>
          <w:szCs w:val="21"/>
        </w:rPr>
      </w:pPr>
      <w:r>
        <w:rPr>
          <w:rFonts w:hint="eastAsia" w:ascii="宋体" w:hAnsi="宋体" w:cs="宋体"/>
          <w:szCs w:val="21"/>
        </w:rPr>
        <w:t>（2）参加评标委员会的招标人代表可对本项目的背景和采购需求进行介绍，介绍材料应以书面形式提交（随采购文件一并存档），介绍内容不得含有歧视性、倾向性意见，不得超出招标文件所述范围。</w:t>
      </w:r>
    </w:p>
    <w:p>
      <w:pPr>
        <w:pStyle w:val="32"/>
        <w:spacing w:before="0" w:beforeAutospacing="0" w:after="0" w:afterAutospacing="0" w:line="460" w:lineRule="exact"/>
        <w:ind w:firstLine="420" w:firstLineChars="200"/>
        <w:rPr>
          <w:sz w:val="21"/>
          <w:szCs w:val="21"/>
        </w:rPr>
      </w:pPr>
      <w:r>
        <w:rPr>
          <w:rFonts w:hint="eastAsia"/>
          <w:sz w:val="21"/>
          <w:szCs w:val="21"/>
        </w:rPr>
        <w:t>18.2符合性审查</w:t>
      </w:r>
    </w:p>
    <w:p>
      <w:pPr>
        <w:spacing w:line="460" w:lineRule="exact"/>
        <w:ind w:firstLine="420" w:firstLineChars="200"/>
        <w:rPr>
          <w:rFonts w:ascii="宋体" w:hAnsi="宋体" w:cs="宋体"/>
          <w:szCs w:val="21"/>
        </w:rPr>
      </w:pPr>
      <w:r>
        <w:rPr>
          <w:rFonts w:hint="eastAsia" w:ascii="宋体" w:hAnsi="宋体" w:cs="宋体"/>
          <w:szCs w:val="21"/>
        </w:rPr>
        <w:t>（1）评标委员会依据招标文件的实质性要求，对通过资格审查的投标文件进行符合性审查，以确定其是否满足招标文件的实质性要求。</w:t>
      </w:r>
    </w:p>
    <w:p>
      <w:pPr>
        <w:spacing w:line="460" w:lineRule="exact"/>
        <w:ind w:firstLine="420" w:firstLineChars="200"/>
        <w:rPr>
          <w:rFonts w:ascii="宋体" w:hAnsi="宋体" w:cs="宋体"/>
          <w:szCs w:val="21"/>
        </w:rPr>
      </w:pPr>
      <w:r>
        <w:rPr>
          <w:rFonts w:hint="eastAsia" w:ascii="宋体" w:hAnsi="宋体" w:cs="宋体"/>
          <w:szCs w:val="21"/>
        </w:rPr>
        <w:t>（2）满足招标文件的实质性要求指投标文件对招标文件实质性要求的响应不存在重大偏差或保留。</w:t>
      </w:r>
    </w:p>
    <w:p>
      <w:pPr>
        <w:widowControl/>
        <w:spacing w:line="460" w:lineRule="exact"/>
        <w:ind w:firstLine="420" w:firstLineChars="200"/>
        <w:jc w:val="left"/>
        <w:rPr>
          <w:rFonts w:ascii="宋体" w:hAnsi="宋体" w:cs="宋体"/>
          <w:kern w:val="0"/>
          <w:szCs w:val="21"/>
        </w:rPr>
      </w:pPr>
      <w:r>
        <w:rPr>
          <w:rFonts w:hint="eastAsia" w:ascii="宋体" w:hAnsi="宋体" w:cs="宋体"/>
          <w:kern w:val="0"/>
          <w:szCs w:val="21"/>
        </w:rPr>
        <w:t>（3）重大偏差或保留指影响到招标文件规定的合同范围、合同履行及影响关键质量和性能，或限制了招标人的权利，或反对、减少投标人的义务，而纠正这些重大偏差或保留将影响到其他提交实质性响应投标的投标人的公平竞争地位。</w:t>
      </w:r>
    </w:p>
    <w:p>
      <w:pPr>
        <w:widowControl/>
        <w:spacing w:line="460" w:lineRule="exact"/>
        <w:ind w:firstLine="420" w:firstLineChars="200"/>
        <w:jc w:val="left"/>
        <w:rPr>
          <w:rFonts w:ascii="宋体" w:hAnsi="宋体" w:cs="宋体"/>
          <w:kern w:val="0"/>
          <w:szCs w:val="21"/>
        </w:rPr>
      </w:pPr>
      <w:r>
        <w:rPr>
          <w:rFonts w:hint="eastAsia" w:ascii="宋体" w:hAnsi="宋体" w:cs="宋体"/>
          <w:kern w:val="0"/>
          <w:szCs w:val="21"/>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32"/>
        <w:spacing w:before="0" w:beforeAutospacing="0" w:after="0" w:afterAutospacing="0" w:line="460" w:lineRule="exact"/>
        <w:ind w:firstLine="480"/>
        <w:rPr>
          <w:sz w:val="21"/>
          <w:szCs w:val="21"/>
        </w:rPr>
      </w:pPr>
      <w:r>
        <w:rPr>
          <w:rFonts w:hint="eastAsia"/>
          <w:sz w:val="21"/>
          <w:szCs w:val="21"/>
        </w:rPr>
        <w:t>（5）评标委员会对所有投标人都执行相同的程序和标准。</w:t>
      </w:r>
    </w:p>
    <w:p>
      <w:pPr>
        <w:pStyle w:val="32"/>
        <w:spacing w:before="0" w:beforeAutospacing="0" w:after="0" w:afterAutospacing="0" w:line="460" w:lineRule="exact"/>
        <w:ind w:firstLine="480"/>
        <w:rPr>
          <w:sz w:val="21"/>
          <w:szCs w:val="21"/>
        </w:rPr>
      </w:pPr>
      <w:r>
        <w:rPr>
          <w:rFonts w:hint="eastAsia"/>
          <w:sz w:val="21"/>
          <w:szCs w:val="21"/>
        </w:rPr>
        <w:t>（6）有下列情形之一的，</w:t>
      </w:r>
      <w:r>
        <w:rPr>
          <w:rStyle w:val="39"/>
          <w:rFonts w:hint="eastAsia"/>
          <w:sz w:val="21"/>
          <w:szCs w:val="21"/>
        </w:rPr>
        <w:t>符合性审查不合格：</w:t>
      </w:r>
    </w:p>
    <w:p>
      <w:pPr>
        <w:widowControl/>
        <w:spacing w:line="460" w:lineRule="exact"/>
        <w:ind w:firstLine="630" w:firstLineChars="300"/>
        <w:jc w:val="left"/>
        <w:rPr>
          <w:rFonts w:ascii="宋体" w:hAnsi="宋体" w:cs="宋体"/>
          <w:kern w:val="0"/>
          <w:szCs w:val="21"/>
        </w:rPr>
      </w:pPr>
      <w:r>
        <w:rPr>
          <w:rFonts w:hint="eastAsia" w:ascii="宋体" w:hAnsi="宋体" w:cs="宋体"/>
          <w:kern w:val="0"/>
          <w:szCs w:val="21"/>
        </w:rPr>
        <w:t>a.投标文件未按照本须知第</w:t>
      </w:r>
      <w:r>
        <w:rPr>
          <w:rFonts w:ascii="宋体" w:hAnsi="宋体" w:cs="宋体"/>
          <w:kern w:val="0"/>
          <w:szCs w:val="21"/>
        </w:rPr>
        <w:t>13</w:t>
      </w:r>
      <w:r>
        <w:rPr>
          <w:rFonts w:hint="eastAsia" w:ascii="宋体" w:hAnsi="宋体" w:cs="宋体"/>
          <w:kern w:val="0"/>
          <w:szCs w:val="21"/>
        </w:rPr>
        <w:t>条、</w:t>
      </w:r>
      <w:r>
        <w:rPr>
          <w:rFonts w:ascii="宋体" w:hAnsi="宋体" w:cs="宋体"/>
          <w:kern w:val="0"/>
          <w:szCs w:val="21"/>
        </w:rPr>
        <w:t>14</w:t>
      </w:r>
      <w:r>
        <w:rPr>
          <w:rFonts w:hint="eastAsia" w:ascii="宋体" w:hAnsi="宋体" w:cs="宋体"/>
          <w:kern w:val="0"/>
          <w:szCs w:val="21"/>
        </w:rPr>
        <w:t>条的规定；</w:t>
      </w:r>
      <w:r>
        <w:rPr>
          <w:rFonts w:ascii="宋体" w:hAnsi="宋体" w:cs="宋体"/>
          <w:kern w:val="0"/>
          <w:szCs w:val="21"/>
        </w:rPr>
        <w:br w:type="textWrapping"/>
      </w:r>
      <w:r>
        <w:rPr>
          <w:rFonts w:ascii="宋体" w:hAnsi="宋体" w:cs="宋体"/>
          <w:kern w:val="0"/>
          <w:szCs w:val="21"/>
        </w:rPr>
        <w:t xml:space="preserve">    </w:t>
      </w:r>
      <w:r>
        <w:rPr>
          <w:rFonts w:hint="eastAsia" w:ascii="宋体" w:hAnsi="宋体" w:cs="宋体"/>
          <w:kern w:val="0"/>
          <w:szCs w:val="21"/>
        </w:rPr>
        <w:t xml:space="preserve">  b.未按规定由投标人的法定代表人或其授权代表签字，或未加盖投标人公章的，或签字人未经法定代表人有效授权委托的；</w:t>
      </w:r>
      <w:r>
        <w:rPr>
          <w:rFonts w:ascii="宋体" w:hAnsi="宋体" w:cs="宋体"/>
          <w:kern w:val="0"/>
          <w:szCs w:val="21"/>
        </w:rPr>
        <w:br w:type="textWrapping"/>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c.未按规定提交投标保证金的；</w:t>
      </w:r>
      <w:r>
        <w:rPr>
          <w:rFonts w:ascii="宋体" w:hAnsi="宋体" w:cs="宋体"/>
          <w:kern w:val="0"/>
          <w:szCs w:val="21"/>
        </w:rPr>
        <w:br w:type="textWrapping"/>
      </w:r>
      <w:r>
        <w:rPr>
          <w:rFonts w:ascii="宋体" w:hAnsi="宋体" w:cs="宋体"/>
          <w:kern w:val="0"/>
          <w:szCs w:val="21"/>
        </w:rPr>
        <w:t xml:space="preserve">    </w:t>
      </w:r>
      <w:r>
        <w:rPr>
          <w:rFonts w:hint="eastAsia" w:ascii="宋体" w:hAnsi="宋体" w:cs="宋体"/>
          <w:kern w:val="0"/>
          <w:szCs w:val="21"/>
        </w:rPr>
        <w:t xml:space="preserve">  d.投标有效期不满足招标文件要求的；</w:t>
      </w:r>
      <w:r>
        <w:rPr>
          <w:rFonts w:ascii="宋体" w:hAnsi="宋体" w:cs="宋体"/>
          <w:kern w:val="0"/>
          <w:szCs w:val="21"/>
        </w:rPr>
        <w:br w:type="textWrapping"/>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e.投标内容与招标内容及要求有重大偏离或保留的；</w:t>
      </w:r>
      <w:r>
        <w:rPr>
          <w:rFonts w:ascii="宋体" w:hAnsi="宋体" w:cs="宋体"/>
          <w:kern w:val="0"/>
          <w:szCs w:val="21"/>
        </w:rPr>
        <w:br w:type="textWrapping"/>
      </w:r>
      <w:r>
        <w:rPr>
          <w:rFonts w:ascii="宋体" w:hAnsi="宋体" w:cs="宋体"/>
          <w:kern w:val="0"/>
          <w:szCs w:val="21"/>
        </w:rPr>
        <w:t xml:space="preserve">    </w:t>
      </w:r>
      <w:r>
        <w:rPr>
          <w:rFonts w:hint="eastAsia" w:ascii="宋体" w:hAnsi="宋体" w:cs="宋体"/>
          <w:kern w:val="0"/>
          <w:szCs w:val="21"/>
        </w:rPr>
        <w:t xml:space="preserve">  f.投标人提交的是可选择的报价；</w:t>
      </w:r>
      <w:r>
        <w:rPr>
          <w:rFonts w:ascii="宋体" w:hAnsi="宋体" w:cs="宋体"/>
          <w:kern w:val="0"/>
          <w:szCs w:val="21"/>
        </w:rPr>
        <w:br w:type="textWrapping"/>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g.投标人未按规定对投标进行分项报价；</w:t>
      </w:r>
      <w:r>
        <w:rPr>
          <w:rFonts w:ascii="宋体" w:hAnsi="宋体" w:cs="宋体"/>
          <w:kern w:val="0"/>
          <w:szCs w:val="21"/>
        </w:rPr>
        <w:br w:type="textWrapping"/>
      </w:r>
      <w:r>
        <w:rPr>
          <w:rFonts w:ascii="宋体" w:hAnsi="宋体" w:cs="宋体"/>
          <w:kern w:val="0"/>
          <w:szCs w:val="21"/>
        </w:rPr>
        <w:t xml:space="preserve">   </w:t>
      </w:r>
      <w:r>
        <w:rPr>
          <w:rFonts w:hint="eastAsia" w:ascii="宋体" w:hAnsi="宋体" w:cs="宋体"/>
          <w:kern w:val="0"/>
          <w:szCs w:val="21"/>
        </w:rPr>
        <w:t xml:space="preserve">   h.一个投标人代表人不止代表一个投标人参加投标；</w:t>
      </w:r>
    </w:p>
    <w:p>
      <w:pPr>
        <w:widowControl/>
        <w:spacing w:line="460" w:lineRule="exact"/>
        <w:ind w:firstLine="630" w:firstLineChars="300"/>
        <w:jc w:val="left"/>
        <w:rPr>
          <w:rFonts w:ascii="宋体" w:hAnsi="宋体" w:cs="宋体"/>
          <w:kern w:val="0"/>
          <w:szCs w:val="21"/>
        </w:rPr>
      </w:pPr>
      <w:r>
        <w:rPr>
          <w:rFonts w:hint="eastAsia" w:ascii="宋体" w:hAnsi="宋体" w:cs="宋体"/>
          <w:kern w:val="0"/>
          <w:szCs w:val="21"/>
        </w:rPr>
        <w:t>i.投标文件组成不符合招标文件要求的；</w:t>
      </w:r>
      <w:r>
        <w:rPr>
          <w:rFonts w:ascii="宋体" w:hAnsi="宋体" w:cs="宋体"/>
          <w:kern w:val="0"/>
          <w:szCs w:val="21"/>
        </w:rPr>
        <w:br w:type="textWrapping"/>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j.供货地点或付款方式不满足招标文件要求的；</w:t>
      </w:r>
      <w:r>
        <w:rPr>
          <w:rFonts w:ascii="宋体" w:hAnsi="宋体" w:cs="宋体"/>
          <w:kern w:val="0"/>
          <w:szCs w:val="21"/>
        </w:rPr>
        <w:br w:type="textWrapping"/>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k.</w:t>
      </w:r>
      <w:r>
        <w:rPr>
          <w:rFonts w:ascii="宋体" w:hAnsi="宋体" w:cs="宋体"/>
          <w:kern w:val="0"/>
          <w:szCs w:val="21"/>
        </w:rPr>
        <w:t xml:space="preserve"> </w:t>
      </w:r>
      <w:r>
        <w:rPr>
          <w:rFonts w:hint="eastAsia" w:ascii="宋体" w:hAnsi="宋体" w:cs="宋体"/>
          <w:kern w:val="0"/>
          <w:szCs w:val="21"/>
        </w:rPr>
        <w:t>投标文件中提供虚假或失实资料的；</w:t>
      </w:r>
    </w:p>
    <w:p>
      <w:pPr>
        <w:widowControl/>
        <w:spacing w:line="460" w:lineRule="exact"/>
        <w:ind w:firstLine="630" w:firstLineChars="300"/>
        <w:jc w:val="left"/>
        <w:rPr>
          <w:rFonts w:ascii="宋体" w:hAnsi="宋体" w:cs="宋体"/>
          <w:szCs w:val="21"/>
        </w:rPr>
      </w:pPr>
      <w:r>
        <w:rPr>
          <w:rFonts w:hint="eastAsia" w:ascii="宋体" w:hAnsi="宋体" w:cs="宋体"/>
          <w:kern w:val="0"/>
          <w:szCs w:val="21"/>
        </w:rPr>
        <w:t>m.</w:t>
      </w:r>
      <w:r>
        <w:rPr>
          <w:rFonts w:hint="eastAsia" w:ascii="宋体" w:hAnsi="宋体" w:cs="宋体"/>
          <w:szCs w:val="21"/>
        </w:rPr>
        <w:t>违反招标文件中载明“</w:t>
      </w:r>
      <w:r>
        <w:rPr>
          <w:rStyle w:val="39"/>
          <w:rFonts w:hint="eastAsia" w:ascii="宋体" w:hAnsi="宋体" w:cs="宋体"/>
          <w:szCs w:val="21"/>
        </w:rPr>
        <w:t>投标无效</w:t>
      </w:r>
      <w:r>
        <w:rPr>
          <w:rFonts w:hint="eastAsia" w:ascii="宋体" w:hAnsi="宋体" w:cs="宋体"/>
          <w:szCs w:val="21"/>
        </w:rPr>
        <w:t>”条款的规定；</w:t>
      </w:r>
      <w:r>
        <w:rPr>
          <w:rFonts w:ascii="宋体" w:hAnsi="宋体" w:cs="宋体"/>
          <w:kern w:val="0"/>
          <w:szCs w:val="21"/>
        </w:rPr>
        <w:br w:type="textWrapping"/>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n.不符合招标文件中规定的其它实质性条款。</w:t>
      </w:r>
    </w:p>
    <w:p>
      <w:pPr>
        <w:spacing w:line="460" w:lineRule="exact"/>
        <w:ind w:firstLine="420" w:firstLineChars="200"/>
        <w:rPr>
          <w:rFonts w:ascii="宋体" w:hAnsi="宋体" w:cs="宋体"/>
          <w:szCs w:val="21"/>
        </w:rPr>
      </w:pPr>
      <w:r>
        <w:rPr>
          <w:rFonts w:hint="eastAsia" w:ascii="宋体" w:hAnsi="宋体" w:cs="宋体"/>
          <w:szCs w:val="21"/>
        </w:rPr>
        <w:t>评标委员会对符合性审查及判定投标的响应性只根据投标文件本身的内容，而不寻求其他的外部证据。</w:t>
      </w:r>
    </w:p>
    <w:p>
      <w:pPr>
        <w:spacing w:line="46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8</w:t>
      </w:r>
      <w:r>
        <w:rPr>
          <w:rFonts w:ascii="宋体" w:hAnsi="宋体" w:cs="宋体"/>
          <w:szCs w:val="21"/>
        </w:rPr>
        <w:t>.</w:t>
      </w:r>
      <w:r>
        <w:rPr>
          <w:rFonts w:hint="eastAsia" w:ascii="宋体" w:hAnsi="宋体" w:cs="宋体"/>
          <w:szCs w:val="21"/>
        </w:rPr>
        <w:t>3</w:t>
      </w:r>
      <w:r>
        <w:rPr>
          <w:rFonts w:ascii="宋体" w:hAnsi="宋体" w:cs="宋体"/>
          <w:szCs w:val="21"/>
        </w:rPr>
        <w:t xml:space="preserve"> </w:t>
      </w:r>
      <w:r>
        <w:rPr>
          <w:rFonts w:hint="eastAsia" w:ascii="宋体" w:hAnsi="宋体" w:cs="宋体"/>
          <w:szCs w:val="21"/>
        </w:rPr>
        <w:t>评标</w:t>
      </w:r>
    </w:p>
    <w:p>
      <w:pPr>
        <w:spacing w:line="460" w:lineRule="exact"/>
        <w:ind w:firstLine="420" w:firstLineChars="200"/>
        <w:rPr>
          <w:rFonts w:ascii="宋体" w:hAnsi="宋体" w:cs="宋体"/>
          <w:szCs w:val="21"/>
        </w:rPr>
      </w:pPr>
      <w:r>
        <w:rPr>
          <w:rFonts w:hint="eastAsia" w:ascii="宋体" w:hAnsi="宋体" w:cs="宋体"/>
          <w:szCs w:val="21"/>
        </w:rPr>
        <w:t>（1）评标委员会按照本章《投标须知前附表》“评标标准和方法”对符合性审查合格的投标文件进行比较与评价。本章《投标须知前附表》“评标标准和方法”没有规定的方法、评审因素和标准，不得作为评标依据。</w:t>
      </w:r>
    </w:p>
    <w:p>
      <w:pPr>
        <w:spacing w:line="460" w:lineRule="exact"/>
        <w:ind w:firstLine="420" w:firstLineChars="200"/>
        <w:rPr>
          <w:rFonts w:ascii="宋体" w:hAnsi="宋体" w:cs="宋体"/>
          <w:szCs w:val="21"/>
        </w:rPr>
      </w:pPr>
      <w:r>
        <w:rPr>
          <w:rFonts w:hint="eastAsia" w:ascii="宋体" w:hAnsi="宋体" w:cs="宋体"/>
          <w:szCs w:val="21"/>
        </w:rPr>
        <w:t>（2）招标人、福建优胜招标项目管理集团有限公司不得将投标人的报价向评委公布。</w:t>
      </w:r>
    </w:p>
    <w:p>
      <w:pPr>
        <w:spacing w:line="460" w:lineRule="exact"/>
        <w:ind w:firstLine="420" w:firstLineChars="200"/>
        <w:rPr>
          <w:rFonts w:ascii="宋体" w:hAnsi="宋体" w:cs="宋体"/>
          <w:szCs w:val="21"/>
        </w:rPr>
      </w:pPr>
      <w:r>
        <w:rPr>
          <w:rFonts w:hint="eastAsia" w:ascii="宋体" w:hAnsi="宋体" w:cs="宋体"/>
          <w:szCs w:val="21"/>
        </w:rPr>
        <w:t>（3）实行两阶段评标：</w:t>
      </w:r>
    </w:p>
    <w:p>
      <w:pPr>
        <w:pStyle w:val="146"/>
        <w:spacing w:line="460" w:lineRule="exact"/>
        <w:ind w:firstLine="540"/>
        <w:rPr>
          <w:rFonts w:ascii="宋体" w:hAnsi="宋体" w:cs="宋体"/>
          <w:spacing w:val="-2"/>
          <w:szCs w:val="21"/>
        </w:rPr>
      </w:pPr>
      <w:r>
        <w:rPr>
          <w:rFonts w:hint="eastAsia" w:ascii="宋体" w:hAnsi="宋体" w:cs="宋体"/>
          <w:b/>
          <w:spacing w:val="-2"/>
          <w:szCs w:val="21"/>
        </w:rPr>
        <w:t>第一阶段</w:t>
      </w:r>
      <w:r>
        <w:rPr>
          <w:rFonts w:hint="eastAsia" w:ascii="宋体" w:hAnsi="宋体" w:cs="宋体"/>
          <w:spacing w:val="-2"/>
          <w:szCs w:val="21"/>
        </w:rPr>
        <w:t xml:space="preserve">  进行技术、商务部分的评标。评标委员会按照相关规定、招标文件规定的评标方法和标准，对通过资格及符合性审查的技术、商务部分进行评审，评出实质性响应招标文件技术、商务要求的投标人的得分情况。</w:t>
      </w:r>
    </w:p>
    <w:p>
      <w:pPr>
        <w:pStyle w:val="146"/>
        <w:spacing w:line="460" w:lineRule="exact"/>
        <w:ind w:firstLine="540"/>
        <w:rPr>
          <w:rFonts w:ascii="宋体" w:hAnsi="宋体" w:cs="宋体"/>
          <w:spacing w:val="-2"/>
          <w:szCs w:val="21"/>
        </w:rPr>
      </w:pPr>
      <w:r>
        <w:rPr>
          <w:rFonts w:hint="eastAsia" w:ascii="宋体" w:hAnsi="宋体" w:cs="宋体"/>
          <w:b/>
          <w:spacing w:val="-2"/>
          <w:szCs w:val="21"/>
        </w:rPr>
        <w:t>第二阶段</w:t>
      </w:r>
      <w:r>
        <w:rPr>
          <w:rFonts w:hint="eastAsia" w:ascii="宋体" w:hAnsi="宋体" w:cs="宋体"/>
          <w:spacing w:val="-2"/>
          <w:szCs w:val="21"/>
        </w:rPr>
        <w:t xml:space="preserve">  进行价格部分评标。经第一阶段评选出的实质性响应招标文件技术、商务要求的投标人进入第二阶段评标。评标委员会按招标文件规定的评标方法和标准，对通过报价部分符合性审查的投标人进行评标。</w:t>
      </w:r>
    </w:p>
    <w:p>
      <w:pPr>
        <w:spacing w:line="460" w:lineRule="exact"/>
        <w:ind w:firstLine="420" w:firstLineChars="200"/>
        <w:rPr>
          <w:rFonts w:ascii="宋体" w:hAnsi="宋体" w:cs="宋体"/>
          <w:szCs w:val="21"/>
        </w:rPr>
      </w:pPr>
      <w:r>
        <w:rPr>
          <w:rFonts w:hint="eastAsia" w:ascii="宋体" w:hAnsi="宋体" w:cs="宋体"/>
          <w:szCs w:val="21"/>
        </w:rPr>
        <w:t>（4）对所有投标人的评估，都采用相同的程序和标准。评议过程将严格按照招标文件的要求和条件进行。</w:t>
      </w:r>
    </w:p>
    <w:p>
      <w:pPr>
        <w:spacing w:line="460" w:lineRule="exact"/>
        <w:ind w:firstLine="420" w:firstLineChars="200"/>
        <w:rPr>
          <w:rFonts w:ascii="宋体" w:hAnsi="宋体" w:cs="宋体"/>
          <w:szCs w:val="21"/>
        </w:rPr>
      </w:pPr>
      <w:r>
        <w:rPr>
          <w:rFonts w:hint="eastAsia" w:ascii="宋体" w:hAnsi="宋体" w:cs="宋体"/>
          <w:szCs w:val="21"/>
        </w:rPr>
        <w:t>（5）有关投标文件的审查、澄清、评估和比较以及推荐中标候选投标人的一切情况都不得透露给任一投标人或与上述评标工作无关的人员。</w:t>
      </w:r>
    </w:p>
    <w:p>
      <w:pPr>
        <w:spacing w:line="460" w:lineRule="exact"/>
        <w:ind w:firstLine="420" w:firstLineChars="200"/>
        <w:rPr>
          <w:rFonts w:ascii="宋体" w:hAnsi="宋体" w:cs="宋体"/>
          <w:szCs w:val="21"/>
        </w:rPr>
      </w:pPr>
      <w:r>
        <w:rPr>
          <w:rFonts w:hint="eastAsia" w:ascii="宋体" w:hAnsi="宋体" w:cs="宋体"/>
          <w:szCs w:val="21"/>
        </w:rPr>
        <w:t>（6）投标人任何试图影响评标委员会对投标文件的评估、比较或者推荐候选人的行为，都将导致其投标被拒绝，并被没收投标保证金。</w:t>
      </w:r>
    </w:p>
    <w:p>
      <w:pPr>
        <w:pStyle w:val="32"/>
        <w:spacing w:before="0" w:beforeAutospacing="0" w:after="0" w:afterAutospacing="0" w:line="460" w:lineRule="exact"/>
        <w:ind w:firstLine="480"/>
        <w:rPr>
          <w:sz w:val="21"/>
          <w:szCs w:val="21"/>
        </w:rPr>
      </w:pPr>
      <w:r>
        <w:rPr>
          <w:rFonts w:hint="eastAsia"/>
          <w:sz w:val="21"/>
          <w:szCs w:val="21"/>
        </w:rPr>
        <w:t>18.4澄清有关问题</w:t>
      </w:r>
    </w:p>
    <w:p>
      <w:pPr>
        <w:spacing w:line="460" w:lineRule="exact"/>
        <w:ind w:firstLine="420" w:firstLineChars="200"/>
        <w:rPr>
          <w:rFonts w:ascii="宋体" w:hAnsi="宋体" w:cs="宋体"/>
          <w:szCs w:val="21"/>
        </w:rPr>
      </w:pPr>
      <w:r>
        <w:rPr>
          <w:rFonts w:hint="eastAsia" w:ascii="宋体" w:hAnsi="宋体" w:cs="宋体"/>
          <w:szCs w:val="21"/>
        </w:rPr>
        <w:t>（1）对通过符合性审查的投标文件中含义不明确、同类问题表述不一致或有明显文字和计算错误的内容，评标委员会将以书面形式要求投标人作出必要的澄清、说明或补正。</w:t>
      </w:r>
    </w:p>
    <w:p>
      <w:pPr>
        <w:spacing w:line="460" w:lineRule="exact"/>
        <w:ind w:firstLine="420" w:firstLineChars="200"/>
        <w:rPr>
          <w:rFonts w:ascii="宋体" w:hAnsi="宋体" w:cs="宋体"/>
          <w:szCs w:val="21"/>
        </w:rPr>
      </w:pPr>
      <w:r>
        <w:rPr>
          <w:rFonts w:hint="eastAsia" w:ascii="宋体" w:hAnsi="宋体" w:cs="宋体"/>
          <w:szCs w:val="21"/>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spacing w:line="460" w:lineRule="exact"/>
        <w:ind w:firstLine="420" w:firstLineChars="200"/>
        <w:rPr>
          <w:rFonts w:ascii="宋体" w:hAnsi="宋体" w:cs="宋体"/>
          <w:szCs w:val="21"/>
        </w:rPr>
      </w:pPr>
      <w:r>
        <w:rPr>
          <w:rFonts w:hint="eastAsia" w:ascii="宋体" w:hAnsi="宋体" w:cs="宋体"/>
          <w:szCs w:val="21"/>
        </w:rPr>
        <w:t>（3）投标文件报价出现前后不一致的，除招标文件另有规定外，按照下列规定修正：</w:t>
      </w:r>
    </w:p>
    <w:p>
      <w:pPr>
        <w:spacing w:line="460" w:lineRule="exact"/>
        <w:ind w:firstLine="420" w:firstLineChars="200"/>
        <w:rPr>
          <w:rFonts w:ascii="宋体" w:hAnsi="宋体" w:cs="宋体"/>
          <w:szCs w:val="21"/>
        </w:rPr>
      </w:pPr>
      <w:r>
        <w:rPr>
          <w:rFonts w:hint="eastAsia" w:ascii="宋体" w:hAnsi="宋体" w:cs="宋体"/>
          <w:szCs w:val="21"/>
        </w:rPr>
        <w:t>①开标一览表内容与投标文件中相应内容不一致的，以开标一览表为准；</w:t>
      </w:r>
    </w:p>
    <w:p>
      <w:pPr>
        <w:spacing w:line="460" w:lineRule="exact"/>
        <w:ind w:firstLine="420" w:firstLineChars="200"/>
        <w:rPr>
          <w:rFonts w:ascii="宋体" w:hAnsi="宋体" w:cs="宋体"/>
          <w:szCs w:val="21"/>
        </w:rPr>
      </w:pPr>
      <w:r>
        <w:rPr>
          <w:rFonts w:hint="eastAsia" w:ascii="宋体" w:hAnsi="宋体" w:cs="宋体"/>
          <w:szCs w:val="21"/>
        </w:rPr>
        <w:t>②大写金额和小写金额不一致的，以大写金额为准；</w:t>
      </w:r>
    </w:p>
    <w:p>
      <w:pPr>
        <w:spacing w:line="460" w:lineRule="exact"/>
        <w:ind w:firstLine="420" w:firstLineChars="200"/>
        <w:rPr>
          <w:rFonts w:ascii="宋体" w:hAnsi="宋体" w:cs="宋体"/>
          <w:szCs w:val="21"/>
        </w:rPr>
      </w:pPr>
      <w:r>
        <w:rPr>
          <w:rFonts w:hint="eastAsia" w:ascii="宋体" w:hAnsi="宋体" w:cs="宋体"/>
          <w:szCs w:val="21"/>
        </w:rPr>
        <w:t>③单价金额小数点或百分比有明显错位的，以开标一览表的总价为准，并修改单价；</w:t>
      </w:r>
    </w:p>
    <w:p>
      <w:pPr>
        <w:spacing w:line="460" w:lineRule="exact"/>
        <w:ind w:firstLine="420" w:firstLineChars="200"/>
        <w:rPr>
          <w:rFonts w:ascii="宋体" w:hAnsi="宋体" w:cs="宋体"/>
          <w:szCs w:val="21"/>
        </w:rPr>
      </w:pPr>
      <w:r>
        <w:rPr>
          <w:rFonts w:hint="eastAsia" w:ascii="宋体" w:hAnsi="宋体" w:cs="宋体"/>
          <w:szCs w:val="21"/>
        </w:rPr>
        <w:t>④总价金额与按照单价汇总金额不一致的，以单价金额计算结果为准。</w:t>
      </w:r>
    </w:p>
    <w:p>
      <w:pPr>
        <w:pStyle w:val="32"/>
        <w:spacing w:before="0" w:beforeAutospacing="0" w:after="0" w:afterAutospacing="0" w:line="460" w:lineRule="exact"/>
        <w:ind w:firstLine="480"/>
        <w:rPr>
          <w:sz w:val="21"/>
          <w:szCs w:val="21"/>
        </w:rPr>
      </w:pPr>
      <w:r>
        <w:rPr>
          <w:rStyle w:val="39"/>
          <w:rFonts w:hint="eastAsia"/>
          <w:sz w:val="21"/>
          <w:szCs w:val="21"/>
        </w:rPr>
        <w:t>※同时出现两种以上不一致的，按照前款规定的顺序修正。修正后的报价应按照本章第</w:t>
      </w:r>
      <w:r>
        <w:rPr>
          <w:rStyle w:val="39"/>
          <w:rFonts w:hint="eastAsia" w:cs="Calibri"/>
          <w:sz w:val="21"/>
          <w:szCs w:val="21"/>
        </w:rPr>
        <w:t>18.4</w:t>
      </w:r>
      <w:r>
        <w:rPr>
          <w:rStyle w:val="39"/>
          <w:rFonts w:hint="eastAsia"/>
          <w:sz w:val="21"/>
          <w:szCs w:val="21"/>
        </w:rPr>
        <w:t>条第（</w:t>
      </w:r>
      <w:r>
        <w:rPr>
          <w:rStyle w:val="39"/>
          <w:rFonts w:cs="Calibri"/>
          <w:sz w:val="21"/>
          <w:szCs w:val="21"/>
        </w:rPr>
        <w:t>1</w:t>
      </w:r>
      <w:r>
        <w:rPr>
          <w:rStyle w:val="39"/>
          <w:rFonts w:hint="eastAsia"/>
          <w:sz w:val="21"/>
          <w:szCs w:val="21"/>
        </w:rPr>
        <w:t>）、（</w:t>
      </w:r>
      <w:r>
        <w:rPr>
          <w:rStyle w:val="39"/>
          <w:rFonts w:cs="Calibri"/>
          <w:sz w:val="21"/>
          <w:szCs w:val="21"/>
        </w:rPr>
        <w:t>2</w:t>
      </w:r>
      <w:r>
        <w:rPr>
          <w:rStyle w:val="39"/>
          <w:rFonts w:hint="eastAsia"/>
          <w:sz w:val="21"/>
          <w:szCs w:val="21"/>
        </w:rPr>
        <w:t>）款规定经投标人确认后产生约束力，投标人不确认的，其投标无效。</w:t>
      </w:r>
    </w:p>
    <w:p>
      <w:pPr>
        <w:spacing w:line="460" w:lineRule="exact"/>
        <w:ind w:firstLine="420" w:firstLineChars="200"/>
        <w:rPr>
          <w:rFonts w:ascii="宋体" w:hAnsi="宋体" w:cs="宋体"/>
          <w:szCs w:val="21"/>
        </w:rPr>
      </w:pPr>
      <w:r>
        <w:rPr>
          <w:rFonts w:hint="eastAsia" w:ascii="宋体" w:hAnsi="宋体" w:cs="宋体"/>
          <w:szCs w:val="21"/>
        </w:rPr>
        <w:t>（4）关于细微偏差</w:t>
      </w:r>
    </w:p>
    <w:p>
      <w:pPr>
        <w:spacing w:line="460" w:lineRule="exact"/>
        <w:ind w:firstLine="420" w:firstLineChars="200"/>
        <w:rPr>
          <w:rFonts w:ascii="宋体" w:hAnsi="宋体" w:cs="宋体"/>
          <w:szCs w:val="21"/>
        </w:rPr>
      </w:pPr>
      <w:r>
        <w:rPr>
          <w:rFonts w:hint="eastAsia" w:ascii="宋体" w:hAnsi="宋体" w:cs="宋体"/>
          <w:szCs w:val="21"/>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spacing w:line="460" w:lineRule="exact"/>
        <w:ind w:firstLine="420" w:firstLineChars="200"/>
        <w:rPr>
          <w:rFonts w:ascii="宋体" w:hAnsi="宋体" w:cs="宋体"/>
          <w:szCs w:val="21"/>
        </w:rPr>
      </w:pPr>
      <w:r>
        <w:rPr>
          <w:rFonts w:hint="eastAsia" w:ascii="宋体" w:hAnsi="宋体" w:cs="宋体"/>
          <w:szCs w:val="21"/>
        </w:rPr>
        <w:t>②评标委员会将以书面形式要求存在细微偏差的投标人在评标委员会规定的时间内予以补正。若无法补正，则评标委员会将按照不利于投标人的内容进行认定。</w:t>
      </w:r>
    </w:p>
    <w:p>
      <w:pPr>
        <w:spacing w:line="460" w:lineRule="exact"/>
        <w:ind w:firstLine="420" w:firstLineChars="200"/>
        <w:rPr>
          <w:rFonts w:ascii="宋体" w:hAnsi="宋体" w:cs="宋体"/>
          <w:szCs w:val="21"/>
        </w:rPr>
      </w:pPr>
      <w:r>
        <w:rPr>
          <w:rFonts w:hint="eastAsia" w:ascii="宋体" w:hAnsi="宋体" w:cs="宋体"/>
          <w:szCs w:val="21"/>
        </w:rPr>
        <w:t>（5）关于投标描述（即投标文件中描述的内容）</w:t>
      </w:r>
    </w:p>
    <w:p>
      <w:pPr>
        <w:spacing w:line="460" w:lineRule="exact"/>
        <w:ind w:firstLine="420" w:firstLineChars="200"/>
        <w:rPr>
          <w:rFonts w:ascii="宋体" w:hAnsi="宋体" w:cs="宋体"/>
          <w:szCs w:val="21"/>
        </w:rPr>
      </w:pPr>
      <w:r>
        <w:rPr>
          <w:rFonts w:hint="eastAsia" w:ascii="宋体" w:hAnsi="宋体" w:cs="宋体"/>
          <w:szCs w:val="21"/>
        </w:rPr>
        <w:t>①投标描述前后不一致且不涉及证明材料的：按照本章第18</w:t>
      </w:r>
      <w:r>
        <w:rPr>
          <w:rFonts w:ascii="宋体" w:hAnsi="宋体" w:cs="宋体"/>
          <w:szCs w:val="21"/>
        </w:rPr>
        <w:t>.</w:t>
      </w:r>
      <w:r>
        <w:rPr>
          <w:rFonts w:hint="eastAsia" w:ascii="宋体" w:hAnsi="宋体" w:cs="宋体"/>
          <w:szCs w:val="21"/>
        </w:rPr>
        <w:t>4条第（</w:t>
      </w:r>
      <w:r>
        <w:rPr>
          <w:rFonts w:ascii="宋体" w:hAnsi="宋体" w:cs="宋体"/>
          <w:szCs w:val="21"/>
        </w:rPr>
        <w:t>1</w:t>
      </w:r>
      <w:r>
        <w:rPr>
          <w:rFonts w:hint="eastAsia" w:ascii="宋体" w:hAnsi="宋体" w:cs="宋体"/>
          <w:szCs w:val="21"/>
        </w:rPr>
        <w:t>）、（</w:t>
      </w:r>
      <w:r>
        <w:rPr>
          <w:rFonts w:ascii="宋体" w:hAnsi="宋体" w:cs="宋体"/>
          <w:szCs w:val="21"/>
        </w:rPr>
        <w:t>2</w:t>
      </w:r>
      <w:r>
        <w:rPr>
          <w:rFonts w:hint="eastAsia" w:ascii="宋体" w:hAnsi="宋体" w:cs="宋体"/>
          <w:szCs w:val="21"/>
        </w:rPr>
        <w:t>）款规定执行。</w:t>
      </w:r>
    </w:p>
    <w:p>
      <w:pPr>
        <w:spacing w:line="460" w:lineRule="exact"/>
        <w:ind w:firstLine="420" w:firstLineChars="200"/>
        <w:rPr>
          <w:rFonts w:ascii="宋体" w:hAnsi="宋体" w:cs="宋体"/>
          <w:szCs w:val="21"/>
        </w:rPr>
      </w:pPr>
      <w:r>
        <w:rPr>
          <w:rFonts w:hint="eastAsia" w:ascii="宋体" w:hAnsi="宋体" w:cs="宋体"/>
          <w:szCs w:val="21"/>
        </w:rPr>
        <w:t>②投标描述与证明材料不一致或多份证明材料之间不一致的：</w:t>
      </w:r>
    </w:p>
    <w:p>
      <w:pPr>
        <w:spacing w:line="460" w:lineRule="exact"/>
        <w:ind w:firstLine="420" w:firstLineChars="200"/>
        <w:rPr>
          <w:rFonts w:ascii="宋体" w:hAnsi="宋体" w:cs="宋体"/>
          <w:szCs w:val="21"/>
        </w:rPr>
      </w:pPr>
      <w:r>
        <w:rPr>
          <w:rFonts w:hint="eastAsia" w:ascii="宋体" w:hAnsi="宋体" w:cs="宋体"/>
          <w:szCs w:val="21"/>
        </w:rPr>
        <w:t>a.评标委员会将要求投标人进行书面澄清，并按照不利于投标人的内容进行评标。</w:t>
      </w:r>
    </w:p>
    <w:p>
      <w:pPr>
        <w:spacing w:line="460" w:lineRule="exact"/>
        <w:ind w:firstLine="420" w:firstLineChars="200"/>
        <w:rPr>
          <w:rFonts w:ascii="宋体" w:hAnsi="宋体" w:cs="宋体"/>
          <w:szCs w:val="21"/>
        </w:rPr>
      </w:pPr>
      <w:r>
        <w:rPr>
          <w:rFonts w:hint="eastAsia" w:ascii="宋体" w:hAnsi="宋体" w:cs="宋体"/>
          <w:szCs w:val="21"/>
        </w:rPr>
        <w:t>b.投标人按要求进行澄清的，招标人以澄清内容为准进行验收；投标人未按要求进行澄清的，招标人以投标描述或证明材料中有利于招标人的内容进行验收。投标人应对证明材料的真实性、有效性承担责任。</w:t>
      </w:r>
    </w:p>
    <w:p>
      <w:pPr>
        <w:spacing w:line="460" w:lineRule="exact"/>
        <w:ind w:firstLine="420" w:firstLineChars="200"/>
        <w:rPr>
          <w:rFonts w:ascii="宋体" w:hAnsi="宋体" w:cs="宋体"/>
          <w:szCs w:val="21"/>
        </w:rPr>
      </w:pPr>
      <w:r>
        <w:rPr>
          <w:rFonts w:hint="eastAsia" w:ascii="宋体" w:hAnsi="宋体" w:cs="宋体"/>
          <w:szCs w:val="21"/>
        </w:rPr>
        <w:t>③若中标人的投标描述存在前后不一致、与证明材料不一致或多份证明材料之间不一致情形之一但在评标中未能发现，则招标人将以投标描述或证明材料中有利于招标人的内容进行验收，中标人应自行承担由此产生的风险及费用。</w:t>
      </w:r>
    </w:p>
    <w:p>
      <w:pPr>
        <w:spacing w:line="460" w:lineRule="exact"/>
        <w:ind w:firstLine="420" w:firstLineChars="200"/>
        <w:rPr>
          <w:rFonts w:ascii="宋体" w:hAnsi="宋体" w:cs="宋体"/>
          <w:szCs w:val="21"/>
        </w:rPr>
      </w:pPr>
      <w:r>
        <w:rPr>
          <w:rFonts w:hint="eastAsia" w:ascii="宋体" w:hAnsi="宋体" w:cs="宋体"/>
          <w:szCs w:val="21"/>
        </w:rPr>
        <w:t>18.5串通投标行为：评标委员会在评标过程中发现投标人存在下列情形之一的，可认定其有串通投标行为的，</w:t>
      </w:r>
      <w:r>
        <w:rPr>
          <w:rFonts w:hint="eastAsia" w:ascii="宋体" w:hAnsi="宋体" w:cs="宋体"/>
          <w:b/>
          <w:bCs/>
          <w:szCs w:val="21"/>
        </w:rPr>
        <w:t>按无效投标处理</w:t>
      </w:r>
      <w:r>
        <w:rPr>
          <w:rFonts w:hint="eastAsia" w:ascii="宋体" w:hAnsi="宋体" w:cs="宋体"/>
          <w:szCs w:val="21"/>
        </w:rPr>
        <w:t>：</w:t>
      </w:r>
    </w:p>
    <w:p>
      <w:pPr>
        <w:spacing w:line="460" w:lineRule="exact"/>
        <w:ind w:firstLine="420" w:firstLineChars="200"/>
        <w:jc w:val="left"/>
        <w:rPr>
          <w:rFonts w:ascii="宋体" w:hAnsi="宋体"/>
          <w:szCs w:val="21"/>
        </w:rPr>
      </w:pPr>
      <w:r>
        <w:rPr>
          <w:rFonts w:hint="eastAsia" w:ascii="宋体" w:hAnsi="宋体"/>
          <w:szCs w:val="21"/>
        </w:rPr>
        <w:t>（一）不同投标人的投标文件由同一单位或者个人编制；</w:t>
      </w:r>
    </w:p>
    <w:p>
      <w:pPr>
        <w:spacing w:line="460" w:lineRule="exact"/>
        <w:ind w:firstLine="420" w:firstLineChars="200"/>
        <w:jc w:val="left"/>
        <w:rPr>
          <w:rFonts w:ascii="宋体" w:hAnsi="宋体"/>
          <w:szCs w:val="21"/>
        </w:rPr>
      </w:pPr>
      <w:r>
        <w:rPr>
          <w:rFonts w:hint="eastAsia" w:ascii="宋体" w:hAnsi="宋体"/>
          <w:szCs w:val="21"/>
        </w:rPr>
        <w:t>（二）不同投标人委托同一单位或者个人办理投标事宜；</w:t>
      </w:r>
    </w:p>
    <w:p>
      <w:pPr>
        <w:spacing w:line="460" w:lineRule="exact"/>
        <w:ind w:firstLine="420" w:firstLineChars="200"/>
        <w:jc w:val="left"/>
        <w:rPr>
          <w:rFonts w:ascii="宋体" w:hAnsi="宋体"/>
          <w:szCs w:val="21"/>
        </w:rPr>
      </w:pPr>
      <w:r>
        <w:rPr>
          <w:rFonts w:hint="eastAsia" w:ascii="宋体" w:hAnsi="宋体"/>
          <w:szCs w:val="21"/>
        </w:rPr>
        <w:t>（三）不同投标人的投标文件载明的项目管理成员或者联系人员为同一人；</w:t>
      </w:r>
    </w:p>
    <w:p>
      <w:pPr>
        <w:spacing w:line="460" w:lineRule="exact"/>
        <w:ind w:firstLine="420" w:firstLineChars="200"/>
        <w:jc w:val="left"/>
        <w:rPr>
          <w:rFonts w:ascii="宋体" w:hAnsi="宋体"/>
          <w:szCs w:val="21"/>
        </w:rPr>
      </w:pPr>
      <w:r>
        <w:rPr>
          <w:rFonts w:hint="eastAsia" w:ascii="宋体" w:hAnsi="宋体"/>
          <w:szCs w:val="21"/>
        </w:rPr>
        <w:t>（四）不同投标人的投标文件异常一致或者投标报价呈规律性差异；</w:t>
      </w:r>
    </w:p>
    <w:p>
      <w:pPr>
        <w:spacing w:line="460" w:lineRule="exact"/>
        <w:ind w:firstLine="420" w:firstLineChars="200"/>
        <w:jc w:val="left"/>
        <w:rPr>
          <w:rFonts w:ascii="宋体" w:hAnsi="宋体"/>
          <w:szCs w:val="21"/>
        </w:rPr>
      </w:pPr>
      <w:r>
        <w:rPr>
          <w:rFonts w:hint="eastAsia" w:ascii="宋体" w:hAnsi="宋体"/>
          <w:szCs w:val="21"/>
        </w:rPr>
        <w:t>（五）不同投标人的投标文件相互混装；</w:t>
      </w:r>
    </w:p>
    <w:p>
      <w:pPr>
        <w:spacing w:line="460" w:lineRule="exact"/>
        <w:ind w:firstLine="420" w:firstLineChars="200"/>
        <w:rPr>
          <w:rFonts w:ascii="宋体" w:hAnsi="宋体"/>
          <w:szCs w:val="21"/>
        </w:rPr>
      </w:pPr>
      <w:r>
        <w:rPr>
          <w:rFonts w:hint="eastAsia" w:ascii="宋体" w:hAnsi="宋体"/>
          <w:szCs w:val="21"/>
        </w:rPr>
        <w:t>（六）不同投标人的投标保证金从同一单位或者个人的账户转出。</w:t>
      </w:r>
    </w:p>
    <w:p>
      <w:pPr>
        <w:pStyle w:val="32"/>
        <w:spacing w:before="0" w:beforeAutospacing="0" w:after="0" w:afterAutospacing="0" w:line="460" w:lineRule="exact"/>
        <w:ind w:firstLine="420" w:firstLineChars="200"/>
        <w:rPr>
          <w:sz w:val="21"/>
          <w:szCs w:val="21"/>
        </w:rPr>
      </w:pPr>
      <w:r>
        <w:rPr>
          <w:rFonts w:hint="eastAsia"/>
          <w:sz w:val="21"/>
          <w:szCs w:val="21"/>
        </w:rPr>
        <w:t>18.6漏（缺）项</w:t>
      </w:r>
    </w:p>
    <w:p>
      <w:pPr>
        <w:pStyle w:val="32"/>
        <w:spacing w:before="0" w:beforeAutospacing="0" w:after="0" w:afterAutospacing="0" w:line="460" w:lineRule="exact"/>
        <w:ind w:firstLine="480"/>
        <w:rPr>
          <w:sz w:val="21"/>
          <w:szCs w:val="21"/>
        </w:rPr>
      </w:pPr>
      <w:r>
        <w:rPr>
          <w:rFonts w:hint="eastAsia"/>
          <w:sz w:val="21"/>
          <w:szCs w:val="21"/>
        </w:rPr>
        <w:t>①招标文件中要求列入报价的费用（含配置、功能），漏（缺）项的报价视为已经包括在投标总价中。</w:t>
      </w:r>
    </w:p>
    <w:p>
      <w:pPr>
        <w:pStyle w:val="32"/>
        <w:spacing w:before="0" w:beforeAutospacing="0" w:after="0" w:afterAutospacing="0" w:line="460" w:lineRule="exact"/>
        <w:ind w:firstLine="480"/>
        <w:rPr>
          <w:sz w:val="21"/>
          <w:szCs w:val="21"/>
        </w:rPr>
      </w:pPr>
      <w:r>
        <w:rPr>
          <w:rFonts w:hint="eastAsia"/>
          <w:sz w:val="21"/>
          <w:szCs w:val="21"/>
        </w:rPr>
        <w:t>②对多报项及赠送项的价格评标时不予核减，全部进入评标价评议。</w:t>
      </w:r>
    </w:p>
    <w:p>
      <w:pPr>
        <w:spacing w:line="460" w:lineRule="exact"/>
        <w:ind w:firstLine="420" w:firstLineChars="200"/>
        <w:jc w:val="left"/>
        <w:rPr>
          <w:rFonts w:ascii="宋体" w:hAnsi="宋体"/>
          <w:szCs w:val="21"/>
        </w:rPr>
      </w:pPr>
      <w:r>
        <w:rPr>
          <w:rFonts w:hint="eastAsia" w:ascii="宋体" w:hAnsi="宋体"/>
          <w:szCs w:val="21"/>
        </w:rPr>
        <w:t>18.7推荐中标候选人：详见本章</w:t>
      </w:r>
      <w:r>
        <w:rPr>
          <w:rFonts w:hint="eastAsia" w:ascii="宋体" w:hAnsi="宋体" w:cs="宋体"/>
          <w:szCs w:val="21"/>
        </w:rPr>
        <w:t>《投标须知前附表》“评标标准和方法”</w:t>
      </w:r>
      <w:r>
        <w:rPr>
          <w:rFonts w:hint="eastAsia" w:ascii="宋体" w:hAnsi="宋体"/>
          <w:szCs w:val="21"/>
        </w:rPr>
        <w:t>。</w:t>
      </w:r>
    </w:p>
    <w:p>
      <w:pPr>
        <w:spacing w:line="460" w:lineRule="exact"/>
        <w:ind w:firstLine="420" w:firstLineChars="200"/>
        <w:jc w:val="left"/>
        <w:rPr>
          <w:rFonts w:ascii="宋体" w:hAnsi="宋体"/>
          <w:szCs w:val="21"/>
        </w:rPr>
      </w:pPr>
      <w:r>
        <w:rPr>
          <w:rFonts w:hint="eastAsia" w:ascii="宋体" w:hAnsi="宋体"/>
          <w:szCs w:val="21"/>
        </w:rPr>
        <w:t>18.8编写评标报告</w:t>
      </w:r>
    </w:p>
    <w:p>
      <w:pPr>
        <w:spacing w:line="460" w:lineRule="exact"/>
        <w:ind w:firstLine="420" w:firstLineChars="200"/>
        <w:jc w:val="left"/>
        <w:rPr>
          <w:rFonts w:ascii="宋体" w:hAnsi="宋体"/>
          <w:szCs w:val="21"/>
        </w:rPr>
      </w:pPr>
      <w:r>
        <w:rPr>
          <w:rFonts w:hint="eastAsia" w:ascii="宋体" w:hAnsi="宋体"/>
          <w:szCs w:val="21"/>
        </w:rPr>
        <w:t>（1）评标报告由评标委员会负责编写。</w:t>
      </w:r>
    </w:p>
    <w:p>
      <w:pPr>
        <w:spacing w:line="460" w:lineRule="exact"/>
        <w:ind w:firstLine="420" w:firstLineChars="200"/>
        <w:jc w:val="left"/>
        <w:rPr>
          <w:rFonts w:ascii="宋体" w:hAnsi="宋体"/>
          <w:szCs w:val="21"/>
        </w:rPr>
      </w:pPr>
      <w:r>
        <w:rPr>
          <w:rFonts w:hint="eastAsia" w:ascii="宋体" w:hAnsi="宋体"/>
          <w:szCs w:val="21"/>
        </w:rPr>
        <w:t>（2）评标报告应包括下列内容：</w:t>
      </w:r>
    </w:p>
    <w:p>
      <w:pPr>
        <w:spacing w:line="460" w:lineRule="exact"/>
        <w:ind w:firstLine="420" w:firstLineChars="200"/>
        <w:jc w:val="left"/>
        <w:rPr>
          <w:rFonts w:ascii="宋体" w:hAnsi="宋体"/>
          <w:szCs w:val="21"/>
        </w:rPr>
      </w:pPr>
      <w:r>
        <w:rPr>
          <w:rFonts w:hint="eastAsia" w:ascii="宋体" w:hAnsi="宋体"/>
          <w:szCs w:val="21"/>
        </w:rPr>
        <w:t>①招标公告刊登的媒体名称、开标日期和地点；</w:t>
      </w:r>
    </w:p>
    <w:p>
      <w:pPr>
        <w:spacing w:line="460" w:lineRule="exact"/>
        <w:ind w:firstLine="420" w:firstLineChars="200"/>
        <w:jc w:val="left"/>
        <w:rPr>
          <w:rFonts w:ascii="宋体" w:hAnsi="宋体"/>
          <w:szCs w:val="21"/>
        </w:rPr>
      </w:pPr>
      <w:r>
        <w:rPr>
          <w:rFonts w:hint="eastAsia" w:ascii="宋体" w:hAnsi="宋体"/>
          <w:szCs w:val="21"/>
        </w:rPr>
        <w:t>②投标人名单和评标委员会成员名单；</w:t>
      </w:r>
    </w:p>
    <w:p>
      <w:pPr>
        <w:spacing w:line="460" w:lineRule="exact"/>
        <w:ind w:firstLine="420" w:firstLineChars="200"/>
        <w:jc w:val="left"/>
        <w:rPr>
          <w:rFonts w:ascii="宋体" w:hAnsi="宋体"/>
          <w:szCs w:val="21"/>
        </w:rPr>
      </w:pPr>
      <w:r>
        <w:rPr>
          <w:rFonts w:hint="eastAsia" w:ascii="宋体" w:hAnsi="宋体"/>
          <w:szCs w:val="21"/>
        </w:rPr>
        <w:t>③评标方法和标准；</w:t>
      </w:r>
    </w:p>
    <w:p>
      <w:pPr>
        <w:spacing w:line="460" w:lineRule="exact"/>
        <w:ind w:firstLine="420" w:firstLineChars="200"/>
        <w:jc w:val="left"/>
        <w:rPr>
          <w:rFonts w:ascii="宋体" w:hAnsi="宋体"/>
          <w:szCs w:val="21"/>
        </w:rPr>
      </w:pPr>
      <w:r>
        <w:rPr>
          <w:rFonts w:hint="eastAsia" w:ascii="宋体" w:hAnsi="宋体"/>
          <w:szCs w:val="21"/>
        </w:rPr>
        <w:t>④开标记录和评标情况及说明，包括无效投标人名单及原因；</w:t>
      </w:r>
    </w:p>
    <w:p>
      <w:pPr>
        <w:spacing w:line="460" w:lineRule="exact"/>
        <w:ind w:firstLine="420" w:firstLineChars="200"/>
        <w:jc w:val="left"/>
        <w:rPr>
          <w:rFonts w:ascii="宋体" w:hAnsi="宋体"/>
          <w:szCs w:val="21"/>
        </w:rPr>
      </w:pPr>
      <w:r>
        <w:rPr>
          <w:rFonts w:hint="eastAsia" w:ascii="宋体" w:hAnsi="宋体"/>
          <w:szCs w:val="21"/>
        </w:rPr>
        <w:t>⑤评标结果，包括中标候选人名单或确定的中标人；</w:t>
      </w:r>
    </w:p>
    <w:p>
      <w:pPr>
        <w:spacing w:line="460" w:lineRule="exact"/>
        <w:ind w:firstLine="420" w:firstLineChars="200"/>
        <w:jc w:val="left"/>
        <w:rPr>
          <w:rFonts w:ascii="宋体" w:hAnsi="宋体"/>
          <w:szCs w:val="21"/>
        </w:rPr>
      </w:pPr>
      <w:r>
        <w:rPr>
          <w:rFonts w:hint="eastAsia" w:ascii="宋体" w:hAnsi="宋体"/>
          <w:szCs w:val="21"/>
        </w:rPr>
        <w:t>⑥其他需要说明的情况，包括但不限于：评标过程中投标人的澄清、说明或补正，评委更换等。</w:t>
      </w:r>
    </w:p>
    <w:p>
      <w:pPr>
        <w:spacing w:line="460" w:lineRule="exact"/>
        <w:ind w:firstLine="420" w:firstLineChars="200"/>
        <w:jc w:val="left"/>
        <w:rPr>
          <w:rFonts w:ascii="宋体" w:hAnsi="宋体"/>
          <w:szCs w:val="21"/>
        </w:rPr>
      </w:pPr>
      <w:r>
        <w:rPr>
          <w:rFonts w:hint="eastAsia" w:ascii="宋体" w:hAnsi="宋体"/>
          <w:szCs w:val="21"/>
        </w:rPr>
        <w:t>18.9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hint="eastAsia" w:ascii="宋体" w:hAnsi="宋体"/>
          <w:b/>
          <w:bCs/>
          <w:szCs w:val="21"/>
        </w:rPr>
        <w:t>投标无效</w:t>
      </w:r>
      <w:r>
        <w:rPr>
          <w:rFonts w:hint="eastAsia" w:ascii="宋体" w:hAnsi="宋体"/>
          <w:szCs w:val="21"/>
        </w:rPr>
        <w:t>处理。</w:t>
      </w:r>
    </w:p>
    <w:p>
      <w:pPr>
        <w:spacing w:line="460" w:lineRule="exact"/>
        <w:ind w:firstLine="420" w:firstLineChars="200"/>
        <w:jc w:val="left"/>
        <w:rPr>
          <w:rFonts w:ascii="宋体" w:hAnsi="宋体"/>
          <w:szCs w:val="21"/>
        </w:rPr>
      </w:pPr>
      <w:r>
        <w:rPr>
          <w:rFonts w:hint="eastAsia" w:ascii="宋体" w:hAnsi="宋体"/>
          <w:szCs w:val="21"/>
        </w:rPr>
        <w:t>18.10评委对需要共同认定的事项存在争议的，应按照少数服从多数的原则进行认定。</w:t>
      </w:r>
      <w:r>
        <w:rPr>
          <w:rStyle w:val="39"/>
          <w:rFonts w:hint="eastAsia" w:ascii="宋体" w:hAnsi="宋体" w:cs="宋体"/>
          <w:szCs w:val="21"/>
        </w:rPr>
        <w:t>持不同意见的评委应在评标报告上签署不同意见及理由，否则视为同意评标报告。</w:t>
      </w:r>
    </w:p>
    <w:p>
      <w:pPr>
        <w:spacing w:line="460" w:lineRule="exact"/>
        <w:ind w:firstLine="420" w:firstLineChars="200"/>
        <w:jc w:val="left"/>
        <w:rPr>
          <w:rFonts w:ascii="宋体" w:hAnsi="宋体"/>
          <w:szCs w:val="21"/>
        </w:rPr>
      </w:pPr>
      <w:r>
        <w:rPr>
          <w:rFonts w:hint="eastAsia" w:ascii="宋体" w:hAnsi="宋体"/>
          <w:szCs w:val="21"/>
        </w:rPr>
        <w:t>18.11在评标过程中发现投标人有下列情形之一的，评标委员会应认定其</w:t>
      </w:r>
      <w:r>
        <w:rPr>
          <w:rFonts w:hint="eastAsia" w:ascii="宋体" w:hAnsi="宋体"/>
          <w:b/>
          <w:bCs/>
          <w:szCs w:val="21"/>
        </w:rPr>
        <w:t>投标无效</w:t>
      </w:r>
      <w:r>
        <w:rPr>
          <w:rFonts w:hint="eastAsia" w:ascii="宋体" w:hAnsi="宋体"/>
          <w:szCs w:val="21"/>
        </w:rPr>
        <w:t>，并书面报告本项目监督管理部门：</w:t>
      </w:r>
    </w:p>
    <w:p>
      <w:pPr>
        <w:spacing w:line="460" w:lineRule="exact"/>
        <w:ind w:firstLine="420" w:firstLineChars="200"/>
        <w:jc w:val="left"/>
        <w:rPr>
          <w:rFonts w:ascii="宋体" w:hAnsi="宋体"/>
          <w:szCs w:val="21"/>
        </w:rPr>
      </w:pPr>
      <w:r>
        <w:rPr>
          <w:rFonts w:hint="eastAsia" w:ascii="宋体" w:hAnsi="宋体"/>
          <w:szCs w:val="21"/>
        </w:rPr>
        <w:t>（1）恶意串通（包括但不限于招标文件本章第18.5条规定情形）；</w:t>
      </w:r>
    </w:p>
    <w:p>
      <w:pPr>
        <w:spacing w:line="460" w:lineRule="exact"/>
        <w:ind w:firstLine="420" w:firstLineChars="200"/>
        <w:jc w:val="left"/>
        <w:rPr>
          <w:rFonts w:ascii="宋体" w:hAnsi="宋体"/>
          <w:szCs w:val="21"/>
        </w:rPr>
      </w:pPr>
      <w:r>
        <w:rPr>
          <w:rFonts w:hint="eastAsia" w:ascii="宋体" w:hAnsi="宋体"/>
          <w:szCs w:val="21"/>
        </w:rPr>
        <w:t>（2）妨碍其他投标人的竞争行为；</w:t>
      </w:r>
    </w:p>
    <w:p>
      <w:pPr>
        <w:spacing w:line="460" w:lineRule="exact"/>
        <w:ind w:firstLine="420" w:firstLineChars="200"/>
        <w:jc w:val="left"/>
        <w:rPr>
          <w:rFonts w:ascii="宋体" w:hAnsi="宋体"/>
          <w:szCs w:val="21"/>
        </w:rPr>
      </w:pPr>
      <w:r>
        <w:rPr>
          <w:rFonts w:hint="eastAsia" w:ascii="宋体" w:hAnsi="宋体"/>
          <w:szCs w:val="21"/>
        </w:rPr>
        <w:t>（3）损害招标人或其他投标人的合法权益。</w:t>
      </w:r>
    </w:p>
    <w:p>
      <w:pPr>
        <w:spacing w:line="460" w:lineRule="exact"/>
        <w:ind w:firstLine="420" w:firstLineChars="200"/>
        <w:jc w:val="left"/>
        <w:rPr>
          <w:rFonts w:ascii="宋体" w:hAnsi="宋体"/>
          <w:szCs w:val="21"/>
        </w:rPr>
      </w:pPr>
      <w:r>
        <w:rPr>
          <w:rFonts w:hint="eastAsia" w:ascii="宋体" w:hAnsi="宋体"/>
          <w:szCs w:val="21"/>
        </w:rPr>
        <w:t>18.12评标过程中，有下列情形之一的，应予废标：</w:t>
      </w:r>
    </w:p>
    <w:p>
      <w:pPr>
        <w:spacing w:line="460" w:lineRule="exact"/>
        <w:ind w:firstLine="420" w:firstLineChars="200"/>
        <w:jc w:val="left"/>
        <w:rPr>
          <w:rFonts w:ascii="宋体" w:hAnsi="宋体"/>
          <w:szCs w:val="21"/>
        </w:rPr>
      </w:pPr>
      <w:r>
        <w:rPr>
          <w:rFonts w:hint="eastAsia" w:ascii="宋体" w:hAnsi="宋体"/>
          <w:szCs w:val="21"/>
        </w:rPr>
        <w:t>（1）符合性审查合格的投标人不足三家的；</w:t>
      </w:r>
    </w:p>
    <w:p>
      <w:pPr>
        <w:spacing w:line="460" w:lineRule="exact"/>
        <w:ind w:firstLine="420" w:firstLineChars="200"/>
        <w:jc w:val="left"/>
        <w:rPr>
          <w:rFonts w:ascii="宋体" w:hAnsi="宋体"/>
          <w:szCs w:val="21"/>
        </w:rPr>
      </w:pPr>
      <w:r>
        <w:rPr>
          <w:rFonts w:hint="eastAsia" w:ascii="宋体" w:hAnsi="宋体"/>
          <w:szCs w:val="21"/>
        </w:rPr>
        <w:t>（2）有关法律、法规和规章规定废标的情形。</w:t>
      </w:r>
    </w:p>
    <w:p>
      <w:pPr>
        <w:pStyle w:val="32"/>
        <w:spacing w:before="0" w:beforeAutospacing="0" w:after="0" w:afterAutospacing="0" w:line="460" w:lineRule="exact"/>
        <w:ind w:firstLine="480"/>
        <w:rPr>
          <w:sz w:val="21"/>
          <w:szCs w:val="21"/>
        </w:rPr>
      </w:pPr>
      <w:r>
        <w:rPr>
          <w:rStyle w:val="39"/>
          <w:rFonts w:hint="eastAsia"/>
          <w:sz w:val="21"/>
          <w:szCs w:val="21"/>
        </w:rPr>
        <w:t>※若废标，则本次采购活动结束，</w:t>
      </w:r>
      <w:r>
        <w:rPr>
          <w:rFonts w:hint="eastAsia"/>
          <w:sz w:val="21"/>
          <w:szCs w:val="21"/>
          <w:u w:val="single"/>
        </w:rPr>
        <w:t>福建优胜招标项目管理集团有限公司</w:t>
      </w:r>
      <w:r>
        <w:rPr>
          <w:rStyle w:val="39"/>
          <w:rFonts w:hint="eastAsia"/>
          <w:sz w:val="21"/>
          <w:szCs w:val="21"/>
        </w:rPr>
        <w:t>将依法组织后续采购活动（包括但不限于：重新招标、采用其他方式采购等）。</w:t>
      </w:r>
    </w:p>
    <w:p>
      <w:pPr>
        <w:spacing w:line="460" w:lineRule="exact"/>
        <w:outlineLvl w:val="2"/>
        <w:rPr>
          <w:rFonts w:ascii="宋体" w:hAnsi="宋体"/>
          <w:szCs w:val="21"/>
        </w:rPr>
      </w:pPr>
      <w:bookmarkStart w:id="43" w:name="_Toc74083213"/>
      <w:bookmarkStart w:id="44" w:name="_Toc2598"/>
      <w:bookmarkStart w:id="45" w:name="_Toc74326520"/>
      <w:r>
        <w:rPr>
          <w:rFonts w:hint="eastAsia" w:ascii="宋体" w:hAnsi="宋体" w:cs="宋体"/>
          <w:szCs w:val="21"/>
        </w:rPr>
        <w:t>19.其他规定</w:t>
      </w:r>
      <w:bookmarkEnd w:id="43"/>
      <w:bookmarkEnd w:id="44"/>
      <w:bookmarkEnd w:id="45"/>
    </w:p>
    <w:p>
      <w:pPr>
        <w:pStyle w:val="32"/>
        <w:spacing w:before="0" w:beforeAutospacing="0" w:after="0" w:afterAutospacing="0" w:line="460" w:lineRule="exact"/>
        <w:ind w:firstLine="420" w:firstLineChars="200"/>
        <w:rPr>
          <w:sz w:val="21"/>
          <w:szCs w:val="21"/>
        </w:rPr>
      </w:pPr>
      <w:r>
        <w:rPr>
          <w:rFonts w:hint="eastAsia"/>
          <w:sz w:val="21"/>
          <w:szCs w:val="21"/>
        </w:rPr>
        <w:t>19.1评标应全程保密且不得透露给任一投标人或与评标工作无关的人员。</w:t>
      </w:r>
    </w:p>
    <w:p>
      <w:pPr>
        <w:pStyle w:val="32"/>
        <w:spacing w:before="0" w:beforeAutospacing="0" w:after="0" w:afterAutospacing="0" w:line="460" w:lineRule="exact"/>
        <w:ind w:firstLine="420" w:firstLineChars="200"/>
        <w:rPr>
          <w:sz w:val="21"/>
          <w:szCs w:val="21"/>
        </w:rPr>
      </w:pPr>
      <w:r>
        <w:rPr>
          <w:rFonts w:hint="eastAsia"/>
          <w:sz w:val="21"/>
          <w:szCs w:val="21"/>
        </w:rPr>
        <w:t>19.2评标将进行全程实时录音录像，录音录像资料随采购文件一并存档。</w:t>
      </w:r>
    </w:p>
    <w:p>
      <w:pPr>
        <w:spacing w:line="460" w:lineRule="exact"/>
        <w:ind w:firstLine="420" w:firstLineChars="200"/>
        <w:rPr>
          <w:rFonts w:ascii="宋体" w:hAnsi="宋体"/>
          <w:szCs w:val="21"/>
        </w:rPr>
      </w:pPr>
      <w:r>
        <w:rPr>
          <w:rFonts w:hint="eastAsia" w:ascii="宋体" w:hAnsi="宋体" w:cs="宋体"/>
          <w:szCs w:val="21"/>
        </w:rPr>
        <w:t>19.3若投标人有任何试图干扰具体评标事务，影响评标委员会独立履行职责的行为，其</w:t>
      </w:r>
      <w:r>
        <w:rPr>
          <w:rFonts w:hint="eastAsia" w:ascii="宋体" w:hAnsi="宋体" w:cs="宋体"/>
          <w:b/>
          <w:bCs/>
          <w:szCs w:val="21"/>
        </w:rPr>
        <w:t>投标无效</w:t>
      </w:r>
      <w:r>
        <w:rPr>
          <w:rFonts w:hint="eastAsia" w:ascii="宋体" w:hAnsi="宋体" w:cs="宋体"/>
          <w:szCs w:val="21"/>
        </w:rPr>
        <w:t>且不予退还投标保证金。情节严重的，由财政部门列入不良行为记录。</w:t>
      </w:r>
    </w:p>
    <w:p>
      <w:pPr>
        <w:spacing w:line="460" w:lineRule="exact"/>
        <w:rPr>
          <w:rFonts w:ascii="宋体" w:hAnsi="宋体"/>
          <w:szCs w:val="21"/>
        </w:rPr>
      </w:pPr>
      <w:r>
        <w:rPr>
          <w:rFonts w:hint="eastAsia" w:ascii="宋体" w:hAnsi="宋体"/>
          <w:szCs w:val="21"/>
        </w:rPr>
        <w:t>20、比较与评价</w:t>
      </w:r>
    </w:p>
    <w:p>
      <w:pPr>
        <w:widowControl/>
        <w:spacing w:line="460" w:lineRule="exact"/>
        <w:ind w:firstLine="480"/>
        <w:jc w:val="left"/>
        <w:rPr>
          <w:rFonts w:ascii="宋体" w:hAnsi="宋体" w:cs="宋体"/>
          <w:kern w:val="0"/>
          <w:szCs w:val="21"/>
        </w:rPr>
      </w:pPr>
      <w:r>
        <w:rPr>
          <w:rFonts w:hint="eastAsia" w:ascii="宋体" w:hAnsi="宋体" w:cs="宋体"/>
          <w:kern w:val="0"/>
          <w:szCs w:val="21"/>
        </w:rPr>
        <w:t>20.1</w:t>
      </w:r>
      <w:r>
        <w:rPr>
          <w:rFonts w:ascii="宋体" w:hAnsi="宋体" w:cs="宋体"/>
          <w:kern w:val="0"/>
          <w:szCs w:val="21"/>
        </w:rPr>
        <w:t>按照本章</w:t>
      </w:r>
      <w:r>
        <w:rPr>
          <w:rFonts w:hint="eastAsia" w:ascii="宋体" w:hAnsi="宋体" w:cs="宋体"/>
          <w:kern w:val="0"/>
          <w:szCs w:val="21"/>
        </w:rPr>
        <w:t>第四章评标标准和方法</w:t>
      </w:r>
      <w:r>
        <w:rPr>
          <w:rFonts w:ascii="宋体" w:hAnsi="宋体" w:cs="宋体"/>
          <w:kern w:val="0"/>
          <w:szCs w:val="21"/>
        </w:rPr>
        <w:t>载明的评标方法和标准，对符合性审查合格的投标文件进行比较与评价。</w:t>
      </w:r>
    </w:p>
    <w:p>
      <w:pPr>
        <w:widowControl/>
        <w:spacing w:line="460" w:lineRule="exact"/>
        <w:ind w:firstLine="480"/>
        <w:jc w:val="left"/>
        <w:rPr>
          <w:rFonts w:ascii="宋体" w:hAnsi="宋体" w:cs="宋体"/>
          <w:kern w:val="0"/>
          <w:szCs w:val="21"/>
        </w:rPr>
      </w:pPr>
      <w:r>
        <w:rPr>
          <w:rFonts w:hint="eastAsia" w:ascii="宋体" w:hAnsi="宋体" w:cs="宋体"/>
          <w:kern w:val="0"/>
          <w:szCs w:val="21"/>
        </w:rPr>
        <w:t>20.2</w:t>
      </w:r>
      <w:r>
        <w:rPr>
          <w:rFonts w:ascii="宋体" w:hAnsi="宋体" w:cs="宋体"/>
          <w:kern w:val="0"/>
          <w:szCs w:val="21"/>
        </w:rPr>
        <w:t>关于相同品牌产品</w:t>
      </w:r>
    </w:p>
    <w:p>
      <w:pPr>
        <w:widowControl/>
        <w:spacing w:line="460" w:lineRule="exact"/>
        <w:ind w:firstLine="480"/>
        <w:jc w:val="left"/>
        <w:rPr>
          <w:rFonts w:ascii="宋体" w:hAnsi="宋体" w:cs="宋体"/>
          <w:kern w:val="0"/>
          <w:szCs w:val="21"/>
        </w:rPr>
      </w:pPr>
      <w:r>
        <w:rPr>
          <w:rFonts w:hint="eastAsia" w:ascii="宋体" w:hAnsi="宋体" w:cs="宋体"/>
          <w:kern w:val="0"/>
          <w:szCs w:val="21"/>
        </w:rPr>
        <w:t>①</w:t>
      </w:r>
      <w:r>
        <w:rPr>
          <w:rFonts w:ascii="宋体" w:hAnsi="宋体" w:cs="宋体"/>
          <w:kern w:val="0"/>
          <w:szCs w:val="21"/>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pPr>
        <w:widowControl/>
        <w:spacing w:line="460" w:lineRule="exact"/>
        <w:ind w:firstLine="480"/>
        <w:jc w:val="left"/>
        <w:rPr>
          <w:rFonts w:ascii="宋体" w:hAnsi="宋体" w:cs="宋体"/>
          <w:kern w:val="0"/>
          <w:szCs w:val="21"/>
        </w:rPr>
      </w:pPr>
      <w:r>
        <w:rPr>
          <w:rFonts w:ascii="宋体" w:hAnsi="宋体" w:cs="宋体"/>
          <w:kern w:val="0"/>
          <w:szCs w:val="21"/>
        </w:rPr>
        <w:t>a.招标文件规定的方式：</w:t>
      </w:r>
      <w:r>
        <w:rPr>
          <w:rFonts w:ascii="宋体" w:hAnsi="宋体" w:cs="宋体"/>
          <w:kern w:val="0"/>
          <w:szCs w:val="21"/>
          <w:u w:val="single"/>
        </w:rPr>
        <w:t>无。</w:t>
      </w:r>
      <w:r>
        <w:rPr>
          <w:rFonts w:ascii="宋体" w:hAnsi="宋体" w:cs="宋体"/>
          <w:kern w:val="0"/>
          <w:szCs w:val="21"/>
        </w:rPr>
        <w:t>。</w:t>
      </w:r>
    </w:p>
    <w:p>
      <w:pPr>
        <w:widowControl/>
        <w:spacing w:line="460" w:lineRule="exact"/>
        <w:ind w:firstLine="480"/>
        <w:jc w:val="left"/>
        <w:rPr>
          <w:rFonts w:ascii="宋体" w:hAnsi="宋体" w:cs="宋体"/>
          <w:kern w:val="0"/>
          <w:szCs w:val="21"/>
        </w:rPr>
      </w:pPr>
      <w:r>
        <w:rPr>
          <w:rFonts w:ascii="宋体" w:hAnsi="宋体" w:cs="宋体"/>
          <w:kern w:val="0"/>
          <w:szCs w:val="21"/>
        </w:rPr>
        <w:t>b.招标文件未规定的，采取随机抽取方式确定，其他</w:t>
      </w:r>
      <w:r>
        <w:rPr>
          <w:rFonts w:ascii="宋体" w:hAnsi="宋体" w:cs="宋体"/>
          <w:b/>
          <w:bCs/>
          <w:kern w:val="0"/>
          <w:szCs w:val="21"/>
        </w:rPr>
        <w:t>投标无效。</w:t>
      </w:r>
    </w:p>
    <w:p>
      <w:pPr>
        <w:widowControl/>
        <w:spacing w:line="460" w:lineRule="exact"/>
        <w:ind w:firstLine="480"/>
        <w:jc w:val="left"/>
        <w:rPr>
          <w:rFonts w:ascii="宋体" w:hAnsi="宋体" w:cs="宋体"/>
          <w:kern w:val="0"/>
          <w:szCs w:val="21"/>
        </w:rPr>
      </w:pPr>
      <w:r>
        <w:rPr>
          <w:rFonts w:hint="eastAsia" w:ascii="宋体" w:hAnsi="宋体" w:cs="宋体"/>
          <w:kern w:val="0"/>
          <w:szCs w:val="21"/>
        </w:rPr>
        <w:t>②</w:t>
      </w:r>
      <w:r>
        <w:rPr>
          <w:rFonts w:ascii="宋体" w:hAnsi="宋体" w:cs="宋体"/>
          <w:kern w:val="0"/>
          <w:szCs w:val="21"/>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widowControl/>
        <w:spacing w:line="460" w:lineRule="exact"/>
        <w:ind w:firstLine="480"/>
        <w:jc w:val="left"/>
        <w:rPr>
          <w:rFonts w:ascii="宋体" w:hAnsi="宋体" w:cs="宋体"/>
          <w:kern w:val="0"/>
          <w:szCs w:val="21"/>
        </w:rPr>
      </w:pPr>
      <w:r>
        <w:rPr>
          <w:rFonts w:ascii="宋体" w:hAnsi="宋体" w:cs="宋体"/>
          <w:kern w:val="0"/>
          <w:szCs w:val="21"/>
        </w:rPr>
        <w:t>a.招标文件规定的方式：</w:t>
      </w:r>
      <w:r>
        <w:rPr>
          <w:rFonts w:ascii="宋体" w:hAnsi="宋体" w:cs="宋体"/>
          <w:kern w:val="0"/>
          <w:szCs w:val="21"/>
          <w:u w:val="single"/>
        </w:rPr>
        <w:t>无。</w:t>
      </w:r>
      <w:r>
        <w:rPr>
          <w:rFonts w:ascii="宋体" w:hAnsi="宋体" w:cs="宋体"/>
          <w:kern w:val="0"/>
          <w:szCs w:val="21"/>
        </w:rPr>
        <w:t>。</w:t>
      </w:r>
    </w:p>
    <w:p>
      <w:pPr>
        <w:widowControl/>
        <w:spacing w:line="460" w:lineRule="exact"/>
        <w:ind w:firstLine="480"/>
        <w:jc w:val="left"/>
        <w:rPr>
          <w:rFonts w:ascii="宋体" w:hAnsi="宋体" w:cs="宋体"/>
          <w:kern w:val="0"/>
          <w:szCs w:val="21"/>
        </w:rPr>
      </w:pPr>
      <w:r>
        <w:rPr>
          <w:rFonts w:ascii="宋体" w:hAnsi="宋体" w:cs="宋体"/>
          <w:kern w:val="0"/>
          <w:szCs w:val="21"/>
        </w:rPr>
        <w:t>b.招标文件未规定的，采取随机抽取方式确定，其他同品牌投标人不作为中标候选人。</w:t>
      </w:r>
    </w:p>
    <w:p>
      <w:pPr>
        <w:widowControl/>
        <w:spacing w:line="460" w:lineRule="exact"/>
        <w:ind w:firstLine="480"/>
        <w:jc w:val="left"/>
        <w:rPr>
          <w:rFonts w:ascii="宋体" w:hAnsi="宋体" w:cs="宋体"/>
          <w:kern w:val="0"/>
          <w:szCs w:val="21"/>
        </w:rPr>
      </w:pPr>
      <w:r>
        <w:rPr>
          <w:rFonts w:hint="eastAsia" w:ascii="宋体" w:hAnsi="宋体" w:cs="宋体"/>
          <w:kern w:val="0"/>
          <w:szCs w:val="21"/>
        </w:rPr>
        <w:t>③</w:t>
      </w:r>
      <w:r>
        <w:rPr>
          <w:rFonts w:ascii="宋体" w:hAnsi="宋体" w:cs="宋体"/>
          <w:kern w:val="0"/>
          <w:szCs w:val="21"/>
        </w:rPr>
        <w:t>非单一产品采购项目，多家投标人提供的核心产品品牌相同的，按照本章第</w:t>
      </w:r>
      <w:r>
        <w:rPr>
          <w:rFonts w:hint="eastAsia" w:ascii="宋体" w:hAnsi="宋体" w:cs="宋体"/>
          <w:kern w:val="0"/>
          <w:szCs w:val="21"/>
        </w:rPr>
        <w:t>21</w:t>
      </w:r>
      <w:r>
        <w:rPr>
          <w:rFonts w:ascii="宋体" w:hAnsi="宋体" w:cs="宋体"/>
          <w:kern w:val="0"/>
          <w:szCs w:val="21"/>
        </w:rPr>
        <w:t>条第</w:t>
      </w:r>
      <w:r>
        <w:rPr>
          <w:rFonts w:hint="eastAsia" w:ascii="宋体" w:hAnsi="宋体" w:cs="宋体"/>
          <w:kern w:val="0"/>
          <w:szCs w:val="21"/>
        </w:rPr>
        <w:t>20.2</w:t>
      </w:r>
      <w:r>
        <w:rPr>
          <w:rFonts w:ascii="宋体" w:hAnsi="宋体" w:cs="宋体"/>
          <w:kern w:val="0"/>
          <w:szCs w:val="21"/>
        </w:rPr>
        <w:t>款第</w:t>
      </w:r>
      <w:r>
        <w:rPr>
          <w:rFonts w:hint="eastAsia" w:ascii="宋体" w:hAnsi="宋体" w:cs="宋体"/>
          <w:kern w:val="0"/>
          <w:szCs w:val="21"/>
        </w:rPr>
        <w:t>①</w:t>
      </w:r>
      <w:r>
        <w:rPr>
          <w:rFonts w:ascii="宋体" w:hAnsi="宋体" w:cs="宋体"/>
          <w:kern w:val="0"/>
          <w:szCs w:val="21"/>
        </w:rPr>
        <w:t>、</w:t>
      </w:r>
      <w:r>
        <w:rPr>
          <w:rFonts w:hint="eastAsia" w:ascii="宋体" w:hAnsi="宋体" w:cs="宋体"/>
          <w:kern w:val="0"/>
          <w:szCs w:val="21"/>
        </w:rPr>
        <w:t>②</w:t>
      </w:r>
      <w:r>
        <w:rPr>
          <w:rFonts w:ascii="宋体" w:hAnsi="宋体" w:cs="宋体"/>
          <w:kern w:val="0"/>
          <w:szCs w:val="21"/>
        </w:rPr>
        <w:t>规定处理。</w:t>
      </w:r>
    </w:p>
    <w:p>
      <w:pPr>
        <w:widowControl/>
        <w:spacing w:line="460" w:lineRule="exact"/>
        <w:ind w:firstLine="480"/>
        <w:jc w:val="left"/>
        <w:rPr>
          <w:rFonts w:ascii="宋体" w:hAnsi="宋体" w:cs="宋体"/>
          <w:kern w:val="0"/>
          <w:szCs w:val="21"/>
        </w:rPr>
      </w:pPr>
      <w:r>
        <w:rPr>
          <w:rFonts w:hint="eastAsia" w:ascii="宋体" w:hAnsi="宋体" w:cs="宋体"/>
          <w:kern w:val="0"/>
          <w:szCs w:val="21"/>
        </w:rPr>
        <w:t>20.3</w:t>
      </w:r>
      <w:r>
        <w:rPr>
          <w:rFonts w:ascii="宋体" w:hAnsi="宋体" w:cs="宋体"/>
          <w:kern w:val="0"/>
          <w:szCs w:val="21"/>
        </w:rPr>
        <w:t>漏（缺）项</w:t>
      </w:r>
    </w:p>
    <w:p>
      <w:pPr>
        <w:widowControl/>
        <w:spacing w:line="460" w:lineRule="exact"/>
        <w:ind w:firstLine="480"/>
        <w:jc w:val="left"/>
        <w:rPr>
          <w:rFonts w:ascii="宋体" w:hAnsi="宋体" w:cs="宋体"/>
          <w:kern w:val="0"/>
          <w:szCs w:val="21"/>
        </w:rPr>
      </w:pPr>
      <w:r>
        <w:rPr>
          <w:rFonts w:hint="eastAsia" w:ascii="宋体" w:hAnsi="宋体" w:cs="宋体"/>
          <w:kern w:val="0"/>
          <w:szCs w:val="21"/>
        </w:rPr>
        <w:t>①</w:t>
      </w:r>
      <w:r>
        <w:rPr>
          <w:rFonts w:ascii="宋体" w:hAnsi="宋体" w:cs="宋体"/>
          <w:kern w:val="0"/>
          <w:szCs w:val="21"/>
        </w:rPr>
        <w:t>招标文件中要求列入报价的费用（含配置、功能），漏（缺）项的报价视为已经包括在投标总价中。</w:t>
      </w:r>
    </w:p>
    <w:p>
      <w:pPr>
        <w:spacing w:line="460" w:lineRule="exact"/>
        <w:ind w:firstLine="480"/>
        <w:rPr>
          <w:rFonts w:ascii="宋体" w:hAnsi="宋体"/>
          <w:szCs w:val="21"/>
        </w:rPr>
      </w:pPr>
      <w:r>
        <w:rPr>
          <w:rFonts w:hint="eastAsia" w:ascii="宋体" w:hAnsi="宋体" w:cs="宋体"/>
          <w:kern w:val="0"/>
          <w:szCs w:val="21"/>
        </w:rPr>
        <w:t>②</w:t>
      </w:r>
      <w:r>
        <w:rPr>
          <w:rFonts w:ascii="宋体" w:hAnsi="宋体" w:cs="宋体"/>
          <w:kern w:val="0"/>
          <w:szCs w:val="21"/>
        </w:rPr>
        <w:t>对多报项及赠送项的价格评标时不予核减，全部进入评标价评议。</w:t>
      </w:r>
    </w:p>
    <w:p>
      <w:pPr>
        <w:pStyle w:val="32"/>
        <w:spacing w:before="0" w:beforeAutospacing="0" w:after="0" w:afterAutospacing="0" w:line="460" w:lineRule="exact"/>
        <w:jc w:val="center"/>
        <w:rPr>
          <w:sz w:val="21"/>
          <w:szCs w:val="21"/>
        </w:rPr>
      </w:pPr>
      <w:bookmarkStart w:id="46" w:name="_Toc381776170"/>
      <w:bookmarkStart w:id="47" w:name="_Toc1124"/>
      <w:r>
        <w:rPr>
          <w:rStyle w:val="39"/>
          <w:rFonts w:hint="eastAsia"/>
          <w:sz w:val="21"/>
          <w:szCs w:val="21"/>
        </w:rPr>
        <w:t>六、中标与采购合同</w:t>
      </w:r>
    </w:p>
    <w:p>
      <w:pPr>
        <w:spacing w:line="460" w:lineRule="exact"/>
        <w:outlineLvl w:val="2"/>
        <w:rPr>
          <w:rFonts w:ascii="宋体" w:hAnsi="宋体" w:cs="宋体"/>
          <w:szCs w:val="21"/>
        </w:rPr>
      </w:pPr>
      <w:bookmarkStart w:id="48" w:name="_Toc74326521"/>
      <w:bookmarkStart w:id="49" w:name="_Toc5343"/>
      <w:bookmarkStart w:id="50" w:name="_Toc74083214"/>
      <w:r>
        <w:rPr>
          <w:rFonts w:hint="eastAsia" w:ascii="宋体" w:hAnsi="宋体" w:cs="宋体"/>
          <w:szCs w:val="21"/>
        </w:rPr>
        <w:t>21. 中标</w:t>
      </w:r>
      <w:bookmarkEnd w:id="48"/>
      <w:bookmarkEnd w:id="49"/>
      <w:bookmarkEnd w:id="50"/>
    </w:p>
    <w:p>
      <w:pPr>
        <w:spacing w:line="460" w:lineRule="exact"/>
        <w:ind w:firstLine="420" w:firstLineChars="200"/>
        <w:rPr>
          <w:rFonts w:ascii="宋体" w:hAnsi="宋体" w:cs="宋体"/>
          <w:szCs w:val="21"/>
        </w:rPr>
      </w:pPr>
      <w:r>
        <w:rPr>
          <w:rFonts w:hint="eastAsia" w:ascii="宋体" w:hAnsi="宋体" w:cs="宋体"/>
          <w:szCs w:val="21"/>
        </w:rPr>
        <w:t>21.1本项目推荐的中标候选人家数：详见招标文件本章《投标须知前附表》。</w:t>
      </w:r>
    </w:p>
    <w:p>
      <w:pPr>
        <w:spacing w:line="460" w:lineRule="exact"/>
        <w:ind w:firstLine="420" w:firstLineChars="200"/>
        <w:rPr>
          <w:rFonts w:ascii="宋体" w:hAnsi="宋体" w:cs="宋体"/>
          <w:szCs w:val="21"/>
        </w:rPr>
      </w:pPr>
      <w:r>
        <w:rPr>
          <w:rFonts w:hint="eastAsia" w:ascii="宋体" w:hAnsi="宋体" w:cs="宋体"/>
          <w:szCs w:val="21"/>
        </w:rPr>
        <w:t>21.2本项目中标人的确定：详见招标文件第二章《投标须知前附表》。</w:t>
      </w:r>
    </w:p>
    <w:p>
      <w:pPr>
        <w:spacing w:line="460" w:lineRule="exact"/>
        <w:ind w:firstLine="420" w:firstLineChars="200"/>
        <w:rPr>
          <w:rFonts w:ascii="宋体" w:hAnsi="宋体" w:cs="宋体"/>
          <w:szCs w:val="21"/>
        </w:rPr>
      </w:pPr>
      <w:r>
        <w:rPr>
          <w:rFonts w:hint="eastAsia" w:ascii="宋体" w:hAnsi="宋体" w:cs="宋体"/>
          <w:szCs w:val="21"/>
        </w:rPr>
        <w:t>21.3中标公告</w:t>
      </w:r>
    </w:p>
    <w:p>
      <w:pPr>
        <w:spacing w:line="460" w:lineRule="exact"/>
        <w:ind w:firstLine="420" w:firstLineChars="200"/>
        <w:rPr>
          <w:rFonts w:ascii="宋体" w:hAnsi="宋体" w:cs="宋体"/>
          <w:szCs w:val="21"/>
        </w:rPr>
      </w:pPr>
      <w:r>
        <w:rPr>
          <w:rFonts w:hint="eastAsia" w:ascii="宋体" w:hAnsi="宋体" w:cs="宋体"/>
          <w:szCs w:val="21"/>
        </w:rPr>
        <w:t>（1）评标结束后，评标结果经招标人确认后，招标代理机构应在刊登本采购项目招标公告的媒介上进行中标公示，招标代理机构向中标人发出中标通知书。</w:t>
      </w:r>
    </w:p>
    <w:p>
      <w:pPr>
        <w:spacing w:line="460" w:lineRule="exact"/>
        <w:ind w:firstLine="420" w:firstLineChars="200"/>
        <w:rPr>
          <w:rFonts w:ascii="宋体" w:hAnsi="宋体" w:cs="宋体"/>
          <w:szCs w:val="21"/>
        </w:rPr>
      </w:pPr>
      <w:r>
        <w:rPr>
          <w:rFonts w:hint="eastAsia" w:ascii="宋体" w:hAnsi="宋体" w:cs="宋体"/>
          <w:szCs w:val="21"/>
        </w:rPr>
        <w:t>（2）中标公告同时作为福建优胜招标项目管理集团有限公司通知除中标人外的其他投标人没有中标的书面形式。</w:t>
      </w:r>
    </w:p>
    <w:p>
      <w:pPr>
        <w:spacing w:line="460" w:lineRule="exact"/>
        <w:ind w:firstLine="420" w:firstLineChars="200"/>
        <w:rPr>
          <w:rFonts w:ascii="宋体" w:hAnsi="宋体" w:cs="宋体"/>
          <w:szCs w:val="21"/>
        </w:rPr>
      </w:pPr>
      <w:r>
        <w:rPr>
          <w:rFonts w:hint="eastAsia" w:ascii="宋体" w:hAnsi="宋体" w:cs="宋体"/>
          <w:szCs w:val="21"/>
        </w:rPr>
        <w:t>21.4中标通知书</w:t>
      </w:r>
    </w:p>
    <w:p>
      <w:pPr>
        <w:spacing w:line="460" w:lineRule="exact"/>
        <w:ind w:firstLine="420" w:firstLineChars="200"/>
        <w:rPr>
          <w:rFonts w:ascii="宋体" w:hAnsi="宋体" w:cs="宋体"/>
          <w:szCs w:val="21"/>
        </w:rPr>
      </w:pPr>
      <w:r>
        <w:rPr>
          <w:rFonts w:hint="eastAsia" w:ascii="宋体" w:hAnsi="宋体" w:cs="宋体"/>
          <w:szCs w:val="21"/>
        </w:rPr>
        <w:t>（1）中标公告发布的同时，福建优胜招标项目管理集团有限公司将向中标人发出中标通知书。</w:t>
      </w:r>
    </w:p>
    <w:p>
      <w:pPr>
        <w:spacing w:line="460" w:lineRule="exact"/>
        <w:ind w:firstLine="420" w:firstLineChars="200"/>
        <w:rPr>
          <w:rFonts w:ascii="宋体" w:hAnsi="宋体" w:cs="宋体"/>
          <w:szCs w:val="21"/>
        </w:rPr>
      </w:pPr>
      <w:r>
        <w:rPr>
          <w:rFonts w:hint="eastAsia" w:ascii="宋体" w:hAnsi="宋体" w:cs="宋体"/>
          <w:szCs w:val="21"/>
        </w:rPr>
        <w:t>（2）中标通知书发出后，招标人不得违法改变中标结果，中标人无正当理由不得放弃中标。</w:t>
      </w:r>
    </w:p>
    <w:p>
      <w:pPr>
        <w:spacing w:line="460" w:lineRule="exact"/>
        <w:outlineLvl w:val="2"/>
        <w:rPr>
          <w:rFonts w:ascii="宋体" w:hAnsi="宋体" w:cs="宋体"/>
          <w:szCs w:val="21"/>
        </w:rPr>
      </w:pPr>
      <w:bookmarkStart w:id="51" w:name="_Toc32370"/>
      <w:bookmarkStart w:id="52" w:name="_Toc74083215"/>
      <w:bookmarkStart w:id="53" w:name="_Toc74326522"/>
      <w:r>
        <w:rPr>
          <w:rFonts w:hint="eastAsia" w:ascii="宋体" w:hAnsi="宋体" w:cs="宋体"/>
          <w:szCs w:val="21"/>
        </w:rPr>
        <w:t>22. 采购合同</w:t>
      </w:r>
      <w:bookmarkEnd w:id="51"/>
      <w:bookmarkEnd w:id="52"/>
      <w:bookmarkEnd w:id="53"/>
    </w:p>
    <w:p>
      <w:pPr>
        <w:spacing w:line="460" w:lineRule="exact"/>
        <w:ind w:firstLine="420" w:firstLineChars="200"/>
        <w:rPr>
          <w:rFonts w:ascii="宋体" w:hAnsi="宋体" w:cs="宋体"/>
          <w:szCs w:val="21"/>
        </w:rPr>
      </w:pPr>
      <w:r>
        <w:rPr>
          <w:rFonts w:hint="eastAsia" w:ascii="宋体" w:hAnsi="宋体" w:cs="宋体"/>
          <w:szCs w:val="21"/>
        </w:rPr>
        <w:t>22.1签订采购合同应遵守国家相关法律及实施条例的规定，不得对招标文件确定的事项和中标人的投标文件作实质性修改。招标人不得向中标人提出任何不合理的要求作为采购合同的签订条件。</w:t>
      </w:r>
    </w:p>
    <w:p>
      <w:pPr>
        <w:spacing w:line="460" w:lineRule="exact"/>
        <w:ind w:firstLine="420" w:firstLineChars="200"/>
        <w:rPr>
          <w:rFonts w:ascii="宋体" w:hAnsi="宋体" w:cs="宋体"/>
          <w:szCs w:val="21"/>
        </w:rPr>
      </w:pPr>
      <w:r>
        <w:rPr>
          <w:rFonts w:hint="eastAsia" w:ascii="宋体" w:hAnsi="宋体" w:cs="宋体"/>
          <w:szCs w:val="21"/>
        </w:rPr>
        <w:t>22.2签订时限：</w:t>
      </w:r>
      <w:r>
        <w:rPr>
          <w:rFonts w:hint="eastAsia" w:ascii="宋体" w:hAnsi="宋体"/>
          <w:b/>
          <w:szCs w:val="21"/>
        </w:rPr>
        <w:t>中标公告期结束之日起</w:t>
      </w:r>
      <w:r>
        <w:rPr>
          <w:rFonts w:hint="eastAsia" w:ascii="宋体" w:hAnsi="宋体" w:cs="宋体"/>
          <w:b/>
          <w:bCs/>
          <w:szCs w:val="21"/>
        </w:rPr>
        <w:t>30</w:t>
      </w:r>
      <w:r>
        <w:rPr>
          <w:rFonts w:hint="eastAsia" w:ascii="宋体" w:hAnsi="宋体"/>
          <w:b/>
          <w:bCs/>
          <w:szCs w:val="21"/>
        </w:rPr>
        <w:t>个日历日内</w:t>
      </w:r>
      <w:r>
        <w:rPr>
          <w:rFonts w:hint="eastAsia" w:ascii="宋体" w:hAnsi="宋体" w:cs="宋体"/>
          <w:szCs w:val="21"/>
        </w:rPr>
        <w:t>。</w:t>
      </w:r>
    </w:p>
    <w:p>
      <w:pPr>
        <w:spacing w:line="460" w:lineRule="exact"/>
        <w:ind w:firstLine="420" w:firstLineChars="200"/>
        <w:rPr>
          <w:rFonts w:ascii="宋体" w:hAnsi="宋体" w:cs="宋体"/>
          <w:szCs w:val="21"/>
        </w:rPr>
      </w:pPr>
      <w:r>
        <w:rPr>
          <w:rFonts w:hint="eastAsia" w:ascii="宋体" w:hAnsi="宋体" w:cs="宋体"/>
          <w:szCs w:val="21"/>
        </w:rPr>
        <w:t>22.3采购合同的履行、违约责任和解决争议的方法等适用合同法。</w:t>
      </w:r>
    </w:p>
    <w:p>
      <w:pPr>
        <w:spacing w:line="460" w:lineRule="exact"/>
        <w:ind w:firstLine="420" w:firstLineChars="200"/>
        <w:rPr>
          <w:rFonts w:ascii="宋体" w:hAnsi="宋体" w:cs="宋体"/>
          <w:szCs w:val="21"/>
        </w:rPr>
      </w:pPr>
      <w:r>
        <w:rPr>
          <w:rFonts w:hint="eastAsia" w:ascii="宋体" w:hAnsi="宋体" w:cs="宋体"/>
          <w:szCs w:val="21"/>
        </w:rPr>
        <w:t>22.4招标人与中标人应根据采购合同的约定依法履行合同义务。</w:t>
      </w:r>
    </w:p>
    <w:p>
      <w:pPr>
        <w:spacing w:line="460" w:lineRule="exact"/>
        <w:ind w:firstLine="420" w:firstLineChars="200"/>
        <w:rPr>
          <w:rFonts w:ascii="宋体" w:hAnsi="宋体" w:cs="宋体"/>
          <w:szCs w:val="21"/>
        </w:rPr>
      </w:pPr>
      <w:r>
        <w:rPr>
          <w:rFonts w:hint="eastAsia" w:ascii="宋体" w:hAnsi="宋体" w:cs="宋体"/>
          <w:szCs w:val="21"/>
        </w:rPr>
        <w:t>22.5采购合同履行过程中，招标人若需追加与合同标的相同的货物或服务，则追加采购金额不得超过原采购金额的</w:t>
      </w:r>
      <w:r>
        <w:rPr>
          <w:rFonts w:ascii="宋体" w:hAnsi="宋体" w:cs="宋体"/>
          <w:szCs w:val="21"/>
        </w:rPr>
        <w:t>10%</w:t>
      </w:r>
      <w:r>
        <w:rPr>
          <w:rFonts w:hint="eastAsia" w:ascii="宋体" w:hAnsi="宋体" w:cs="宋体"/>
          <w:szCs w:val="21"/>
        </w:rPr>
        <w:t>。</w:t>
      </w:r>
    </w:p>
    <w:p>
      <w:pPr>
        <w:spacing w:line="460" w:lineRule="exact"/>
        <w:ind w:firstLine="420" w:firstLineChars="200"/>
        <w:rPr>
          <w:rStyle w:val="39"/>
          <w:rFonts w:ascii="宋体" w:hAnsi="宋体" w:cs="宋体"/>
          <w:b w:val="0"/>
          <w:bCs w:val="0"/>
          <w:szCs w:val="21"/>
        </w:rPr>
      </w:pPr>
      <w:r>
        <w:rPr>
          <w:rFonts w:hint="eastAsia" w:ascii="宋体" w:hAnsi="宋体" w:cs="宋体"/>
          <w:szCs w:val="21"/>
        </w:rPr>
        <w:t>22.6中标人在采购合同履行过程中应遵守有关法律、法规和规章的强制性规定（即使前述强制性规定有可能在招标文件中未予列明）。</w:t>
      </w:r>
    </w:p>
    <w:p>
      <w:pPr>
        <w:spacing w:line="460" w:lineRule="exact"/>
        <w:jc w:val="center"/>
        <w:outlineLvl w:val="1"/>
        <w:rPr>
          <w:rFonts w:ascii="宋体" w:hAnsi="宋体"/>
          <w:szCs w:val="21"/>
        </w:rPr>
      </w:pPr>
      <w:bookmarkStart w:id="54" w:name="_Toc74326523"/>
      <w:bookmarkStart w:id="55" w:name="_Toc74083216"/>
      <w:bookmarkStart w:id="56" w:name="_Toc11956"/>
      <w:r>
        <w:rPr>
          <w:rStyle w:val="39"/>
          <w:rFonts w:hint="eastAsia" w:ascii="宋体" w:hAnsi="宋体" w:cs="宋体"/>
          <w:szCs w:val="21"/>
        </w:rPr>
        <w:t>七、询问、质疑与投诉</w:t>
      </w:r>
      <w:bookmarkEnd w:id="54"/>
      <w:bookmarkEnd w:id="55"/>
      <w:bookmarkEnd w:id="56"/>
    </w:p>
    <w:p>
      <w:pPr>
        <w:spacing w:line="460" w:lineRule="exact"/>
        <w:outlineLvl w:val="2"/>
        <w:rPr>
          <w:rFonts w:ascii="宋体" w:hAnsi="宋体" w:cs="宋体"/>
          <w:szCs w:val="21"/>
        </w:rPr>
      </w:pPr>
      <w:bookmarkStart w:id="57" w:name="_Toc30832"/>
      <w:bookmarkStart w:id="58" w:name="_Toc74326524"/>
      <w:bookmarkStart w:id="59" w:name="_Toc74083217"/>
      <w:r>
        <w:rPr>
          <w:rFonts w:hint="eastAsia" w:ascii="宋体" w:hAnsi="宋体" w:cs="宋体"/>
          <w:szCs w:val="21"/>
        </w:rPr>
        <w:t>23.询问</w:t>
      </w:r>
      <w:bookmarkEnd w:id="57"/>
      <w:bookmarkEnd w:id="58"/>
      <w:bookmarkEnd w:id="59"/>
    </w:p>
    <w:p>
      <w:pPr>
        <w:spacing w:line="460" w:lineRule="exact"/>
        <w:ind w:firstLine="420" w:firstLineChars="200"/>
        <w:rPr>
          <w:rFonts w:ascii="宋体" w:hAnsi="宋体" w:cs="宋体"/>
          <w:szCs w:val="21"/>
        </w:rPr>
      </w:pPr>
      <w:r>
        <w:rPr>
          <w:rFonts w:hint="eastAsia" w:ascii="宋体" w:hAnsi="宋体" w:cs="宋体"/>
          <w:szCs w:val="21"/>
        </w:rPr>
        <w:t>23.1潜在投标人或投标人对本次采购活动的有关事项若有疑问，可向招标人提出询问，招标人将按照有关规定进行答复。</w:t>
      </w:r>
    </w:p>
    <w:p>
      <w:pPr>
        <w:spacing w:line="460" w:lineRule="exact"/>
        <w:outlineLvl w:val="2"/>
        <w:rPr>
          <w:rFonts w:ascii="宋体" w:hAnsi="宋体" w:cs="宋体"/>
          <w:szCs w:val="21"/>
        </w:rPr>
      </w:pPr>
      <w:bookmarkStart w:id="60" w:name="_Toc74326525"/>
      <w:bookmarkStart w:id="61" w:name="_Toc26468"/>
      <w:bookmarkStart w:id="62" w:name="_Toc74083218"/>
      <w:r>
        <w:rPr>
          <w:rFonts w:hint="eastAsia" w:ascii="宋体" w:hAnsi="宋体" w:cs="宋体"/>
          <w:szCs w:val="21"/>
        </w:rPr>
        <w:t>24.质疑</w:t>
      </w:r>
      <w:bookmarkEnd w:id="60"/>
      <w:bookmarkEnd w:id="61"/>
      <w:bookmarkEnd w:id="62"/>
    </w:p>
    <w:p>
      <w:pPr>
        <w:spacing w:line="460" w:lineRule="exact"/>
        <w:ind w:firstLine="420" w:firstLineChars="200"/>
        <w:rPr>
          <w:rFonts w:ascii="宋体" w:hAnsi="宋体" w:cs="宋体"/>
          <w:szCs w:val="21"/>
        </w:rPr>
      </w:pPr>
      <w:r>
        <w:rPr>
          <w:rFonts w:hint="eastAsia" w:ascii="宋体" w:hAnsi="宋体" w:cs="宋体"/>
          <w:szCs w:val="21"/>
        </w:rPr>
        <w:t>24.1针对同一采购程序环节的质疑应在相关法律法规及实施条例规定的时限内一次性提出，并同时符合下列条件：</w:t>
      </w:r>
    </w:p>
    <w:p>
      <w:pPr>
        <w:spacing w:line="460" w:lineRule="exact"/>
        <w:ind w:firstLine="420" w:firstLineChars="200"/>
        <w:rPr>
          <w:rFonts w:ascii="宋体" w:hAnsi="宋体" w:cs="宋体"/>
          <w:szCs w:val="21"/>
        </w:rPr>
      </w:pPr>
      <w:r>
        <w:rPr>
          <w:rFonts w:hint="eastAsia" w:ascii="宋体" w:hAnsi="宋体" w:cs="宋体"/>
          <w:szCs w:val="21"/>
        </w:rPr>
        <w:t>（1）对招标文件提出质疑的，质疑人应为潜在投标人，且两者的身份、名称等均应保持一致。对采购过程、结果提出质疑的，质疑人应为投标人，且两者的身份、名称等均应保持一致。</w:t>
      </w:r>
    </w:p>
    <w:p>
      <w:pPr>
        <w:spacing w:line="460" w:lineRule="exact"/>
        <w:ind w:firstLine="420" w:firstLineChars="200"/>
        <w:rPr>
          <w:rFonts w:ascii="宋体" w:hAnsi="宋体" w:cs="宋体"/>
          <w:szCs w:val="21"/>
        </w:rPr>
      </w:pPr>
      <w:r>
        <w:rPr>
          <w:rFonts w:hint="eastAsia" w:ascii="宋体" w:hAnsi="宋体" w:cs="宋体"/>
          <w:szCs w:val="21"/>
        </w:rPr>
        <w:t>（2）投标人对公告有异议的，应在知道或者应当知道其权益受到损害之日起7个工作日内按以下要求向招标代理机构提交质疑书。</w:t>
      </w:r>
    </w:p>
    <w:p>
      <w:pPr>
        <w:spacing w:line="460" w:lineRule="exact"/>
        <w:ind w:firstLine="420" w:firstLineChars="200"/>
        <w:rPr>
          <w:rFonts w:ascii="宋体" w:hAnsi="宋体" w:cs="宋体"/>
          <w:szCs w:val="21"/>
        </w:rPr>
      </w:pPr>
      <w:r>
        <w:rPr>
          <w:rFonts w:hint="eastAsia" w:ascii="宋体" w:hAnsi="宋体" w:cs="宋体"/>
          <w:szCs w:val="21"/>
        </w:rPr>
        <w:t>（3）质疑函应包括下列主要内容：</w:t>
      </w:r>
    </w:p>
    <w:p>
      <w:pPr>
        <w:spacing w:line="460" w:lineRule="exact"/>
        <w:ind w:firstLine="420" w:firstLineChars="200"/>
        <w:rPr>
          <w:rFonts w:ascii="宋体" w:hAnsi="宋体" w:cs="宋体"/>
          <w:szCs w:val="21"/>
        </w:rPr>
      </w:pPr>
      <w:r>
        <w:rPr>
          <w:rFonts w:hint="eastAsia" w:ascii="宋体" w:hAnsi="宋体" w:cs="宋体"/>
          <w:szCs w:val="21"/>
        </w:rPr>
        <w:t>①质疑人的基本信息，至少包括：全称、地址、邮政编码等；</w:t>
      </w:r>
    </w:p>
    <w:p>
      <w:pPr>
        <w:spacing w:line="460" w:lineRule="exact"/>
        <w:ind w:firstLine="420" w:firstLineChars="200"/>
        <w:rPr>
          <w:rFonts w:ascii="宋体" w:hAnsi="宋体" w:cs="宋体"/>
          <w:szCs w:val="21"/>
        </w:rPr>
      </w:pPr>
      <w:r>
        <w:rPr>
          <w:rFonts w:hint="eastAsia" w:ascii="宋体" w:hAnsi="宋体" w:cs="宋体"/>
          <w:szCs w:val="21"/>
        </w:rPr>
        <w:t>②所质疑项目的基本信息，至少包括：招标编号、项目名称等；</w:t>
      </w:r>
    </w:p>
    <w:p>
      <w:pPr>
        <w:spacing w:line="460" w:lineRule="exact"/>
        <w:ind w:firstLine="420" w:firstLineChars="200"/>
        <w:rPr>
          <w:rFonts w:ascii="宋体" w:hAnsi="宋体" w:cs="宋体"/>
          <w:szCs w:val="21"/>
        </w:rPr>
      </w:pPr>
      <w:r>
        <w:rPr>
          <w:rFonts w:hint="eastAsia" w:ascii="宋体" w:hAnsi="宋体" w:cs="宋体"/>
          <w:szCs w:val="21"/>
        </w:rPr>
        <w:t>③所质疑的具体事项（以下简称：“质疑事项”）；</w:t>
      </w:r>
    </w:p>
    <w:p>
      <w:pPr>
        <w:spacing w:line="460" w:lineRule="exact"/>
        <w:ind w:firstLine="420" w:firstLineChars="200"/>
        <w:rPr>
          <w:rFonts w:ascii="宋体" w:hAnsi="宋体" w:cs="宋体"/>
          <w:szCs w:val="21"/>
        </w:rPr>
      </w:pPr>
      <w:r>
        <w:rPr>
          <w:rFonts w:hint="eastAsia" w:ascii="宋体" w:hAnsi="宋体" w:cs="宋体"/>
          <w:szCs w:val="21"/>
        </w:rPr>
        <w:t>④针对质疑事项提出的明确请求，前述明确请求指质疑人提出质疑的目的以及希望采购中心对其质疑作出的处理结果，如：暂停招标投标活动、修改招标文件、停止或纠正违法违规行为、中标结果无效、废标、重新招标等；</w:t>
      </w:r>
    </w:p>
    <w:p>
      <w:pPr>
        <w:spacing w:line="460" w:lineRule="exact"/>
        <w:ind w:firstLine="420" w:firstLineChars="200"/>
        <w:rPr>
          <w:rFonts w:ascii="宋体" w:hAnsi="宋体" w:cs="宋体"/>
          <w:szCs w:val="21"/>
        </w:rPr>
      </w:pPr>
      <w:r>
        <w:rPr>
          <w:rFonts w:hint="eastAsia" w:ascii="宋体" w:hAnsi="宋体" w:cs="宋体"/>
          <w:szCs w:val="21"/>
        </w:rPr>
        <w:t>⑤针对质疑事项导致质疑人自身权益受到损害的必要证明材料，至少包括：</w:t>
      </w:r>
    </w:p>
    <w:p>
      <w:pPr>
        <w:spacing w:line="460" w:lineRule="exact"/>
        <w:ind w:firstLine="420" w:firstLineChars="200"/>
        <w:rPr>
          <w:rFonts w:ascii="宋体" w:hAnsi="宋体" w:cs="宋体"/>
          <w:szCs w:val="21"/>
        </w:rPr>
      </w:pPr>
      <w:r>
        <w:rPr>
          <w:rFonts w:hint="eastAsia" w:ascii="宋体" w:hAnsi="宋体" w:cs="宋体"/>
          <w:szCs w:val="21"/>
        </w:rPr>
        <w:t>a.质疑人代表的身份证明材料：</w:t>
      </w:r>
    </w:p>
    <w:p>
      <w:pPr>
        <w:spacing w:line="460" w:lineRule="exact"/>
        <w:ind w:firstLine="420" w:firstLineChars="200"/>
        <w:rPr>
          <w:rFonts w:ascii="宋体" w:hAnsi="宋体" w:cs="宋体"/>
          <w:szCs w:val="21"/>
        </w:rPr>
      </w:pPr>
      <w:r>
        <w:rPr>
          <w:rFonts w:hint="eastAsia" w:ascii="宋体" w:hAnsi="宋体" w:cs="宋体"/>
          <w:szCs w:val="21"/>
        </w:rPr>
        <w:t>a1质疑人为法人或其他组织的，提供统一社会信用代码营业执照的副本复印件、单位负责人的身份证复印件；质疑人代表为委托代理人的，还应同时提供单位负责人授权书和委托代理人的身份证复印件。</w:t>
      </w:r>
    </w:p>
    <w:p>
      <w:pPr>
        <w:spacing w:line="460" w:lineRule="exact"/>
        <w:ind w:firstLine="420" w:firstLineChars="200"/>
        <w:rPr>
          <w:rFonts w:ascii="宋体" w:hAnsi="宋体" w:cs="宋体"/>
          <w:szCs w:val="21"/>
        </w:rPr>
      </w:pPr>
      <w:r>
        <w:rPr>
          <w:rFonts w:hint="eastAsia" w:ascii="宋体" w:hAnsi="宋体" w:cs="宋体"/>
          <w:szCs w:val="21"/>
        </w:rPr>
        <w:t>a2若本项目接受自然人投标且质疑人为自然人的，提供本人的身份证复印件。</w:t>
      </w:r>
    </w:p>
    <w:p>
      <w:pPr>
        <w:spacing w:line="460" w:lineRule="exact"/>
        <w:ind w:firstLine="420" w:firstLineChars="200"/>
        <w:rPr>
          <w:rFonts w:ascii="宋体" w:hAnsi="宋体" w:cs="宋体"/>
          <w:szCs w:val="21"/>
        </w:rPr>
      </w:pPr>
      <w:r>
        <w:rPr>
          <w:rFonts w:hint="eastAsia" w:ascii="宋体" w:hAnsi="宋体" w:cs="宋体"/>
          <w:szCs w:val="21"/>
        </w:rPr>
        <w:t>b.其他证明材料，包括但不限于下列材料：</w:t>
      </w:r>
    </w:p>
    <w:p>
      <w:pPr>
        <w:spacing w:line="460" w:lineRule="exact"/>
        <w:ind w:firstLine="420" w:firstLineChars="200"/>
        <w:rPr>
          <w:rFonts w:ascii="宋体" w:hAnsi="宋体" w:cs="宋体"/>
          <w:szCs w:val="21"/>
        </w:rPr>
      </w:pPr>
      <w:r>
        <w:rPr>
          <w:rFonts w:hint="eastAsia" w:ascii="宋体" w:hAnsi="宋体" w:cs="宋体"/>
          <w:szCs w:val="21"/>
        </w:rPr>
        <w:t>b1所质疑的具体事项是与自已有利害关系的证明材料；</w:t>
      </w:r>
    </w:p>
    <w:p>
      <w:pPr>
        <w:spacing w:line="460" w:lineRule="exact"/>
        <w:ind w:firstLine="420" w:firstLineChars="200"/>
        <w:rPr>
          <w:rFonts w:ascii="宋体" w:hAnsi="宋体" w:cs="宋体"/>
          <w:szCs w:val="21"/>
        </w:rPr>
      </w:pPr>
      <w:r>
        <w:rPr>
          <w:rFonts w:hint="eastAsia" w:ascii="宋体" w:hAnsi="宋体" w:cs="宋体"/>
          <w:szCs w:val="21"/>
        </w:rPr>
        <w:t>b2质疑函所述事实存在的证明材料，如：采购文件、采购过程或中标结果违法违规或不符合采购文件要求等证明材料；</w:t>
      </w:r>
    </w:p>
    <w:p>
      <w:pPr>
        <w:spacing w:line="460" w:lineRule="exact"/>
        <w:ind w:firstLine="420" w:firstLineChars="200"/>
        <w:rPr>
          <w:rFonts w:ascii="宋体" w:hAnsi="宋体" w:cs="宋体"/>
          <w:szCs w:val="21"/>
        </w:rPr>
      </w:pPr>
      <w:r>
        <w:rPr>
          <w:rFonts w:hint="eastAsia" w:ascii="宋体" w:hAnsi="宋体" w:cs="宋体"/>
          <w:szCs w:val="21"/>
        </w:rPr>
        <w:t>b3依法应终止采购程序的证明材料；</w:t>
      </w:r>
    </w:p>
    <w:p>
      <w:pPr>
        <w:spacing w:line="460" w:lineRule="exact"/>
        <w:ind w:firstLine="420" w:firstLineChars="200"/>
        <w:rPr>
          <w:rFonts w:ascii="宋体" w:hAnsi="宋体" w:cs="宋体"/>
          <w:szCs w:val="21"/>
        </w:rPr>
      </w:pPr>
      <w:r>
        <w:rPr>
          <w:rFonts w:hint="eastAsia" w:ascii="宋体" w:hAnsi="宋体" w:cs="宋体"/>
          <w:szCs w:val="21"/>
        </w:rPr>
        <w:t>b4应重新采购的证明材料；</w:t>
      </w:r>
    </w:p>
    <w:p>
      <w:pPr>
        <w:spacing w:line="460" w:lineRule="exact"/>
        <w:ind w:firstLine="420" w:firstLineChars="200"/>
        <w:rPr>
          <w:rFonts w:ascii="宋体" w:hAnsi="宋体" w:cs="宋体"/>
          <w:szCs w:val="21"/>
        </w:rPr>
      </w:pPr>
      <w:r>
        <w:rPr>
          <w:rFonts w:hint="eastAsia" w:ascii="宋体" w:hAnsi="宋体" w:cs="宋体"/>
          <w:szCs w:val="21"/>
        </w:rPr>
        <w:t>b5采购文件、采购过程或中标、成交结果损害自已合法权益的证明材料等；</w:t>
      </w:r>
    </w:p>
    <w:p>
      <w:pPr>
        <w:spacing w:line="460" w:lineRule="exact"/>
        <w:ind w:firstLine="420" w:firstLineChars="200"/>
        <w:rPr>
          <w:rFonts w:ascii="宋体" w:hAnsi="宋体" w:cs="宋体"/>
          <w:szCs w:val="21"/>
        </w:rPr>
      </w:pPr>
      <w:r>
        <w:rPr>
          <w:rFonts w:hint="eastAsia" w:ascii="宋体" w:hAnsi="宋体" w:cs="宋体"/>
          <w:szCs w:val="21"/>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spacing w:line="460" w:lineRule="exact"/>
        <w:ind w:firstLine="420" w:firstLineChars="200"/>
        <w:rPr>
          <w:rFonts w:ascii="宋体" w:hAnsi="宋体" w:cs="宋体"/>
          <w:szCs w:val="21"/>
        </w:rPr>
      </w:pPr>
      <w:r>
        <w:rPr>
          <w:rFonts w:hint="eastAsia" w:ascii="宋体" w:hAnsi="宋体" w:cs="宋体"/>
          <w:szCs w:val="21"/>
        </w:rPr>
        <w:t>⑥质疑人代表及其联系方式的信息，至少包括：姓名、手机、电子信箱、邮寄地址等。</w:t>
      </w:r>
    </w:p>
    <w:p>
      <w:pPr>
        <w:spacing w:line="460" w:lineRule="exact"/>
        <w:ind w:firstLine="420" w:firstLineChars="200"/>
        <w:rPr>
          <w:rFonts w:ascii="宋体" w:hAnsi="宋体" w:cs="宋体"/>
          <w:szCs w:val="21"/>
        </w:rPr>
      </w:pPr>
      <w:r>
        <w:rPr>
          <w:rFonts w:hint="eastAsia" w:ascii="宋体" w:hAnsi="宋体" w:cs="宋体"/>
          <w:szCs w:val="21"/>
        </w:rPr>
        <w:t>24.2对不符合本章第24</w:t>
      </w:r>
      <w:r>
        <w:rPr>
          <w:rFonts w:ascii="宋体" w:hAnsi="宋体" w:cs="宋体"/>
          <w:szCs w:val="21"/>
        </w:rPr>
        <w:t>.1</w:t>
      </w:r>
      <w:r>
        <w:rPr>
          <w:rFonts w:hint="eastAsia" w:ascii="宋体" w:hAnsi="宋体" w:cs="宋体"/>
          <w:szCs w:val="21"/>
        </w:rPr>
        <w:t>条规定的质疑，将按照下列规定进行处理：</w:t>
      </w:r>
    </w:p>
    <w:p>
      <w:pPr>
        <w:spacing w:line="460" w:lineRule="exact"/>
        <w:ind w:firstLine="420" w:firstLineChars="200"/>
        <w:rPr>
          <w:rFonts w:ascii="宋体" w:hAnsi="宋体" w:cs="宋体"/>
          <w:szCs w:val="21"/>
        </w:rPr>
      </w:pPr>
      <w:r>
        <w:rPr>
          <w:rFonts w:hint="eastAsia" w:ascii="宋体" w:hAnsi="宋体" w:cs="宋体"/>
          <w:szCs w:val="21"/>
        </w:rPr>
        <w:t>（1）不符合其中第（</w:t>
      </w:r>
      <w:r>
        <w:rPr>
          <w:rFonts w:ascii="宋体" w:hAnsi="宋体" w:cs="宋体"/>
          <w:szCs w:val="21"/>
        </w:rPr>
        <w:t>1</w:t>
      </w:r>
      <w:r>
        <w:rPr>
          <w:rFonts w:hint="eastAsia" w:ascii="宋体" w:hAnsi="宋体" w:cs="宋体"/>
          <w:szCs w:val="21"/>
        </w:rPr>
        <w:t>）、（</w:t>
      </w:r>
      <w:r>
        <w:rPr>
          <w:rFonts w:ascii="宋体" w:hAnsi="宋体" w:cs="宋体"/>
          <w:szCs w:val="21"/>
        </w:rPr>
        <w:t>2</w:t>
      </w:r>
      <w:r>
        <w:rPr>
          <w:rFonts w:hint="eastAsia" w:ascii="宋体" w:hAnsi="宋体" w:cs="宋体"/>
          <w:szCs w:val="21"/>
        </w:rPr>
        <w:t>）条规定的，书面告知质疑人不予受理及其理由。</w:t>
      </w:r>
    </w:p>
    <w:p>
      <w:pPr>
        <w:spacing w:line="460" w:lineRule="exact"/>
        <w:ind w:firstLine="420" w:firstLineChars="200"/>
        <w:rPr>
          <w:rFonts w:ascii="宋体" w:hAnsi="宋体" w:cs="宋体"/>
          <w:szCs w:val="21"/>
        </w:rPr>
      </w:pPr>
      <w:r>
        <w:rPr>
          <w:rFonts w:hint="eastAsia" w:ascii="宋体" w:hAnsi="宋体" w:cs="宋体"/>
          <w:szCs w:val="21"/>
        </w:rPr>
        <w:t>（2）不符合其中第（</w:t>
      </w:r>
      <w:r>
        <w:rPr>
          <w:rFonts w:ascii="宋体" w:hAnsi="宋体" w:cs="宋体"/>
          <w:szCs w:val="21"/>
        </w:rPr>
        <w:t>3</w:t>
      </w:r>
      <w:r>
        <w:rPr>
          <w:rFonts w:hint="eastAsia" w:ascii="宋体" w:hAnsi="宋体" w:cs="宋体"/>
          <w:szCs w:val="21"/>
        </w:rPr>
        <w:t>）条规定的，书面告知质疑人修改、补充后在规定时限内重新提交质疑函。</w:t>
      </w:r>
    </w:p>
    <w:p>
      <w:pPr>
        <w:spacing w:line="460" w:lineRule="exact"/>
        <w:ind w:firstLine="420" w:firstLineChars="200"/>
        <w:rPr>
          <w:rFonts w:ascii="宋体" w:hAnsi="宋体" w:cs="宋体"/>
          <w:szCs w:val="21"/>
        </w:rPr>
      </w:pPr>
      <w:r>
        <w:rPr>
          <w:rFonts w:hint="eastAsia" w:ascii="宋体" w:hAnsi="宋体" w:cs="宋体"/>
          <w:szCs w:val="21"/>
        </w:rPr>
        <w:t>24.3对符合本章第24</w:t>
      </w:r>
      <w:r>
        <w:rPr>
          <w:rFonts w:ascii="宋体" w:hAnsi="宋体" w:cs="宋体"/>
          <w:szCs w:val="21"/>
        </w:rPr>
        <w:t>.1</w:t>
      </w:r>
      <w:r>
        <w:rPr>
          <w:rFonts w:hint="eastAsia" w:ascii="宋体" w:hAnsi="宋体" w:cs="宋体"/>
          <w:szCs w:val="21"/>
        </w:rPr>
        <w:t>条规定的质疑，将按照有关规定进行答复。</w:t>
      </w:r>
    </w:p>
    <w:p>
      <w:pPr>
        <w:spacing w:line="460" w:lineRule="exact"/>
        <w:outlineLvl w:val="2"/>
        <w:rPr>
          <w:rFonts w:ascii="宋体" w:hAnsi="宋体" w:cs="宋体"/>
          <w:szCs w:val="21"/>
        </w:rPr>
      </w:pPr>
      <w:bookmarkStart w:id="63" w:name="_Toc74326526"/>
      <w:bookmarkStart w:id="64" w:name="_Toc74083219"/>
      <w:bookmarkStart w:id="65" w:name="_Toc25348"/>
      <w:r>
        <w:rPr>
          <w:rFonts w:hint="eastAsia" w:ascii="宋体" w:hAnsi="宋体" w:cs="宋体"/>
          <w:szCs w:val="21"/>
        </w:rPr>
        <w:t>25.投诉</w:t>
      </w:r>
      <w:bookmarkEnd w:id="63"/>
      <w:bookmarkEnd w:id="64"/>
      <w:bookmarkEnd w:id="65"/>
    </w:p>
    <w:p>
      <w:pPr>
        <w:spacing w:line="460" w:lineRule="exact"/>
        <w:ind w:firstLine="420" w:firstLineChars="200"/>
        <w:rPr>
          <w:rFonts w:ascii="宋体" w:hAnsi="宋体" w:cs="宋体"/>
          <w:szCs w:val="21"/>
        </w:rPr>
      </w:pPr>
      <w:r>
        <w:rPr>
          <w:rFonts w:hint="eastAsia" w:ascii="宋体" w:hAnsi="宋体" w:cs="宋体"/>
          <w:szCs w:val="21"/>
        </w:rPr>
        <w:t>25.1若对质疑答复不满意或质疑答复未在答复期限内作出，质疑人可在答复期限届满之日起</w:t>
      </w:r>
      <w:r>
        <w:rPr>
          <w:rFonts w:ascii="宋体" w:hAnsi="宋体" w:cs="宋体"/>
          <w:szCs w:val="21"/>
        </w:rPr>
        <w:t>15</w:t>
      </w:r>
      <w:r>
        <w:rPr>
          <w:rFonts w:hint="eastAsia" w:ascii="宋体" w:hAnsi="宋体" w:cs="宋体"/>
          <w:szCs w:val="21"/>
        </w:rPr>
        <w:t>个工作日内向招标文件第二章载明的“本项目监督管理部门”投诉。</w:t>
      </w:r>
    </w:p>
    <w:p>
      <w:pPr>
        <w:spacing w:line="460" w:lineRule="exact"/>
        <w:ind w:firstLine="420" w:firstLineChars="200"/>
        <w:rPr>
          <w:rFonts w:ascii="宋体" w:hAnsi="宋体"/>
          <w:szCs w:val="21"/>
        </w:rPr>
      </w:pPr>
      <w:r>
        <w:rPr>
          <w:rFonts w:hint="eastAsia" w:ascii="宋体" w:hAnsi="宋体" w:cs="宋体"/>
          <w:szCs w:val="21"/>
        </w:rPr>
        <w:t>25.2投诉应有明确的请求和必要的证明材料，投诉的事项不得超出已质疑事项的范围。</w:t>
      </w:r>
    </w:p>
    <w:p>
      <w:pPr>
        <w:spacing w:line="460" w:lineRule="exact"/>
        <w:jc w:val="center"/>
        <w:outlineLvl w:val="1"/>
        <w:rPr>
          <w:rStyle w:val="39"/>
          <w:rFonts w:ascii="宋体" w:hAnsi="宋体" w:cs="宋体"/>
          <w:szCs w:val="21"/>
        </w:rPr>
      </w:pPr>
      <w:bookmarkStart w:id="66" w:name="_Toc74326527"/>
      <w:bookmarkStart w:id="67" w:name="_Toc74083220"/>
      <w:bookmarkStart w:id="68" w:name="_Toc20445"/>
      <w:r>
        <w:rPr>
          <w:rStyle w:val="39"/>
          <w:rFonts w:hint="eastAsia" w:ascii="宋体" w:hAnsi="宋体" w:cs="宋体"/>
          <w:szCs w:val="21"/>
        </w:rPr>
        <w:t>八、本项目的有关信息</w:t>
      </w:r>
      <w:bookmarkEnd w:id="66"/>
      <w:bookmarkEnd w:id="67"/>
      <w:bookmarkEnd w:id="68"/>
    </w:p>
    <w:p>
      <w:pPr>
        <w:spacing w:line="460" w:lineRule="exact"/>
        <w:outlineLvl w:val="2"/>
        <w:rPr>
          <w:rFonts w:ascii="宋体" w:hAnsi="宋体"/>
          <w:szCs w:val="21"/>
        </w:rPr>
      </w:pPr>
      <w:bookmarkStart w:id="69" w:name="_Toc74083221"/>
      <w:bookmarkStart w:id="70" w:name="_Toc32404"/>
      <w:bookmarkStart w:id="71" w:name="_Toc74326528"/>
      <w:r>
        <w:rPr>
          <w:rFonts w:hint="eastAsia" w:ascii="宋体" w:hAnsi="宋体" w:cs="宋体"/>
          <w:szCs w:val="21"/>
        </w:rPr>
        <w:t>26.本项目的有关信息，包括但不限于：招标公告、更正公告（若有）、招标文件、招标文件的澄清或修改（若有）、中标公告、终止公告（若有）、废标公告（若有）等都将在招标文件载明的指定媒体发布。</w:t>
      </w:r>
      <w:bookmarkEnd w:id="69"/>
      <w:bookmarkEnd w:id="70"/>
      <w:bookmarkEnd w:id="71"/>
    </w:p>
    <w:p>
      <w:pPr>
        <w:pStyle w:val="32"/>
        <w:spacing w:before="0" w:beforeAutospacing="0" w:after="0" w:afterAutospacing="0" w:line="460" w:lineRule="exact"/>
        <w:ind w:firstLine="420" w:firstLineChars="200"/>
        <w:rPr>
          <w:sz w:val="21"/>
          <w:szCs w:val="21"/>
        </w:rPr>
      </w:pPr>
      <w:r>
        <w:rPr>
          <w:rFonts w:hint="eastAsia"/>
          <w:sz w:val="21"/>
          <w:szCs w:val="21"/>
        </w:rPr>
        <w:t>26.1指定媒体：详见招标文件第一章。</w:t>
      </w:r>
    </w:p>
    <w:p>
      <w:pPr>
        <w:spacing w:line="400" w:lineRule="exact"/>
        <w:ind w:firstLine="420" w:firstLineChars="200"/>
        <w:rPr>
          <w:rFonts w:ascii="宋体" w:hAnsi="宋体"/>
          <w:b/>
          <w:szCs w:val="21"/>
        </w:rPr>
      </w:pPr>
      <w:r>
        <w:rPr>
          <w:rFonts w:hint="eastAsia" w:ascii="宋体" w:hAnsi="宋体"/>
          <w:szCs w:val="21"/>
        </w:rPr>
        <w:t>26.2本项目的潜在投标人或投标人应随时关注指定媒体，否则产生不利后果由其自行承担。</w:t>
      </w:r>
      <w:bookmarkEnd w:id="46"/>
      <w:bookmarkEnd w:id="47"/>
    </w:p>
    <w:p>
      <w:pPr>
        <w:tabs>
          <w:tab w:val="left" w:pos="2744"/>
          <w:tab w:val="center" w:pos="4507"/>
        </w:tabs>
        <w:jc w:val="left"/>
        <w:outlineLvl w:val="0"/>
        <w:rPr>
          <w:rFonts w:ascii="宋体" w:hAnsi="宋体"/>
          <w:b/>
          <w:szCs w:val="21"/>
        </w:rPr>
      </w:pPr>
      <w:r>
        <w:rPr>
          <w:rFonts w:ascii="宋体" w:hAnsi="宋体"/>
          <w:b/>
          <w:szCs w:val="21"/>
        </w:rPr>
        <w:tab/>
      </w:r>
      <w:r>
        <w:rPr>
          <w:rFonts w:ascii="宋体" w:hAnsi="宋体"/>
          <w:b/>
          <w:szCs w:val="21"/>
        </w:rPr>
        <w:tab/>
      </w:r>
    </w:p>
    <w:p>
      <w:pPr>
        <w:rPr>
          <w:rFonts w:ascii="宋体" w:hAnsi="宋体"/>
          <w:szCs w:val="21"/>
        </w:rPr>
        <w:sectPr>
          <w:pgSz w:w="11906" w:h="16838"/>
          <w:pgMar w:top="1418" w:right="1418" w:bottom="964" w:left="1474" w:header="851" w:footer="992" w:gutter="0"/>
          <w:cols w:space="720" w:num="1"/>
          <w:docGrid w:linePitch="312" w:charSpace="0"/>
        </w:sectPr>
      </w:pPr>
    </w:p>
    <w:bookmarkEnd w:id="39"/>
    <w:p>
      <w:pPr>
        <w:pageBreakBefore/>
        <w:jc w:val="center"/>
        <w:outlineLvl w:val="0"/>
        <w:rPr>
          <w:rFonts w:ascii="宋体" w:hAnsi="宋体"/>
          <w:b/>
          <w:sz w:val="36"/>
        </w:rPr>
      </w:pPr>
      <w:bookmarkStart w:id="72" w:name="_Toc74326529"/>
      <w:bookmarkStart w:id="73" w:name="_Toc20549"/>
      <w:r>
        <w:rPr>
          <w:rFonts w:hint="eastAsia" w:ascii="宋体" w:hAnsi="宋体"/>
          <w:b/>
          <w:sz w:val="36"/>
        </w:rPr>
        <w:t>第三章  招标内容及要求</w:t>
      </w:r>
      <w:bookmarkEnd w:id="72"/>
    </w:p>
    <w:p>
      <w:pPr>
        <w:spacing w:line="460" w:lineRule="exact"/>
        <w:rPr>
          <w:rFonts w:ascii="宋体" w:hAnsi="宋体"/>
          <w:b/>
          <w:szCs w:val="21"/>
        </w:rPr>
      </w:pPr>
      <w:r>
        <w:rPr>
          <w:rFonts w:hint="eastAsia" w:ascii="宋体" w:hAnsi="宋体"/>
          <w:b/>
          <w:szCs w:val="21"/>
        </w:rPr>
        <w:t>一、项目概况</w:t>
      </w:r>
    </w:p>
    <w:p>
      <w:pPr>
        <w:tabs>
          <w:tab w:val="left" w:pos="525"/>
        </w:tabs>
        <w:spacing w:line="460" w:lineRule="exact"/>
        <w:ind w:firstLine="420" w:firstLineChars="200"/>
        <w:rPr>
          <w:rFonts w:ascii="宋体" w:hAnsi="宋体" w:cs="宋体"/>
          <w:szCs w:val="21"/>
        </w:rPr>
      </w:pPr>
      <w:r>
        <w:rPr>
          <w:rFonts w:hint="eastAsia" w:ascii="宋体" w:hAnsi="宋体" w:cs="宋体"/>
          <w:szCs w:val="21"/>
        </w:rPr>
        <w:t>本项目为2021年度建阳兴欣织造有限责任公司缝纫设备采购项目，投标人应根据招标文件所提出的货物技术规格、数量和服务要求，选择具有最佳性能价格比的产品前来投标，以充分显示贵公司的竞争实力。</w:t>
      </w:r>
    </w:p>
    <w:p>
      <w:pPr>
        <w:spacing w:line="460" w:lineRule="exact"/>
        <w:rPr>
          <w:rFonts w:ascii="宋体" w:hAnsi="宋体"/>
          <w:b/>
          <w:szCs w:val="21"/>
        </w:rPr>
      </w:pPr>
      <w:r>
        <w:rPr>
          <w:rFonts w:hint="eastAsia" w:ascii="宋体" w:hAnsi="宋体"/>
          <w:b/>
          <w:szCs w:val="21"/>
        </w:rPr>
        <w:t>二、技术和服务要求</w:t>
      </w:r>
    </w:p>
    <w:tbl>
      <w:tblPr>
        <w:tblStyle w:val="36"/>
        <w:tblW w:w="9039" w:type="dxa"/>
        <w:tblInd w:w="0" w:type="dxa"/>
        <w:tblLayout w:type="fixed"/>
        <w:tblCellMar>
          <w:top w:w="0" w:type="dxa"/>
          <w:left w:w="108" w:type="dxa"/>
          <w:bottom w:w="0" w:type="dxa"/>
          <w:right w:w="108" w:type="dxa"/>
        </w:tblCellMar>
      </w:tblPr>
      <w:tblGrid>
        <w:gridCol w:w="438"/>
        <w:gridCol w:w="1088"/>
        <w:gridCol w:w="850"/>
        <w:gridCol w:w="6663"/>
      </w:tblGrid>
      <w:tr>
        <w:tblPrEx>
          <w:tblCellMar>
            <w:top w:w="0" w:type="dxa"/>
            <w:left w:w="108" w:type="dxa"/>
            <w:bottom w:w="0" w:type="dxa"/>
            <w:right w:w="108" w:type="dxa"/>
          </w:tblCellMar>
        </w:tblPrEx>
        <w:trPr>
          <w:trHeight w:val="477" w:hRule="atLeast"/>
        </w:trPr>
        <w:tc>
          <w:tcPr>
            <w:tcW w:w="43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序号</w:t>
            </w:r>
          </w:p>
        </w:tc>
        <w:tc>
          <w:tcPr>
            <w:tcW w:w="108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名　称</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型号规格</w:t>
            </w:r>
          </w:p>
        </w:tc>
        <w:tc>
          <w:tcPr>
            <w:tcW w:w="6663" w:type="dxa"/>
            <w:tcBorders>
              <w:top w:val="single" w:color="auto" w:sz="4" w:space="0"/>
              <w:left w:val="single" w:color="auto" w:sz="4" w:space="0"/>
              <w:bottom w:val="single" w:color="000000"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技术要求</w:t>
            </w:r>
          </w:p>
        </w:tc>
      </w:tr>
      <w:tr>
        <w:tblPrEx>
          <w:tblCellMar>
            <w:top w:w="0" w:type="dxa"/>
            <w:left w:w="108" w:type="dxa"/>
            <w:bottom w:w="0" w:type="dxa"/>
            <w:right w:w="108" w:type="dxa"/>
          </w:tblCellMar>
        </w:tblPrEx>
        <w:trPr>
          <w:trHeight w:val="119" w:hRule="atLeast"/>
        </w:trPr>
        <w:tc>
          <w:tcPr>
            <w:tcW w:w="438" w:type="dxa"/>
            <w:vMerge w:val="restart"/>
            <w:tcBorders>
              <w:top w:val="nil"/>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1</w:t>
            </w:r>
          </w:p>
        </w:tc>
        <w:tc>
          <w:tcPr>
            <w:tcW w:w="1088" w:type="dxa"/>
            <w:vMerge w:val="restart"/>
            <w:tcBorders>
              <w:top w:val="nil"/>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计算机控制高速平缝缝纫机</w:t>
            </w:r>
          </w:p>
        </w:tc>
        <w:tc>
          <w:tcPr>
            <w:tcW w:w="85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薄料、中厚料</w:t>
            </w:r>
          </w:p>
        </w:tc>
        <w:tc>
          <w:tcPr>
            <w:tcW w:w="6663" w:type="dxa"/>
            <w:vMerge w:val="restart"/>
            <w:tcBorders>
              <w:top w:val="nil"/>
              <w:left w:val="nil"/>
              <w:right w:val="single" w:color="auto" w:sz="4" w:space="0"/>
            </w:tcBorders>
            <w:vAlign w:val="center"/>
          </w:tcPr>
          <w:p>
            <w:pPr>
              <w:widowControl/>
              <w:spacing w:line="460" w:lineRule="exact"/>
              <w:jc w:val="left"/>
              <w:rPr>
                <w:rFonts w:ascii="宋体" w:hAnsi="宋体" w:cs="宋体"/>
                <w:kern w:val="0"/>
                <w:szCs w:val="21"/>
              </w:rPr>
            </w:pPr>
            <w:r>
              <w:rPr>
                <w:rFonts w:hint="eastAsia" w:ascii="宋体" w:hAnsi="宋体" w:cs="宋体"/>
                <w:kern w:val="0"/>
                <w:szCs w:val="21"/>
              </w:rPr>
              <w:t>★平缝机应采用计算机控制系统、交流电机直驱，具有自动调速、自动停针位、自动剪线、自动抬压脚、自动计数、自动倒顺缝、自动加固缝、慢启动等功能。平缝机整机必须符合轻工行业标准《QB/T2380-2013工业缝纫机计算机控制高速平缝缝纫机》，机架应当符合《QB/T2378-2012工业用缝纫机 机架》，台板应当符合《QB/T2379-2012工业用缝纫机 台板》。平缝机必须是满足服装行业一般生产所必备的完整产品（包括机架、台板等），并配备实现使用说明书描述功能所需的附件与备件。平缝机在生产现场安装调试后无需额外添加任何物品就可投入生产使用。</w:t>
            </w:r>
          </w:p>
          <w:p>
            <w:pPr>
              <w:widowControl/>
              <w:spacing w:line="460" w:lineRule="exact"/>
              <w:jc w:val="left"/>
              <w:rPr>
                <w:rFonts w:ascii="宋体" w:hAnsi="宋体" w:cs="宋体"/>
                <w:kern w:val="0"/>
                <w:szCs w:val="21"/>
              </w:rPr>
            </w:pPr>
            <w:r>
              <w:rPr>
                <w:rFonts w:hint="eastAsia" w:ascii="宋体" w:hAnsi="宋体" w:cs="宋体"/>
                <w:kern w:val="0"/>
                <w:szCs w:val="21"/>
              </w:rPr>
              <w:t>★投标人应按照机器的工作位置提供不少于六张（应包含正面、背面、左侧面、右侧面、顶面和底面）彩色照片，投标文件每页只能放置一张照片；机器彩色照片像素不小于4000万、应能清楚显示机器的型号规格和产品的唯一编号，并尽可能的展示机器的结构和性能，否则将不利于评标委员会对机器的评价，以上照片做为设备验收时比对依据；投标人应将机器彩色照片文件刻录在不可擦写的一次性光盘上随投标文件一并提交（光盘内照片须与投标文件一致）。</w:t>
            </w:r>
          </w:p>
          <w:p>
            <w:pPr>
              <w:widowControl/>
              <w:spacing w:line="460" w:lineRule="exact"/>
              <w:jc w:val="left"/>
              <w:rPr>
                <w:rFonts w:ascii="宋体" w:hAnsi="宋体" w:cs="宋体"/>
                <w:kern w:val="0"/>
                <w:szCs w:val="21"/>
              </w:rPr>
            </w:pPr>
            <w:r>
              <w:rPr>
                <w:rFonts w:hint="eastAsia" w:ascii="宋体" w:hAnsi="宋体" w:cs="宋体"/>
                <w:kern w:val="0"/>
                <w:szCs w:val="21"/>
              </w:rPr>
              <w:t>功能及参数要求：</w:t>
            </w:r>
          </w:p>
          <w:p>
            <w:pPr>
              <w:widowControl/>
              <w:spacing w:line="460" w:lineRule="exact"/>
              <w:jc w:val="left"/>
              <w:rPr>
                <w:rFonts w:ascii="宋体" w:hAnsi="宋体" w:cs="宋体"/>
                <w:b/>
                <w:kern w:val="0"/>
                <w:szCs w:val="21"/>
              </w:rPr>
            </w:pPr>
            <w:r>
              <w:rPr>
                <w:rFonts w:hint="eastAsia" w:ascii="宋体" w:hAnsi="宋体" w:cs="宋体"/>
                <w:kern w:val="0"/>
                <w:szCs w:val="21"/>
              </w:rPr>
              <w:t>★1.主轴采用交流伺服电机直驱</w:t>
            </w:r>
            <w:r>
              <w:rPr>
                <w:rFonts w:hint="eastAsia" w:ascii="宋体" w:hAnsi="宋体"/>
                <w:b/>
                <w:szCs w:val="21"/>
                <w:u w:val="single"/>
              </w:rPr>
              <w:t>（彩色触摸屏嵌入机头）一体式。</w:t>
            </w:r>
          </w:p>
          <w:p>
            <w:pPr>
              <w:widowControl/>
              <w:spacing w:line="460" w:lineRule="exact"/>
              <w:jc w:val="left"/>
              <w:rPr>
                <w:rFonts w:ascii="宋体" w:hAnsi="宋体" w:cs="宋体"/>
                <w:kern w:val="0"/>
                <w:szCs w:val="21"/>
              </w:rPr>
            </w:pPr>
            <w:r>
              <w:rPr>
                <w:rFonts w:hint="eastAsia" w:ascii="宋体" w:hAnsi="宋体" w:cs="宋体"/>
                <w:kern w:val="0"/>
                <w:szCs w:val="21"/>
              </w:rPr>
              <w:t>★2.底部采用封闭式金属油盘</w:t>
            </w:r>
          </w:p>
          <w:p>
            <w:pPr>
              <w:widowControl/>
              <w:spacing w:line="460" w:lineRule="exact"/>
              <w:jc w:val="left"/>
              <w:rPr>
                <w:rFonts w:ascii="宋体" w:hAnsi="宋体" w:cs="宋体"/>
                <w:kern w:val="0"/>
                <w:szCs w:val="21"/>
              </w:rPr>
            </w:pPr>
            <w:r>
              <w:rPr>
                <w:rFonts w:hint="eastAsia" w:ascii="宋体" w:hAnsi="宋体" w:cs="宋体"/>
                <w:kern w:val="0"/>
                <w:szCs w:val="21"/>
              </w:rPr>
              <w:t>3.针杆及挑线杆采用润滑脂润滑或无油润滑</w:t>
            </w:r>
          </w:p>
          <w:p>
            <w:pPr>
              <w:widowControl/>
              <w:spacing w:line="460" w:lineRule="exact"/>
              <w:jc w:val="left"/>
              <w:rPr>
                <w:rFonts w:ascii="宋体" w:hAnsi="宋体" w:cs="宋体"/>
                <w:kern w:val="0"/>
                <w:szCs w:val="21"/>
              </w:rPr>
            </w:pPr>
            <w:r>
              <w:rPr>
                <w:rFonts w:hint="eastAsia" w:ascii="宋体" w:hAnsi="宋体" w:cs="宋体"/>
                <w:kern w:val="0"/>
                <w:szCs w:val="21"/>
              </w:rPr>
              <w:t>4.控制面板采用彩色触摸屏、屏幕显示部分对角线长度≥110mm</w:t>
            </w:r>
          </w:p>
          <w:p>
            <w:pPr>
              <w:widowControl/>
              <w:spacing w:line="460" w:lineRule="exact"/>
              <w:jc w:val="left"/>
              <w:rPr>
                <w:rFonts w:ascii="宋体" w:hAnsi="宋体" w:cs="宋体"/>
                <w:kern w:val="0"/>
                <w:szCs w:val="21"/>
              </w:rPr>
            </w:pPr>
            <w:r>
              <w:rPr>
                <w:rFonts w:hint="eastAsia" w:ascii="宋体" w:hAnsi="宋体" w:cs="宋体"/>
                <w:kern w:val="0"/>
                <w:szCs w:val="21"/>
              </w:rPr>
              <w:t>5.具有8种（含8种）以上花样缝纫功能</w:t>
            </w:r>
          </w:p>
          <w:p>
            <w:pPr>
              <w:widowControl/>
              <w:spacing w:line="460" w:lineRule="exact"/>
              <w:jc w:val="left"/>
              <w:rPr>
                <w:rFonts w:ascii="宋体" w:hAnsi="宋体" w:cs="宋体"/>
                <w:kern w:val="0"/>
                <w:szCs w:val="21"/>
              </w:rPr>
            </w:pPr>
            <w:r>
              <w:rPr>
                <w:rFonts w:hint="eastAsia" w:ascii="宋体" w:hAnsi="宋体" w:cs="宋体"/>
                <w:kern w:val="0"/>
                <w:szCs w:val="21"/>
              </w:rPr>
              <w:t>6.线迹长度由控制面板调节，最小调节量≤0.1mm</w:t>
            </w:r>
          </w:p>
          <w:p>
            <w:pPr>
              <w:widowControl/>
              <w:spacing w:line="460" w:lineRule="exact"/>
              <w:jc w:val="left"/>
              <w:rPr>
                <w:rFonts w:ascii="宋体" w:hAnsi="宋体" w:cs="宋体"/>
                <w:kern w:val="0"/>
                <w:szCs w:val="21"/>
              </w:rPr>
            </w:pPr>
            <w:r>
              <w:rPr>
                <w:rFonts w:hint="eastAsia" w:ascii="宋体" w:hAnsi="宋体" w:cs="宋体"/>
                <w:kern w:val="0"/>
                <w:szCs w:val="21"/>
              </w:rPr>
              <w:t>7.针距调节机构由独立步进电机控制</w:t>
            </w:r>
          </w:p>
          <w:p>
            <w:pPr>
              <w:widowControl/>
              <w:spacing w:line="460" w:lineRule="exact"/>
              <w:jc w:val="left"/>
              <w:rPr>
                <w:rFonts w:ascii="宋体" w:hAnsi="宋体" w:cs="宋体"/>
                <w:kern w:val="0"/>
                <w:szCs w:val="21"/>
              </w:rPr>
            </w:pPr>
            <w:r>
              <w:rPr>
                <w:rFonts w:hint="eastAsia" w:ascii="宋体" w:hAnsi="宋体" w:cs="宋体"/>
                <w:kern w:val="0"/>
                <w:szCs w:val="21"/>
              </w:rPr>
              <w:t>8.抬压脚机构由步进电机独立控制，可根据缝料厚度自动调节压脚压力</w:t>
            </w:r>
          </w:p>
          <w:p>
            <w:pPr>
              <w:widowControl/>
              <w:spacing w:line="460" w:lineRule="exact"/>
              <w:jc w:val="left"/>
              <w:rPr>
                <w:rFonts w:ascii="宋体" w:hAnsi="宋体" w:cs="宋体"/>
                <w:kern w:val="0"/>
                <w:szCs w:val="21"/>
              </w:rPr>
            </w:pPr>
            <w:r>
              <w:rPr>
                <w:rFonts w:hint="eastAsia" w:ascii="宋体" w:hAnsi="宋体" w:cs="宋体"/>
                <w:kern w:val="0"/>
                <w:szCs w:val="21"/>
              </w:rPr>
              <w:t>9.起缝及结束缝时具有密缝功能且密缝线迹长度可在控制面板上设定</w:t>
            </w:r>
          </w:p>
          <w:p>
            <w:pPr>
              <w:widowControl/>
              <w:spacing w:line="460" w:lineRule="exact"/>
              <w:jc w:val="left"/>
              <w:rPr>
                <w:rFonts w:ascii="宋体" w:hAnsi="宋体" w:cs="宋体"/>
                <w:kern w:val="0"/>
                <w:szCs w:val="21"/>
              </w:rPr>
            </w:pPr>
            <w:r>
              <w:rPr>
                <w:rFonts w:hint="eastAsia" w:ascii="宋体" w:hAnsi="宋体" w:cs="宋体"/>
                <w:kern w:val="0"/>
                <w:szCs w:val="21"/>
              </w:rPr>
              <w:t>10.采用电子夹线器，可通过控制面板调节夹紧时间</w:t>
            </w:r>
          </w:p>
          <w:p>
            <w:pPr>
              <w:widowControl/>
              <w:spacing w:line="460" w:lineRule="exact"/>
              <w:jc w:val="left"/>
              <w:rPr>
                <w:rFonts w:ascii="宋体" w:hAnsi="宋体" w:cs="宋体"/>
                <w:kern w:val="0"/>
                <w:szCs w:val="21"/>
              </w:rPr>
            </w:pPr>
            <w:r>
              <w:rPr>
                <w:rFonts w:hint="eastAsia" w:ascii="宋体" w:hAnsi="宋体" w:cs="宋体"/>
                <w:kern w:val="0"/>
                <w:szCs w:val="21"/>
              </w:rPr>
              <w:t>11.采用电子松线器可通过控制面板调节松线时间</w:t>
            </w:r>
          </w:p>
          <w:p>
            <w:pPr>
              <w:widowControl/>
              <w:spacing w:line="460" w:lineRule="exact"/>
              <w:jc w:val="left"/>
              <w:rPr>
                <w:rFonts w:ascii="宋体" w:hAnsi="宋体" w:cs="宋体"/>
                <w:kern w:val="0"/>
                <w:szCs w:val="21"/>
              </w:rPr>
            </w:pPr>
            <w:r>
              <w:rPr>
                <w:rFonts w:hint="eastAsia" w:ascii="宋体" w:hAnsi="宋体" w:cs="宋体"/>
                <w:kern w:val="0"/>
                <w:szCs w:val="21"/>
              </w:rPr>
              <w:t>12.具有设置底线余量或缺线报警、缝纫计数功能</w:t>
            </w:r>
          </w:p>
          <w:p>
            <w:pPr>
              <w:widowControl/>
              <w:spacing w:line="460" w:lineRule="exact"/>
              <w:jc w:val="left"/>
              <w:rPr>
                <w:rFonts w:ascii="宋体" w:hAnsi="宋体" w:cs="宋体"/>
                <w:kern w:val="0"/>
                <w:szCs w:val="21"/>
              </w:rPr>
            </w:pPr>
            <w:r>
              <w:rPr>
                <w:rFonts w:hint="eastAsia" w:ascii="宋体" w:hAnsi="宋体" w:cs="宋体"/>
                <w:kern w:val="0"/>
                <w:szCs w:val="21"/>
              </w:rPr>
              <w:t>★13.自动剪线线头长度≤3mm</w:t>
            </w:r>
          </w:p>
          <w:p>
            <w:pPr>
              <w:widowControl/>
              <w:spacing w:line="460" w:lineRule="exact"/>
              <w:jc w:val="left"/>
              <w:rPr>
                <w:rFonts w:ascii="宋体" w:hAnsi="宋体" w:cs="宋体"/>
                <w:kern w:val="0"/>
                <w:szCs w:val="21"/>
              </w:rPr>
            </w:pPr>
            <w:r>
              <w:rPr>
                <w:rFonts w:hint="eastAsia" w:ascii="宋体" w:hAnsi="宋体" w:cs="宋体"/>
                <w:kern w:val="0"/>
                <w:szCs w:val="21"/>
              </w:rPr>
              <w:t>14.具有防鸟巢装置</w:t>
            </w:r>
          </w:p>
          <w:p>
            <w:pPr>
              <w:widowControl/>
              <w:spacing w:line="460" w:lineRule="exact"/>
              <w:jc w:val="left"/>
            </w:pPr>
            <w:r>
              <w:rPr>
                <w:rFonts w:hint="eastAsia" w:ascii="宋体" w:hAnsi="宋体" w:cs="宋体"/>
                <w:kern w:val="0"/>
                <w:szCs w:val="21"/>
              </w:rPr>
              <w:t>15.具有旋梭润滑油供油调节，调节旋钮配备油量增减标识，无需辅助工具可实现油量调节</w:t>
            </w:r>
            <w:r>
              <w:rPr>
                <w:rFonts w:hint="eastAsia" w:ascii="宋体" w:hAnsi="宋体"/>
                <w:szCs w:val="21"/>
              </w:rPr>
              <w:br w:type="textWrapping"/>
            </w:r>
            <w:r>
              <w:rPr>
                <w:rFonts w:hint="eastAsia" w:ascii="宋体" w:hAnsi="宋体"/>
                <w:b/>
                <w:szCs w:val="21"/>
                <w:u w:val="single"/>
              </w:rPr>
              <w:t>16.具有大空间缝台：≥300mm*120mm。</w:t>
            </w:r>
          </w:p>
        </w:tc>
      </w:tr>
      <w:tr>
        <w:tblPrEx>
          <w:tblCellMar>
            <w:top w:w="0" w:type="dxa"/>
            <w:left w:w="108" w:type="dxa"/>
            <w:bottom w:w="0" w:type="dxa"/>
            <w:right w:w="108" w:type="dxa"/>
          </w:tblCellMar>
        </w:tblPrEx>
        <w:trPr>
          <w:trHeight w:val="119" w:hRule="atLeast"/>
        </w:trPr>
        <w:tc>
          <w:tcPr>
            <w:tcW w:w="438"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宋体" w:hAnsi="宋体" w:cs="宋体"/>
                <w:kern w:val="0"/>
                <w:szCs w:val="21"/>
              </w:rPr>
            </w:pPr>
          </w:p>
        </w:tc>
        <w:tc>
          <w:tcPr>
            <w:tcW w:w="1088"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宋体" w:hAnsi="宋体" w:cs="宋体"/>
                <w:kern w:val="0"/>
                <w:szCs w:val="21"/>
              </w:rPr>
            </w:pPr>
          </w:p>
        </w:tc>
        <w:tc>
          <w:tcPr>
            <w:tcW w:w="85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厚料</w:t>
            </w:r>
          </w:p>
        </w:tc>
        <w:tc>
          <w:tcPr>
            <w:tcW w:w="6663" w:type="dxa"/>
            <w:vMerge w:val="continue"/>
            <w:tcBorders>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p>
        </w:tc>
      </w:tr>
      <w:tr>
        <w:tblPrEx>
          <w:tblCellMar>
            <w:top w:w="0" w:type="dxa"/>
            <w:left w:w="108" w:type="dxa"/>
            <w:bottom w:w="0" w:type="dxa"/>
            <w:right w:w="108" w:type="dxa"/>
          </w:tblCellMar>
        </w:tblPrEx>
        <w:trPr>
          <w:trHeight w:val="119" w:hRule="atLeast"/>
        </w:trPr>
        <w:tc>
          <w:tcPr>
            <w:tcW w:w="438" w:type="dxa"/>
            <w:vMerge w:val="restart"/>
            <w:tcBorders>
              <w:top w:val="nil"/>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2</w:t>
            </w:r>
          </w:p>
        </w:tc>
        <w:tc>
          <w:tcPr>
            <w:tcW w:w="1088" w:type="dxa"/>
            <w:vMerge w:val="restart"/>
            <w:tcBorders>
              <w:top w:val="nil"/>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计算机控制高速侧切刀平缝缝纫机</w:t>
            </w:r>
          </w:p>
        </w:tc>
        <w:tc>
          <w:tcPr>
            <w:tcW w:w="85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侧切</w:t>
            </w:r>
          </w:p>
        </w:tc>
        <w:tc>
          <w:tcPr>
            <w:tcW w:w="6663" w:type="dxa"/>
            <w:vMerge w:val="restart"/>
            <w:tcBorders>
              <w:top w:val="nil"/>
              <w:left w:val="nil"/>
              <w:right w:val="single" w:color="auto" w:sz="4" w:space="0"/>
            </w:tcBorders>
            <w:vAlign w:val="center"/>
          </w:tcPr>
          <w:p>
            <w:pPr>
              <w:pStyle w:val="14"/>
              <w:spacing w:line="420" w:lineRule="exact"/>
              <w:ind w:left="0" w:leftChars="0"/>
              <w:jc w:val="left"/>
              <w:rPr>
                <w:bCs/>
                <w:szCs w:val="21"/>
              </w:rPr>
            </w:pPr>
            <w:r>
              <w:rPr>
                <w:rFonts w:hint="eastAsia"/>
                <w:bCs/>
                <w:szCs w:val="21"/>
              </w:rPr>
              <w:t>★侧切刀平缝机应采用计算机控制系统、交流电机直驱，具有自动调速、自动停针位、自动剪线、自动抬压脚、自动计数、自动倒顺缝、自动加固缝、慢启动等功能。平缝机整机必须符合轻工行业标准《QB/T5111-2017工业缝纫机计算机控制高速侧切刀平缝缝纫机》，机架应当符合《QBT/2378-2012工业用缝纫机 机架》，台板应当符合《QBT/2379-2012工业用缝纫机 台板》。侧切刀平缝机必须是满足服装行业一般生产所必备的完整产品（包括机架、台板等），并配备实现使用说明书描述功能所需的附件与备件。侧切刀平缝机在生产现场安装调试后无需额外添加任何物品就可投入生产使用。</w:t>
            </w:r>
          </w:p>
          <w:p>
            <w:pPr>
              <w:pStyle w:val="14"/>
              <w:spacing w:line="420" w:lineRule="exact"/>
              <w:ind w:left="0" w:leftChars="0"/>
              <w:jc w:val="left"/>
              <w:rPr>
                <w:bCs/>
                <w:szCs w:val="21"/>
              </w:rPr>
            </w:pPr>
            <w:r>
              <w:rPr>
                <w:rFonts w:hint="eastAsia"/>
                <w:bCs/>
                <w:szCs w:val="21"/>
              </w:rPr>
              <w:t>★投标人应按照机器的工作位置提供不少于六张（应包含正面、背面、左侧面、右侧面、顶面和底面）彩色照片，投标文件每页只能放置一张照片；机器彩色照片像素不小于4000万、应能清楚显示机器的型号规格和产品的唯一编号，并尽可能的展示机器的结构和性能，否则将不利于评标委员会对机器的评价，以上照片做为设备验收时比对依据；投标人应将机器彩色照片文件刻录在不可擦写的一次性光盘上随投标文件一并提交（光盘内照片须与投标文件一致）。</w:t>
            </w:r>
          </w:p>
          <w:p>
            <w:pPr>
              <w:pStyle w:val="14"/>
              <w:spacing w:line="420" w:lineRule="exact"/>
              <w:ind w:left="0" w:leftChars="0"/>
              <w:jc w:val="left"/>
              <w:rPr>
                <w:bCs/>
                <w:szCs w:val="21"/>
              </w:rPr>
            </w:pPr>
            <w:r>
              <w:rPr>
                <w:rFonts w:hint="eastAsia"/>
                <w:bCs/>
                <w:szCs w:val="21"/>
              </w:rPr>
              <w:t>功能及参数要求：</w:t>
            </w:r>
          </w:p>
          <w:p>
            <w:pPr>
              <w:widowControl/>
              <w:spacing w:line="460" w:lineRule="exact"/>
              <w:jc w:val="left"/>
              <w:rPr>
                <w:bCs/>
                <w:szCs w:val="21"/>
              </w:rPr>
            </w:pPr>
            <w:r>
              <w:rPr>
                <w:rFonts w:hint="eastAsia"/>
                <w:bCs/>
                <w:szCs w:val="21"/>
              </w:rPr>
              <w:t>★1.主轴采用交流伺服电机直驱</w:t>
            </w:r>
            <w:r>
              <w:rPr>
                <w:rFonts w:hint="eastAsia" w:ascii="宋体" w:hAnsi="宋体"/>
                <w:b/>
                <w:szCs w:val="21"/>
                <w:u w:val="single"/>
              </w:rPr>
              <w:t>（彩色触摸屏嵌入机头）一体式。</w:t>
            </w:r>
          </w:p>
          <w:p>
            <w:pPr>
              <w:pStyle w:val="14"/>
              <w:spacing w:line="420" w:lineRule="exact"/>
              <w:ind w:left="0" w:leftChars="0"/>
              <w:jc w:val="left"/>
              <w:rPr>
                <w:bCs/>
                <w:szCs w:val="21"/>
              </w:rPr>
            </w:pPr>
            <w:r>
              <w:rPr>
                <w:rFonts w:hint="eastAsia"/>
                <w:bCs/>
                <w:szCs w:val="21"/>
              </w:rPr>
              <w:t>★2.针杆及挑线杆采用润滑脂润滑或微油润滑</w:t>
            </w:r>
          </w:p>
          <w:p>
            <w:pPr>
              <w:pStyle w:val="14"/>
              <w:spacing w:line="420" w:lineRule="exact"/>
              <w:ind w:left="0" w:leftChars="0"/>
              <w:jc w:val="left"/>
              <w:rPr>
                <w:bCs/>
                <w:szCs w:val="21"/>
              </w:rPr>
            </w:pPr>
            <w:r>
              <w:rPr>
                <w:rFonts w:hint="eastAsia"/>
                <w:bCs/>
                <w:szCs w:val="21"/>
              </w:rPr>
              <w:t>3.控制面板采用彩色触摸屏、屏幕显示部分对角线长度≥110mm</w:t>
            </w:r>
          </w:p>
          <w:p>
            <w:pPr>
              <w:pStyle w:val="14"/>
              <w:spacing w:line="420" w:lineRule="exact"/>
              <w:ind w:left="0" w:leftChars="0"/>
              <w:jc w:val="left"/>
              <w:rPr>
                <w:bCs/>
                <w:szCs w:val="21"/>
              </w:rPr>
            </w:pPr>
            <w:r>
              <w:rPr>
                <w:rFonts w:hint="eastAsia"/>
                <w:bCs/>
                <w:szCs w:val="21"/>
              </w:rPr>
              <w:t>4.采用电子夹线器，可通过控制面板调节夹紧时间</w:t>
            </w:r>
          </w:p>
          <w:p>
            <w:pPr>
              <w:pStyle w:val="14"/>
              <w:spacing w:line="420" w:lineRule="exact"/>
              <w:ind w:left="0" w:leftChars="0"/>
              <w:jc w:val="left"/>
              <w:rPr>
                <w:bCs/>
                <w:szCs w:val="21"/>
              </w:rPr>
            </w:pPr>
            <w:r>
              <w:rPr>
                <w:rFonts w:hint="eastAsia"/>
                <w:bCs/>
                <w:szCs w:val="21"/>
              </w:rPr>
              <w:t>5.采用电子独立松线，可通过控制面板调节松线时间</w:t>
            </w:r>
          </w:p>
          <w:p>
            <w:pPr>
              <w:pStyle w:val="14"/>
              <w:spacing w:line="420" w:lineRule="exact"/>
              <w:ind w:left="0" w:leftChars="0"/>
              <w:jc w:val="left"/>
              <w:rPr>
                <w:bCs/>
                <w:szCs w:val="21"/>
              </w:rPr>
            </w:pPr>
            <w:r>
              <w:rPr>
                <w:rFonts w:hint="eastAsia"/>
                <w:bCs/>
                <w:szCs w:val="21"/>
              </w:rPr>
              <w:t>6.具有设置底线余量或缺线报警、缝纫计数功能</w:t>
            </w:r>
          </w:p>
          <w:p>
            <w:pPr>
              <w:pStyle w:val="14"/>
              <w:spacing w:line="420" w:lineRule="exact"/>
              <w:ind w:left="0" w:leftChars="0"/>
              <w:jc w:val="left"/>
              <w:rPr>
                <w:bCs/>
                <w:szCs w:val="21"/>
              </w:rPr>
            </w:pPr>
            <w:r>
              <w:rPr>
                <w:rFonts w:hint="eastAsia"/>
                <w:bCs/>
                <w:szCs w:val="21"/>
              </w:rPr>
              <w:t>7.针杆与切边刀动作可实现同步及异步</w:t>
            </w:r>
          </w:p>
          <w:p>
            <w:pPr>
              <w:pStyle w:val="14"/>
              <w:spacing w:line="420" w:lineRule="exact"/>
              <w:ind w:left="0" w:leftChars="0"/>
              <w:jc w:val="left"/>
              <w:rPr>
                <w:bCs/>
                <w:szCs w:val="21"/>
              </w:rPr>
            </w:pPr>
            <w:r>
              <w:rPr>
                <w:rFonts w:hint="eastAsia"/>
                <w:bCs/>
                <w:szCs w:val="21"/>
              </w:rPr>
              <w:t>★8.具有自动吸风收集废料装置</w:t>
            </w:r>
          </w:p>
          <w:p>
            <w:pPr>
              <w:pStyle w:val="14"/>
              <w:spacing w:line="420" w:lineRule="exact"/>
              <w:ind w:left="0" w:leftChars="0"/>
              <w:jc w:val="left"/>
              <w:rPr>
                <w:bCs/>
                <w:szCs w:val="21"/>
              </w:rPr>
            </w:pPr>
            <w:r>
              <w:rPr>
                <w:rFonts w:hint="eastAsia"/>
                <w:bCs/>
                <w:szCs w:val="21"/>
              </w:rPr>
              <w:t>9.底部采用封闭式金属油盘</w:t>
            </w:r>
          </w:p>
          <w:p>
            <w:pPr>
              <w:pStyle w:val="14"/>
              <w:spacing w:line="420" w:lineRule="exact"/>
              <w:ind w:left="0" w:leftChars="0"/>
              <w:jc w:val="left"/>
              <w:rPr>
                <w:bCs/>
                <w:szCs w:val="21"/>
              </w:rPr>
            </w:pPr>
            <w:r>
              <w:rPr>
                <w:rFonts w:hint="eastAsia"/>
                <w:bCs/>
                <w:szCs w:val="21"/>
              </w:rPr>
              <w:t>10.线迹长度由彩色触摸屏的控制面板调节，最小调节量≤0.1mm</w:t>
            </w:r>
          </w:p>
          <w:p>
            <w:pPr>
              <w:pStyle w:val="14"/>
              <w:spacing w:line="420" w:lineRule="exact"/>
              <w:ind w:left="0" w:leftChars="0"/>
              <w:jc w:val="left"/>
              <w:rPr>
                <w:bCs/>
                <w:szCs w:val="21"/>
              </w:rPr>
            </w:pPr>
            <w:r>
              <w:rPr>
                <w:rFonts w:hint="eastAsia"/>
                <w:bCs/>
                <w:szCs w:val="21"/>
              </w:rPr>
              <w:t>11.针距调节机构由独立步进电机控制</w:t>
            </w:r>
          </w:p>
          <w:p>
            <w:pPr>
              <w:widowControl/>
              <w:spacing w:line="460" w:lineRule="exact"/>
              <w:jc w:val="left"/>
              <w:rPr>
                <w:bCs/>
                <w:szCs w:val="21"/>
              </w:rPr>
            </w:pPr>
            <w:r>
              <w:rPr>
                <w:rFonts w:hint="eastAsia"/>
                <w:bCs/>
                <w:szCs w:val="21"/>
              </w:rPr>
              <w:t>12.自动抬压脚机构由步进电机独立控制</w:t>
            </w:r>
          </w:p>
        </w:tc>
      </w:tr>
      <w:tr>
        <w:tblPrEx>
          <w:tblCellMar>
            <w:top w:w="0" w:type="dxa"/>
            <w:left w:w="108" w:type="dxa"/>
            <w:bottom w:w="0" w:type="dxa"/>
            <w:right w:w="108" w:type="dxa"/>
          </w:tblCellMar>
        </w:tblPrEx>
        <w:trPr>
          <w:trHeight w:val="119" w:hRule="atLeast"/>
        </w:trPr>
        <w:tc>
          <w:tcPr>
            <w:tcW w:w="438"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宋体" w:hAnsi="宋体" w:cs="宋体"/>
                <w:kern w:val="0"/>
                <w:szCs w:val="21"/>
              </w:rPr>
            </w:pPr>
          </w:p>
        </w:tc>
        <w:tc>
          <w:tcPr>
            <w:tcW w:w="1088"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宋体" w:hAnsi="宋体" w:cs="宋体"/>
                <w:kern w:val="0"/>
                <w:szCs w:val="21"/>
              </w:rPr>
            </w:pPr>
          </w:p>
        </w:tc>
        <w:tc>
          <w:tcPr>
            <w:tcW w:w="85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切包一体</w:t>
            </w:r>
          </w:p>
        </w:tc>
        <w:tc>
          <w:tcPr>
            <w:tcW w:w="6663" w:type="dxa"/>
            <w:vMerge w:val="continue"/>
            <w:tcBorders>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p>
        </w:tc>
      </w:tr>
      <w:tr>
        <w:tblPrEx>
          <w:tblCellMar>
            <w:top w:w="0" w:type="dxa"/>
            <w:left w:w="108" w:type="dxa"/>
            <w:bottom w:w="0" w:type="dxa"/>
            <w:right w:w="108" w:type="dxa"/>
          </w:tblCellMar>
        </w:tblPrEx>
        <w:trPr>
          <w:trHeight w:val="119" w:hRule="atLeast"/>
        </w:trPr>
        <w:tc>
          <w:tcPr>
            <w:tcW w:w="438" w:type="dxa"/>
            <w:vMerge w:val="restart"/>
            <w:tcBorders>
              <w:top w:val="nil"/>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3</w:t>
            </w:r>
          </w:p>
        </w:tc>
        <w:tc>
          <w:tcPr>
            <w:tcW w:w="1088" w:type="dxa"/>
            <w:vMerge w:val="restart"/>
            <w:tcBorders>
              <w:top w:val="nil"/>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计算机控制针送料平缝缝纫机</w:t>
            </w:r>
          </w:p>
        </w:tc>
        <w:tc>
          <w:tcPr>
            <w:tcW w:w="85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薄料、中厚料</w:t>
            </w:r>
          </w:p>
        </w:tc>
        <w:tc>
          <w:tcPr>
            <w:tcW w:w="6663" w:type="dxa"/>
            <w:vMerge w:val="restart"/>
            <w:tcBorders>
              <w:top w:val="nil"/>
              <w:left w:val="nil"/>
              <w:right w:val="single" w:color="auto" w:sz="4" w:space="0"/>
            </w:tcBorders>
            <w:vAlign w:val="center"/>
          </w:tcPr>
          <w:p>
            <w:pPr>
              <w:widowControl/>
              <w:spacing w:line="460" w:lineRule="exact"/>
              <w:jc w:val="left"/>
              <w:rPr>
                <w:rFonts w:ascii="宋体" w:hAnsi="宋体" w:cs="宋体"/>
                <w:kern w:val="0"/>
                <w:szCs w:val="21"/>
              </w:rPr>
            </w:pPr>
            <w:r>
              <w:rPr>
                <w:rFonts w:hint="eastAsia" w:ascii="宋体" w:hAnsi="宋体" w:cs="宋体"/>
                <w:kern w:val="0"/>
                <w:szCs w:val="21"/>
              </w:rPr>
              <w:t>针送料平缝机应采用计算机控制系统、交流电机直驱，具有自动调速、自动停针位、自动剪线、自动计数、自动倒顺缝、自动加固缝、慢启动等功能。针送料平缝机整机必须符合轻工行业标准《QB/T 5227-2018 工业用缝纫机计算机控制高速针送料平缝缝纫机》，机架应当符合《QBT/2378-2012工业用缝纫机 机架》，台板应当符合《QBT/2379-2012工业用缝纫机 台板》。针送料平缝机必须是满足服装行业一般生产所必备的完整产品(包括机架、台板等)，并配备实现使用说明书描述功能所需的附件与备件。针送料平缝机在生产现场安装调试后无需额外添加任何物品就可投入生产使用。</w:t>
            </w:r>
          </w:p>
          <w:p>
            <w:pPr>
              <w:widowControl/>
              <w:spacing w:line="460" w:lineRule="exact"/>
              <w:jc w:val="left"/>
              <w:rPr>
                <w:rFonts w:ascii="宋体" w:hAnsi="宋体" w:cs="宋体"/>
                <w:kern w:val="0"/>
                <w:szCs w:val="21"/>
              </w:rPr>
            </w:pPr>
            <w:r>
              <w:rPr>
                <w:rFonts w:hint="eastAsia" w:ascii="宋体" w:hAnsi="宋体" w:cs="宋体"/>
                <w:kern w:val="0"/>
                <w:szCs w:val="21"/>
              </w:rPr>
              <w:t>★投标人应按照机器的工作位置提供不少于六张（应包含正面、背面、左侧面、右侧面、顶面和底面）彩色照片，投标文件每页只能放置一张照片；机器彩色照片像素不小于4000万、应能清楚显示机器的型号规格和产品的唯一编号，并尽可能的展示机器的结构和性能，否则将不利于评标委员会对机器的评价，以上照片做为设备验收时比对依据；投标人应将机器彩色照片文件刻录在不可擦写的一次性光盘上随投标文件一并提交（光盘内照片须与投标文件一致）。</w:t>
            </w:r>
          </w:p>
          <w:p>
            <w:pPr>
              <w:widowControl/>
              <w:spacing w:line="460" w:lineRule="exact"/>
              <w:jc w:val="left"/>
              <w:rPr>
                <w:rFonts w:ascii="宋体" w:hAnsi="宋体" w:cs="宋体"/>
                <w:kern w:val="0"/>
                <w:szCs w:val="21"/>
              </w:rPr>
            </w:pPr>
            <w:r>
              <w:rPr>
                <w:rFonts w:hint="eastAsia" w:ascii="宋体" w:hAnsi="宋体" w:cs="宋体"/>
                <w:kern w:val="0"/>
                <w:szCs w:val="21"/>
              </w:rPr>
              <w:t>功能及参数要求：</w:t>
            </w:r>
          </w:p>
          <w:p>
            <w:pPr>
              <w:widowControl/>
              <w:spacing w:line="460" w:lineRule="exact"/>
              <w:jc w:val="left"/>
              <w:rPr>
                <w:rFonts w:ascii="宋体" w:hAnsi="宋体" w:cs="宋体"/>
                <w:kern w:val="0"/>
                <w:szCs w:val="21"/>
              </w:rPr>
            </w:pPr>
            <w:r>
              <w:rPr>
                <w:rFonts w:hint="eastAsia" w:ascii="宋体" w:hAnsi="宋体" w:cs="宋体"/>
                <w:kern w:val="0"/>
                <w:szCs w:val="21"/>
              </w:rPr>
              <w:t>★1.主轴采用交流伺服电机直驱</w:t>
            </w:r>
          </w:p>
          <w:p>
            <w:pPr>
              <w:widowControl/>
              <w:spacing w:line="460" w:lineRule="exact"/>
              <w:jc w:val="left"/>
              <w:rPr>
                <w:rFonts w:ascii="宋体" w:hAnsi="宋体" w:cs="宋体"/>
                <w:kern w:val="0"/>
                <w:szCs w:val="21"/>
              </w:rPr>
            </w:pPr>
            <w:r>
              <w:rPr>
                <w:rFonts w:hint="eastAsia" w:ascii="宋体" w:hAnsi="宋体" w:cs="宋体"/>
                <w:kern w:val="0"/>
                <w:szCs w:val="21"/>
              </w:rPr>
              <w:t>2.底部采用封闭式金属油盘</w:t>
            </w:r>
          </w:p>
          <w:p>
            <w:pPr>
              <w:widowControl/>
              <w:spacing w:line="460" w:lineRule="exact"/>
              <w:jc w:val="left"/>
              <w:rPr>
                <w:rFonts w:ascii="宋体" w:hAnsi="宋体" w:cs="宋体"/>
                <w:kern w:val="0"/>
                <w:szCs w:val="21"/>
              </w:rPr>
            </w:pPr>
            <w:r>
              <w:rPr>
                <w:rFonts w:hint="eastAsia" w:ascii="宋体" w:hAnsi="宋体" w:cs="宋体"/>
                <w:kern w:val="0"/>
                <w:szCs w:val="21"/>
              </w:rPr>
              <w:t>★3.针杆及挑线杆采用润滑脂润滑或微油润滑</w:t>
            </w:r>
          </w:p>
          <w:p>
            <w:pPr>
              <w:widowControl/>
              <w:spacing w:line="460" w:lineRule="exact"/>
              <w:jc w:val="left"/>
              <w:rPr>
                <w:rFonts w:ascii="宋体" w:hAnsi="宋体" w:cs="宋体"/>
                <w:kern w:val="0"/>
                <w:szCs w:val="21"/>
              </w:rPr>
            </w:pPr>
            <w:r>
              <w:rPr>
                <w:rFonts w:hint="eastAsia" w:ascii="宋体" w:hAnsi="宋体" w:cs="宋体"/>
                <w:kern w:val="0"/>
                <w:szCs w:val="21"/>
              </w:rPr>
              <w:t>4.控制面板采用彩色触摸屏、屏幕显示部分对角线长度≥110mm</w:t>
            </w:r>
          </w:p>
          <w:p>
            <w:pPr>
              <w:widowControl/>
              <w:spacing w:line="460" w:lineRule="exact"/>
              <w:jc w:val="left"/>
              <w:rPr>
                <w:rFonts w:ascii="宋体" w:hAnsi="宋体" w:cs="宋体"/>
                <w:kern w:val="0"/>
                <w:szCs w:val="21"/>
              </w:rPr>
            </w:pPr>
            <w:r>
              <w:rPr>
                <w:rFonts w:hint="eastAsia" w:ascii="宋体" w:hAnsi="宋体" w:cs="宋体"/>
                <w:kern w:val="0"/>
                <w:szCs w:val="21"/>
              </w:rPr>
              <w:t>5.线迹长度由控制面板调节，最小调节量≤0.1mm</w:t>
            </w:r>
          </w:p>
          <w:p>
            <w:pPr>
              <w:widowControl/>
              <w:spacing w:line="460" w:lineRule="exact"/>
              <w:jc w:val="left"/>
              <w:rPr>
                <w:rFonts w:ascii="宋体" w:hAnsi="宋体" w:cs="宋体"/>
                <w:kern w:val="0"/>
                <w:szCs w:val="21"/>
              </w:rPr>
            </w:pPr>
            <w:r>
              <w:rPr>
                <w:rFonts w:hint="eastAsia" w:ascii="宋体" w:hAnsi="宋体" w:cs="宋体"/>
                <w:kern w:val="0"/>
                <w:szCs w:val="21"/>
              </w:rPr>
              <w:t>6.起缝及结束缝时具有密缝功能且密缝线迹长度可在控制面板上设定</w:t>
            </w:r>
          </w:p>
          <w:p>
            <w:pPr>
              <w:widowControl/>
              <w:spacing w:line="460" w:lineRule="exact"/>
              <w:jc w:val="left"/>
              <w:rPr>
                <w:rFonts w:ascii="宋体" w:hAnsi="宋体" w:cs="宋体"/>
                <w:kern w:val="0"/>
                <w:szCs w:val="21"/>
              </w:rPr>
            </w:pPr>
            <w:r>
              <w:rPr>
                <w:rFonts w:hint="eastAsia" w:ascii="宋体" w:hAnsi="宋体" w:cs="宋体"/>
                <w:kern w:val="0"/>
                <w:szCs w:val="21"/>
              </w:rPr>
              <w:t>7.采用电子夹线器，可通过控制面板调节夹紧时间</w:t>
            </w:r>
          </w:p>
          <w:p>
            <w:pPr>
              <w:widowControl/>
              <w:spacing w:line="460" w:lineRule="exact"/>
              <w:jc w:val="left"/>
              <w:rPr>
                <w:rFonts w:ascii="宋体" w:hAnsi="宋体" w:cs="宋体"/>
                <w:kern w:val="0"/>
                <w:szCs w:val="21"/>
              </w:rPr>
            </w:pPr>
            <w:r>
              <w:rPr>
                <w:rFonts w:hint="eastAsia" w:ascii="宋体" w:hAnsi="宋体" w:cs="宋体"/>
                <w:kern w:val="0"/>
                <w:szCs w:val="21"/>
              </w:rPr>
              <w:t>8.自动剪线线头长度≤3mm</w:t>
            </w:r>
          </w:p>
          <w:p>
            <w:pPr>
              <w:widowControl/>
              <w:spacing w:line="460" w:lineRule="exact"/>
              <w:jc w:val="left"/>
              <w:rPr>
                <w:rFonts w:ascii="宋体" w:hAnsi="宋体" w:cs="宋体"/>
                <w:kern w:val="0"/>
                <w:szCs w:val="21"/>
              </w:rPr>
            </w:pPr>
            <w:r>
              <w:rPr>
                <w:rFonts w:hint="eastAsia" w:ascii="宋体" w:hAnsi="宋体" w:cs="宋体"/>
                <w:kern w:val="0"/>
                <w:szCs w:val="21"/>
              </w:rPr>
              <w:t>9.采用电子独立松线，可通过控制面板调节松线时间</w:t>
            </w:r>
          </w:p>
          <w:p>
            <w:pPr>
              <w:widowControl/>
              <w:spacing w:line="460" w:lineRule="exact"/>
              <w:jc w:val="left"/>
              <w:rPr>
                <w:rFonts w:ascii="宋体" w:hAnsi="宋体" w:cs="宋体"/>
                <w:kern w:val="0"/>
                <w:szCs w:val="21"/>
              </w:rPr>
            </w:pPr>
            <w:r>
              <w:rPr>
                <w:rFonts w:hint="eastAsia" w:ascii="宋体" w:hAnsi="宋体" w:cs="宋体"/>
                <w:kern w:val="0"/>
                <w:szCs w:val="21"/>
              </w:rPr>
              <w:t>10.具有设置底线余量或缺线报警、缝纫计数功能</w:t>
            </w:r>
          </w:p>
          <w:p>
            <w:pPr>
              <w:widowControl/>
              <w:spacing w:line="460" w:lineRule="exact"/>
              <w:jc w:val="left"/>
              <w:rPr>
                <w:rFonts w:ascii="宋体" w:hAnsi="宋体" w:cs="宋体"/>
                <w:kern w:val="0"/>
                <w:szCs w:val="21"/>
              </w:rPr>
            </w:pPr>
            <w:r>
              <w:rPr>
                <w:rFonts w:hint="eastAsia" w:ascii="宋体" w:hAnsi="宋体" w:cs="宋体"/>
                <w:kern w:val="0"/>
                <w:szCs w:val="21"/>
              </w:rPr>
              <w:t>11.针距调节机构由独立步进电机控制</w:t>
            </w:r>
          </w:p>
          <w:p>
            <w:pPr>
              <w:widowControl/>
              <w:spacing w:line="460" w:lineRule="exact"/>
              <w:jc w:val="left"/>
              <w:rPr>
                <w:rFonts w:ascii="宋体" w:hAnsi="宋体" w:cs="宋体"/>
                <w:kern w:val="0"/>
                <w:szCs w:val="21"/>
              </w:rPr>
            </w:pPr>
            <w:r>
              <w:rPr>
                <w:rFonts w:hint="eastAsia" w:ascii="宋体" w:hAnsi="宋体" w:cs="宋体"/>
                <w:kern w:val="0"/>
                <w:szCs w:val="21"/>
              </w:rPr>
              <w:t>12.具有防鸟巢装置</w:t>
            </w:r>
          </w:p>
          <w:p>
            <w:pPr>
              <w:widowControl/>
              <w:spacing w:line="460" w:lineRule="exact"/>
              <w:jc w:val="left"/>
              <w:rPr>
                <w:b/>
              </w:rPr>
            </w:pPr>
            <w:r>
              <w:rPr>
                <w:rFonts w:hint="eastAsia" w:ascii="宋体" w:hAnsi="宋体" w:cs="宋体"/>
                <w:b/>
                <w:kern w:val="0"/>
                <w:szCs w:val="21"/>
              </w:rPr>
              <w:t>13. 具有大空间缝台：≥300mm*120mm。</w:t>
            </w:r>
          </w:p>
        </w:tc>
      </w:tr>
      <w:tr>
        <w:tblPrEx>
          <w:tblCellMar>
            <w:top w:w="0" w:type="dxa"/>
            <w:left w:w="108" w:type="dxa"/>
            <w:bottom w:w="0" w:type="dxa"/>
            <w:right w:w="108" w:type="dxa"/>
          </w:tblCellMar>
        </w:tblPrEx>
        <w:trPr>
          <w:trHeight w:val="119" w:hRule="atLeast"/>
        </w:trPr>
        <w:tc>
          <w:tcPr>
            <w:tcW w:w="438"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宋体" w:hAnsi="宋体" w:cs="宋体"/>
                <w:kern w:val="0"/>
                <w:szCs w:val="21"/>
              </w:rPr>
            </w:pPr>
          </w:p>
        </w:tc>
        <w:tc>
          <w:tcPr>
            <w:tcW w:w="1088"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宋体" w:hAnsi="宋体" w:cs="宋体"/>
                <w:kern w:val="0"/>
                <w:szCs w:val="21"/>
              </w:rPr>
            </w:pPr>
          </w:p>
        </w:tc>
        <w:tc>
          <w:tcPr>
            <w:tcW w:w="85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厚料</w:t>
            </w:r>
          </w:p>
        </w:tc>
        <w:tc>
          <w:tcPr>
            <w:tcW w:w="6663" w:type="dxa"/>
            <w:vMerge w:val="continue"/>
            <w:tcBorders>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p>
        </w:tc>
      </w:tr>
      <w:tr>
        <w:tblPrEx>
          <w:tblCellMar>
            <w:top w:w="0" w:type="dxa"/>
            <w:left w:w="108" w:type="dxa"/>
            <w:bottom w:w="0" w:type="dxa"/>
            <w:right w:w="108" w:type="dxa"/>
          </w:tblCellMar>
        </w:tblPrEx>
        <w:trPr>
          <w:trHeight w:val="239" w:hRule="atLeast"/>
        </w:trPr>
        <w:tc>
          <w:tcPr>
            <w:tcW w:w="438" w:type="dxa"/>
            <w:tcBorders>
              <w:top w:val="nil"/>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4</w:t>
            </w:r>
          </w:p>
        </w:tc>
        <w:tc>
          <w:tcPr>
            <w:tcW w:w="1088"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计算机控制双针针送料平缝缝纫机</w:t>
            </w:r>
          </w:p>
        </w:tc>
        <w:tc>
          <w:tcPr>
            <w:tcW w:w="85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针杆分离</w:t>
            </w:r>
          </w:p>
        </w:tc>
        <w:tc>
          <w:tcPr>
            <w:tcW w:w="6663" w:type="dxa"/>
            <w:tcBorders>
              <w:top w:val="nil"/>
              <w:left w:val="nil"/>
              <w:bottom w:val="single" w:color="auto" w:sz="4" w:space="0"/>
              <w:right w:val="single" w:color="auto" w:sz="4" w:space="0"/>
            </w:tcBorders>
            <w:vAlign w:val="center"/>
          </w:tcPr>
          <w:p>
            <w:pPr>
              <w:widowControl/>
              <w:spacing w:line="460" w:lineRule="exact"/>
              <w:jc w:val="left"/>
              <w:rPr>
                <w:rFonts w:ascii="宋体" w:hAnsi="宋体" w:cs="宋体"/>
                <w:kern w:val="0"/>
                <w:szCs w:val="21"/>
              </w:rPr>
            </w:pPr>
            <w:r>
              <w:rPr>
                <w:rFonts w:hint="eastAsia" w:ascii="宋体" w:hAnsi="宋体" w:cs="宋体"/>
                <w:kern w:val="0"/>
                <w:szCs w:val="21"/>
              </w:rPr>
              <w:t>★双针平缝机应符合轻工行业标准《QB/T1574-2005工业缝纫机双针针送料平缝缝纫机机头》，机架应当符合《QBT/2378-2012 工业用缝纫机 机架》，台板应当符合《QBT/2379-2012 工业用缝纫机 台板》。双针平缝机必须是满足服装行业一般生产所必备的完整产品(包括机架、台板等)，并配备实现使用说明书描述功能所需的附件与备件。双针平缝机在生产现场安装调试后无需额外添加任何物品就可投入生产使用。</w:t>
            </w:r>
          </w:p>
          <w:p>
            <w:pPr>
              <w:widowControl/>
              <w:spacing w:line="460" w:lineRule="exact"/>
              <w:jc w:val="left"/>
              <w:rPr>
                <w:rFonts w:ascii="宋体" w:hAnsi="宋体" w:cs="宋体"/>
                <w:kern w:val="0"/>
                <w:szCs w:val="21"/>
              </w:rPr>
            </w:pPr>
            <w:r>
              <w:rPr>
                <w:rFonts w:hint="eastAsia" w:ascii="宋体" w:hAnsi="宋体" w:cs="宋体"/>
                <w:kern w:val="0"/>
                <w:szCs w:val="21"/>
              </w:rPr>
              <w:t>★投标人应按照机器的工作位置提供不少于六张（应包含正面、背面、左侧面、右侧面、顶面和底面）彩色照片，投标文件每页只能放置一张照片；机器彩色照片像素不小于4000万、应能清楚显示机器的型号规格和产品的唯一编号，并尽可能的展示机器的结构和性能，否则将不利于评标委员会对机器的评价，以上照片做为设备验收时比对依据；投标人应将机器彩色照片文件刻录在不可擦写的一次性光盘上随投标文件一并提交（光盘内照片须与投标文件一致）。</w:t>
            </w:r>
          </w:p>
          <w:p>
            <w:pPr>
              <w:pStyle w:val="14"/>
              <w:spacing w:line="420" w:lineRule="exact"/>
              <w:ind w:left="0" w:leftChars="0"/>
              <w:rPr>
                <w:rFonts w:ascii="宋体" w:hAnsi="宋体" w:cs="宋体"/>
                <w:color w:val="00B050"/>
                <w:kern w:val="0"/>
                <w:szCs w:val="21"/>
              </w:rPr>
            </w:pPr>
            <w:r>
              <w:rPr>
                <w:rFonts w:hint="eastAsia" w:ascii="宋体" w:hAnsi="宋体" w:cs="宋体"/>
                <w:color w:val="00B050"/>
                <w:kern w:val="0"/>
                <w:szCs w:val="21"/>
              </w:rPr>
              <w:t>★1.主轴采用交流伺服电机直驱；</w:t>
            </w:r>
          </w:p>
          <w:p>
            <w:pPr>
              <w:pStyle w:val="14"/>
              <w:spacing w:line="420" w:lineRule="exact"/>
              <w:ind w:left="0" w:leftChars="0"/>
              <w:rPr>
                <w:rFonts w:ascii="宋体" w:hAnsi="宋体" w:cs="宋体"/>
                <w:color w:val="00B050"/>
                <w:kern w:val="0"/>
                <w:szCs w:val="21"/>
              </w:rPr>
            </w:pPr>
            <w:r>
              <w:rPr>
                <w:rFonts w:hint="eastAsia" w:ascii="宋体" w:hAnsi="宋体" w:cs="宋体"/>
                <w:color w:val="00B050"/>
                <w:kern w:val="0"/>
                <w:szCs w:val="21"/>
              </w:rPr>
              <w:t>★2.针杆及挑线杆采用润滑脂润滑或微油润滑；</w:t>
            </w:r>
          </w:p>
          <w:p>
            <w:pPr>
              <w:pStyle w:val="14"/>
              <w:spacing w:line="420" w:lineRule="exact"/>
              <w:ind w:left="0" w:leftChars="0"/>
              <w:rPr>
                <w:rFonts w:ascii="宋体" w:hAnsi="宋体" w:cs="宋体"/>
                <w:color w:val="00B050"/>
                <w:kern w:val="0"/>
                <w:szCs w:val="21"/>
              </w:rPr>
            </w:pPr>
            <w:r>
              <w:rPr>
                <w:rFonts w:hint="eastAsia" w:ascii="宋体" w:hAnsi="宋体" w:cs="宋体"/>
                <w:color w:val="00B050"/>
                <w:kern w:val="0"/>
                <w:szCs w:val="21"/>
              </w:rPr>
              <w:t>3.线迹长度由控制面板调节；</w:t>
            </w:r>
          </w:p>
          <w:p>
            <w:pPr>
              <w:pStyle w:val="14"/>
              <w:spacing w:line="420" w:lineRule="exact"/>
              <w:ind w:left="0" w:leftChars="0"/>
              <w:rPr>
                <w:rFonts w:ascii="宋体" w:hAnsi="宋体" w:cs="宋体"/>
                <w:color w:val="00B050"/>
                <w:kern w:val="0"/>
                <w:szCs w:val="21"/>
              </w:rPr>
            </w:pPr>
            <w:r>
              <w:rPr>
                <w:rFonts w:hint="eastAsia" w:ascii="宋体" w:hAnsi="宋体" w:cs="宋体"/>
                <w:color w:val="00B050"/>
                <w:kern w:val="0"/>
                <w:szCs w:val="21"/>
              </w:rPr>
              <w:t>4.起缝及结束缝时具有密缝功能且密缝线迹长度可在控制面板上设定；</w:t>
            </w:r>
          </w:p>
          <w:p>
            <w:pPr>
              <w:pStyle w:val="14"/>
              <w:spacing w:line="420" w:lineRule="exact"/>
              <w:ind w:left="0" w:leftChars="0"/>
              <w:rPr>
                <w:rFonts w:ascii="宋体" w:hAnsi="宋体" w:cs="宋体"/>
                <w:color w:val="00B050"/>
                <w:kern w:val="0"/>
                <w:szCs w:val="21"/>
              </w:rPr>
            </w:pPr>
            <w:r>
              <w:rPr>
                <w:rFonts w:hint="eastAsia" w:ascii="宋体" w:hAnsi="宋体" w:cs="宋体"/>
                <w:color w:val="00B050"/>
                <w:kern w:val="0"/>
                <w:szCs w:val="21"/>
              </w:rPr>
              <w:t>5.采用电子夹线器，可通过控制面板调节夹紧时间；</w:t>
            </w:r>
          </w:p>
          <w:p>
            <w:pPr>
              <w:pStyle w:val="14"/>
              <w:spacing w:line="420" w:lineRule="exact"/>
              <w:ind w:left="0" w:leftChars="0"/>
              <w:rPr>
                <w:rFonts w:ascii="宋体" w:hAnsi="宋体" w:cs="宋体"/>
                <w:color w:val="00B050"/>
                <w:kern w:val="0"/>
                <w:szCs w:val="21"/>
              </w:rPr>
            </w:pPr>
            <w:r>
              <w:rPr>
                <w:rFonts w:hint="eastAsia" w:ascii="宋体" w:hAnsi="宋体" w:cs="宋体"/>
                <w:color w:val="00B050"/>
                <w:kern w:val="0"/>
                <w:szCs w:val="21"/>
              </w:rPr>
              <w:t>6.采用电子独立松线，可通过控制面板调节松线时间；</w:t>
            </w:r>
          </w:p>
          <w:p>
            <w:pPr>
              <w:pStyle w:val="14"/>
              <w:spacing w:line="420" w:lineRule="exact"/>
              <w:ind w:left="0" w:leftChars="0"/>
              <w:rPr>
                <w:rFonts w:ascii="宋体" w:hAnsi="宋体" w:cs="宋体"/>
                <w:color w:val="00B050"/>
                <w:kern w:val="0"/>
                <w:szCs w:val="21"/>
              </w:rPr>
            </w:pPr>
            <w:r>
              <w:rPr>
                <w:rFonts w:hint="eastAsia" w:ascii="宋体" w:hAnsi="宋体" w:cs="宋体"/>
                <w:color w:val="00B050"/>
                <w:kern w:val="0"/>
                <w:szCs w:val="21"/>
              </w:rPr>
              <w:t>7.控制面板采用彩色触摸屏、屏幕显示部分对角线长度≥110mm；</w:t>
            </w:r>
          </w:p>
          <w:p>
            <w:pPr>
              <w:pStyle w:val="14"/>
              <w:spacing w:line="420" w:lineRule="exact"/>
              <w:ind w:left="0" w:leftChars="0"/>
              <w:rPr>
                <w:rFonts w:ascii="宋体" w:hAnsi="宋体" w:cs="宋体"/>
                <w:color w:val="00B050"/>
                <w:kern w:val="0"/>
                <w:szCs w:val="21"/>
              </w:rPr>
            </w:pPr>
            <w:r>
              <w:rPr>
                <w:rFonts w:hint="eastAsia" w:ascii="宋体" w:hAnsi="宋体" w:cs="宋体"/>
                <w:color w:val="00B050"/>
                <w:kern w:val="0"/>
                <w:szCs w:val="21"/>
              </w:rPr>
              <w:t>8.具有设置底线余量或缺线报警、缝纫计数功能；</w:t>
            </w:r>
          </w:p>
          <w:p>
            <w:pPr>
              <w:pStyle w:val="14"/>
              <w:spacing w:line="420" w:lineRule="exact"/>
              <w:ind w:left="0" w:leftChars="0"/>
              <w:rPr>
                <w:rFonts w:ascii="宋体" w:hAnsi="宋体" w:cs="宋体"/>
                <w:color w:val="00B050"/>
                <w:kern w:val="0"/>
                <w:szCs w:val="21"/>
              </w:rPr>
            </w:pPr>
            <w:r>
              <w:rPr>
                <w:rFonts w:hint="eastAsia" w:ascii="宋体" w:hAnsi="宋体" w:cs="宋体"/>
                <w:color w:val="00B050"/>
                <w:kern w:val="0"/>
                <w:szCs w:val="21"/>
              </w:rPr>
              <w:t>9.自动抬压脚机构由步进电机独立控制；</w:t>
            </w:r>
          </w:p>
          <w:p>
            <w:pPr>
              <w:pStyle w:val="14"/>
              <w:spacing w:line="420" w:lineRule="exact"/>
              <w:ind w:left="0" w:leftChars="0"/>
            </w:pPr>
            <w:r>
              <w:rPr>
                <w:rFonts w:hint="eastAsia" w:ascii="宋体" w:hAnsi="宋体" w:cs="宋体"/>
                <w:color w:val="00B050"/>
                <w:kern w:val="0"/>
                <w:szCs w:val="21"/>
              </w:rPr>
              <w:t>10.具有防鸟巢功能。</w:t>
            </w:r>
          </w:p>
        </w:tc>
      </w:tr>
      <w:tr>
        <w:tblPrEx>
          <w:tblCellMar>
            <w:top w:w="0" w:type="dxa"/>
            <w:left w:w="108" w:type="dxa"/>
            <w:bottom w:w="0" w:type="dxa"/>
            <w:right w:w="108" w:type="dxa"/>
          </w:tblCellMar>
        </w:tblPrEx>
        <w:trPr>
          <w:trHeight w:val="416" w:hRule="atLeast"/>
        </w:trPr>
        <w:tc>
          <w:tcPr>
            <w:tcW w:w="438" w:type="dxa"/>
            <w:tcBorders>
              <w:top w:val="nil"/>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5</w:t>
            </w:r>
          </w:p>
        </w:tc>
        <w:tc>
          <w:tcPr>
            <w:tcW w:w="1088"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计算机控制链式线迹缝纫机</w:t>
            </w:r>
          </w:p>
        </w:tc>
        <w:tc>
          <w:tcPr>
            <w:tcW w:w="85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3针、中厚料</w:t>
            </w:r>
          </w:p>
        </w:tc>
        <w:tc>
          <w:tcPr>
            <w:tcW w:w="6663" w:type="dxa"/>
            <w:tcBorders>
              <w:top w:val="nil"/>
              <w:left w:val="nil"/>
              <w:bottom w:val="single" w:color="auto" w:sz="4" w:space="0"/>
              <w:right w:val="single" w:color="auto" w:sz="4" w:space="0"/>
            </w:tcBorders>
            <w:vAlign w:val="center"/>
          </w:tcPr>
          <w:p>
            <w:pPr>
              <w:pStyle w:val="14"/>
              <w:spacing w:line="420" w:lineRule="exact"/>
              <w:ind w:left="0" w:leftChars="0"/>
              <w:jc w:val="left"/>
              <w:rPr>
                <w:bCs/>
                <w:szCs w:val="21"/>
              </w:rPr>
            </w:pPr>
            <w:r>
              <w:rPr>
                <w:rFonts w:hint="eastAsia"/>
                <w:bCs/>
                <w:szCs w:val="21"/>
              </w:rPr>
              <w:t>★链式3针机应采用计算机控制系统、平板式结构、交流伺服电机直驱、配备后拖轮，自动抬压脚、自动抬后拖轮等功能；链式3针机整机必须符合轻工行业标准《QB/T4303-2017工业缝纫机平板式链式线迹缝纫机机头》、《QB/T2380-2017工业缝纫机计算机控制高速平缝缝纫机》，机架应当符合《QBT/2378-2012工业用缝纫机 机架》，台板应当符合《QBT/2379-2012工业用缝纫机 台板》。链式3针机必须是满足服装行业一般生产所必备的完整产品(包括机架、台板等)，并配备实现使用说明书描述功能所需的附件与备件。链式3针机在生产现场安装调试后无需额外添加任何物品就可投入生产使用。</w:t>
            </w:r>
          </w:p>
          <w:p>
            <w:pPr>
              <w:widowControl/>
              <w:spacing w:line="460" w:lineRule="exact"/>
              <w:jc w:val="left"/>
              <w:rPr>
                <w:bCs/>
                <w:szCs w:val="21"/>
              </w:rPr>
            </w:pPr>
            <w:r>
              <w:rPr>
                <w:rFonts w:hint="eastAsia"/>
                <w:bCs/>
                <w:szCs w:val="21"/>
              </w:rPr>
              <w:t>★投标人应按照机器的工作位置提供不少于六张（应包含正面、背面、左侧面、右侧面、顶面和底面）彩色照片，投标文件每页只能放置一张照片；机器彩色照片像素不小于4000万、应能清楚显示机器的型号规格和产品的唯一编号，并尽可能的展示机器的结构和性能，否则将不利于评标委员会对机器的评价，以上照片做为设备验收时比对依据；投标人应将机器彩色照片文件刻录在不可擦写的一次性光盘上随投标文件一并提交（光盘内照片须与投标文件一致）。</w:t>
            </w:r>
          </w:p>
          <w:p>
            <w:pPr>
              <w:widowControl/>
              <w:adjustRightInd w:val="0"/>
              <w:spacing w:line="420" w:lineRule="exact"/>
              <w:rPr>
                <w:bCs/>
                <w:color w:val="00B050"/>
                <w:szCs w:val="21"/>
              </w:rPr>
            </w:pPr>
            <w:r>
              <w:rPr>
                <w:rFonts w:hint="eastAsia" w:ascii="宋体" w:hAnsi="宋体" w:cs="宋体"/>
                <w:color w:val="00B050"/>
                <w:kern w:val="0"/>
                <w:szCs w:val="21"/>
              </w:rPr>
              <w:t>★</w:t>
            </w:r>
            <w:r>
              <w:rPr>
                <w:rFonts w:hint="eastAsia"/>
                <w:bCs/>
                <w:color w:val="00B050"/>
                <w:szCs w:val="21"/>
              </w:rPr>
              <w:t>1.主轴采用交流伺服电机直驱；</w:t>
            </w:r>
          </w:p>
          <w:p>
            <w:pPr>
              <w:widowControl/>
              <w:adjustRightInd w:val="0"/>
              <w:spacing w:line="420" w:lineRule="exact"/>
              <w:rPr>
                <w:bCs/>
                <w:color w:val="00B050"/>
                <w:szCs w:val="21"/>
              </w:rPr>
            </w:pPr>
            <w:r>
              <w:rPr>
                <w:rFonts w:hint="eastAsia" w:ascii="宋体" w:hAnsi="宋体" w:cs="宋体"/>
                <w:color w:val="00B050"/>
                <w:kern w:val="0"/>
                <w:szCs w:val="21"/>
              </w:rPr>
              <w:t>★</w:t>
            </w:r>
            <w:r>
              <w:rPr>
                <w:rFonts w:hint="eastAsia"/>
                <w:bCs/>
                <w:color w:val="00B050"/>
                <w:szCs w:val="21"/>
              </w:rPr>
              <w:t>2.机头内部的针杆等采用润滑脂润滑或无油润滑；</w:t>
            </w:r>
          </w:p>
          <w:p>
            <w:pPr>
              <w:widowControl/>
              <w:adjustRightInd w:val="0"/>
              <w:spacing w:line="420" w:lineRule="exact"/>
              <w:rPr>
                <w:bCs/>
                <w:color w:val="00B050"/>
                <w:szCs w:val="21"/>
              </w:rPr>
            </w:pPr>
            <w:r>
              <w:rPr>
                <w:rFonts w:hint="eastAsia"/>
                <w:bCs/>
                <w:color w:val="00B050"/>
                <w:szCs w:val="21"/>
              </w:rPr>
              <w:t>3.控制面板采用彩色触摸屏、屏幕显示部分对角线长度≥110mm，；</w:t>
            </w:r>
          </w:p>
          <w:p>
            <w:pPr>
              <w:widowControl/>
              <w:adjustRightInd w:val="0"/>
              <w:spacing w:line="420" w:lineRule="exact"/>
              <w:rPr>
                <w:bCs/>
                <w:color w:val="00B050"/>
                <w:szCs w:val="21"/>
              </w:rPr>
            </w:pPr>
            <w:r>
              <w:rPr>
                <w:rFonts w:hint="eastAsia"/>
                <w:bCs/>
                <w:color w:val="00B050"/>
                <w:szCs w:val="21"/>
              </w:rPr>
              <w:t>4具有吹气扫线功能；</w:t>
            </w:r>
          </w:p>
          <w:p>
            <w:pPr>
              <w:widowControl/>
              <w:adjustRightInd w:val="0"/>
              <w:spacing w:line="420" w:lineRule="exact"/>
              <w:rPr>
                <w:bCs/>
                <w:color w:val="00B050"/>
                <w:szCs w:val="21"/>
              </w:rPr>
            </w:pPr>
            <w:r>
              <w:rPr>
                <w:rFonts w:hint="eastAsia"/>
                <w:bCs/>
                <w:color w:val="00B050"/>
                <w:szCs w:val="21"/>
              </w:rPr>
              <w:t>5.具有剪线安全保护装置；</w:t>
            </w:r>
          </w:p>
          <w:p>
            <w:pPr>
              <w:pStyle w:val="2"/>
              <w:widowControl/>
              <w:overflowPunct/>
              <w:autoSpaceDE/>
              <w:autoSpaceDN/>
              <w:spacing w:line="420" w:lineRule="exact"/>
              <w:textAlignment w:val="auto"/>
              <w:rPr>
                <w:rFonts w:ascii="Calibri" w:hAnsi="Calibri"/>
                <w:bCs/>
                <w:color w:val="00B050"/>
                <w:kern w:val="2"/>
                <w:szCs w:val="21"/>
              </w:rPr>
            </w:pPr>
            <w:r>
              <w:rPr>
                <w:rFonts w:hint="eastAsia" w:ascii="Calibri" w:hAnsi="Calibri"/>
                <w:bCs/>
                <w:color w:val="00B050"/>
                <w:kern w:val="2"/>
                <w:szCs w:val="21"/>
              </w:rPr>
              <w:t>6.具有自动剪线功能；</w:t>
            </w:r>
          </w:p>
          <w:p>
            <w:pPr>
              <w:pStyle w:val="2"/>
              <w:widowControl/>
              <w:overflowPunct/>
              <w:autoSpaceDE/>
              <w:autoSpaceDN/>
              <w:spacing w:line="420" w:lineRule="exact"/>
              <w:textAlignment w:val="auto"/>
              <w:rPr>
                <w:rFonts w:ascii="Calibri" w:hAnsi="Calibri"/>
                <w:bCs/>
                <w:color w:val="00B050"/>
                <w:kern w:val="2"/>
                <w:szCs w:val="21"/>
              </w:rPr>
            </w:pPr>
            <w:r>
              <w:rPr>
                <w:rFonts w:hint="eastAsia" w:ascii="Calibri" w:hAnsi="Calibri"/>
                <w:bCs/>
                <w:color w:val="00B050"/>
                <w:kern w:val="2"/>
                <w:szCs w:val="21"/>
              </w:rPr>
              <w:t>7.自动剪线线数≥8；</w:t>
            </w:r>
          </w:p>
          <w:p>
            <w:pPr>
              <w:pStyle w:val="2"/>
              <w:widowControl/>
              <w:overflowPunct/>
              <w:autoSpaceDE/>
              <w:autoSpaceDN/>
              <w:spacing w:line="420" w:lineRule="exact"/>
              <w:textAlignment w:val="auto"/>
            </w:pPr>
            <w:r>
              <w:rPr>
                <w:rFonts w:hint="eastAsia" w:ascii="Calibri" w:hAnsi="Calibri"/>
                <w:bCs/>
                <w:color w:val="00B050"/>
                <w:kern w:val="2"/>
                <w:szCs w:val="21"/>
              </w:rPr>
              <w:t>8.机头内部上下轴传动采用同步带机构形式。</w:t>
            </w:r>
          </w:p>
        </w:tc>
      </w:tr>
      <w:tr>
        <w:tblPrEx>
          <w:tblCellMar>
            <w:top w:w="0" w:type="dxa"/>
            <w:left w:w="108" w:type="dxa"/>
            <w:bottom w:w="0" w:type="dxa"/>
            <w:right w:w="108" w:type="dxa"/>
          </w:tblCellMar>
        </w:tblPrEx>
        <w:trPr>
          <w:trHeight w:val="239" w:hRule="atLeast"/>
        </w:trPr>
        <w:tc>
          <w:tcPr>
            <w:tcW w:w="438" w:type="dxa"/>
            <w:tcBorders>
              <w:top w:val="nil"/>
              <w:left w:val="single" w:color="auto" w:sz="4" w:space="0"/>
              <w:bottom w:val="nil"/>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6</w:t>
            </w:r>
          </w:p>
        </w:tc>
        <w:tc>
          <w:tcPr>
            <w:tcW w:w="1088" w:type="dxa"/>
            <w:tcBorders>
              <w:top w:val="nil"/>
              <w:left w:val="nil"/>
              <w:bottom w:val="nil"/>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计算机控制多针链缝缝纫机</w:t>
            </w:r>
          </w:p>
        </w:tc>
        <w:tc>
          <w:tcPr>
            <w:tcW w:w="85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13针</w:t>
            </w:r>
          </w:p>
        </w:tc>
        <w:tc>
          <w:tcPr>
            <w:tcW w:w="6663" w:type="dxa"/>
            <w:tcBorders>
              <w:top w:val="nil"/>
              <w:left w:val="nil"/>
              <w:bottom w:val="single" w:color="auto" w:sz="4" w:space="0"/>
              <w:right w:val="single" w:color="auto" w:sz="4" w:space="0"/>
            </w:tcBorders>
            <w:vAlign w:val="center"/>
          </w:tcPr>
          <w:p>
            <w:pPr>
              <w:widowControl/>
              <w:spacing w:line="460" w:lineRule="exact"/>
              <w:jc w:val="left"/>
              <w:rPr>
                <w:rFonts w:ascii="宋体" w:hAnsi="宋体" w:cs="宋体"/>
                <w:kern w:val="0"/>
                <w:szCs w:val="21"/>
              </w:rPr>
            </w:pPr>
            <w:r>
              <w:rPr>
                <w:rFonts w:hint="eastAsia" w:ascii="宋体" w:hAnsi="宋体" w:cs="宋体"/>
                <w:kern w:val="0"/>
                <w:szCs w:val="21"/>
              </w:rPr>
              <w:t>★链式多针机应采用计算机控制系统、半筒式结构、交流伺服电机直驱、配备后拖轮，具有自动定针、自动抬压脚、自动抬后拖轮等功能；链式多针机整机必须符合轻工行业标准《QB/T4385-2017工业缝纫机多针链缝缝纫机机头》、《QB/T2380-2017工业缝纫机计算机控制高速平缝缝纫机》，机架应当符合《QBT/2378-2012工业用缝纫机 机架》，台板应当符合《QBT/2379-2012工业用缝纫机 台板》。链式多针机必须是满足服装行业一般生产所必备的完整产品(包括机架、台板等)，并配备实现使用说明书描述功能所需的附件与备件。链式多针机在生产现场安装调试后无需额外添加任何物品就可投入生产使用。</w:t>
            </w:r>
          </w:p>
          <w:p>
            <w:pPr>
              <w:widowControl/>
              <w:spacing w:line="460" w:lineRule="exact"/>
              <w:jc w:val="left"/>
              <w:rPr>
                <w:rFonts w:ascii="宋体" w:hAnsi="宋体" w:cs="宋体"/>
                <w:kern w:val="0"/>
                <w:szCs w:val="21"/>
              </w:rPr>
            </w:pPr>
            <w:r>
              <w:rPr>
                <w:rFonts w:hint="eastAsia" w:ascii="宋体" w:hAnsi="宋体" w:cs="宋体"/>
                <w:kern w:val="0"/>
                <w:szCs w:val="21"/>
              </w:rPr>
              <w:t>★投标人应按照机器的工作位置提供不少于六张（应包含正面、背面、左侧面、右侧面、顶面和底面）彩色照片，投标文件每页只能放置一张照片；机器彩色照片像素不小于4000万、应能清楚显示机器的型号规格和产品的唯一编号，并尽可能的展示机器的结构和性能，否则将不利于评标委员会对机器的评价，以上照片做为设备验收时比对依据；投标人应将机器彩色照片文件刻录在不可擦写的一次性光盘上随投标文件一并提交（光盘内照片须与投标文件一致）。</w:t>
            </w:r>
          </w:p>
          <w:p>
            <w:pPr>
              <w:widowControl/>
              <w:adjustRightInd w:val="0"/>
              <w:spacing w:line="420" w:lineRule="exact"/>
              <w:rPr>
                <w:bCs/>
                <w:color w:val="00B050"/>
                <w:szCs w:val="21"/>
              </w:rPr>
            </w:pPr>
            <w:r>
              <w:rPr>
                <w:rFonts w:hint="eastAsia" w:ascii="宋体" w:hAnsi="宋体" w:cs="宋体"/>
                <w:color w:val="00B050"/>
                <w:kern w:val="0"/>
                <w:szCs w:val="21"/>
              </w:rPr>
              <w:t>★</w:t>
            </w:r>
            <w:r>
              <w:rPr>
                <w:rFonts w:hint="eastAsia"/>
                <w:bCs/>
                <w:color w:val="00B050"/>
                <w:szCs w:val="21"/>
              </w:rPr>
              <w:t>1.主轴采用交流伺服电机直驱；</w:t>
            </w:r>
          </w:p>
          <w:p>
            <w:pPr>
              <w:widowControl/>
              <w:adjustRightInd w:val="0"/>
              <w:spacing w:line="420" w:lineRule="exact"/>
              <w:rPr>
                <w:bCs/>
                <w:color w:val="00B050"/>
                <w:szCs w:val="21"/>
              </w:rPr>
            </w:pPr>
            <w:r>
              <w:rPr>
                <w:rFonts w:hint="eastAsia" w:ascii="宋体" w:hAnsi="宋体" w:cs="宋体"/>
                <w:color w:val="00B050"/>
                <w:kern w:val="0"/>
                <w:szCs w:val="21"/>
              </w:rPr>
              <w:t>★</w:t>
            </w:r>
            <w:r>
              <w:rPr>
                <w:rFonts w:hint="eastAsia"/>
                <w:bCs/>
                <w:color w:val="00B050"/>
                <w:szCs w:val="21"/>
              </w:rPr>
              <w:t>2.机头内部的针杆等采用润滑脂润滑或无油润滑；</w:t>
            </w:r>
          </w:p>
          <w:p>
            <w:pPr>
              <w:widowControl/>
              <w:adjustRightInd w:val="0"/>
              <w:spacing w:line="420" w:lineRule="exact"/>
              <w:rPr>
                <w:bCs/>
                <w:color w:val="00B050"/>
                <w:szCs w:val="21"/>
              </w:rPr>
            </w:pPr>
            <w:r>
              <w:rPr>
                <w:rFonts w:hint="eastAsia"/>
                <w:bCs/>
                <w:color w:val="00B050"/>
                <w:szCs w:val="21"/>
              </w:rPr>
              <w:t>3.控制面板采用彩色触摸屏、屏幕显示部分对角线长度≥110mm；</w:t>
            </w:r>
          </w:p>
          <w:p>
            <w:pPr>
              <w:widowControl/>
              <w:adjustRightInd w:val="0"/>
              <w:spacing w:line="420" w:lineRule="exact"/>
              <w:rPr>
                <w:bCs/>
                <w:color w:val="00B050"/>
                <w:szCs w:val="21"/>
              </w:rPr>
            </w:pPr>
            <w:r>
              <w:rPr>
                <w:rFonts w:hint="eastAsia"/>
                <w:bCs/>
                <w:color w:val="00B050"/>
                <w:szCs w:val="21"/>
              </w:rPr>
              <w:t>4具有吹气扫线功能；</w:t>
            </w:r>
          </w:p>
          <w:p>
            <w:pPr>
              <w:widowControl/>
              <w:adjustRightInd w:val="0"/>
              <w:spacing w:line="420" w:lineRule="exact"/>
              <w:rPr>
                <w:bCs/>
                <w:color w:val="00B050"/>
                <w:szCs w:val="21"/>
              </w:rPr>
            </w:pPr>
            <w:r>
              <w:rPr>
                <w:rFonts w:hint="eastAsia"/>
                <w:bCs/>
                <w:color w:val="00B050"/>
                <w:szCs w:val="21"/>
              </w:rPr>
              <w:t>5.具有剪线安全保护装置；</w:t>
            </w:r>
          </w:p>
          <w:p>
            <w:pPr>
              <w:pStyle w:val="2"/>
              <w:widowControl/>
              <w:overflowPunct/>
              <w:autoSpaceDE/>
              <w:autoSpaceDN/>
              <w:spacing w:line="420" w:lineRule="exact"/>
              <w:textAlignment w:val="auto"/>
              <w:rPr>
                <w:rFonts w:ascii="Calibri" w:hAnsi="Calibri"/>
                <w:bCs/>
                <w:color w:val="00B050"/>
                <w:kern w:val="2"/>
                <w:szCs w:val="21"/>
              </w:rPr>
            </w:pPr>
            <w:r>
              <w:rPr>
                <w:rFonts w:hint="eastAsia" w:ascii="Calibri" w:hAnsi="Calibri"/>
                <w:bCs/>
                <w:color w:val="00B050"/>
                <w:kern w:val="2"/>
                <w:szCs w:val="21"/>
              </w:rPr>
              <w:t>6.具有自动剪线功能；</w:t>
            </w:r>
          </w:p>
          <w:p>
            <w:pPr>
              <w:pStyle w:val="2"/>
              <w:widowControl/>
              <w:overflowPunct/>
              <w:autoSpaceDE/>
              <w:autoSpaceDN/>
              <w:spacing w:line="420" w:lineRule="exact"/>
              <w:textAlignment w:val="auto"/>
              <w:rPr>
                <w:rFonts w:ascii="Calibri" w:hAnsi="Calibri"/>
                <w:bCs/>
                <w:color w:val="00B050"/>
                <w:kern w:val="2"/>
                <w:szCs w:val="21"/>
              </w:rPr>
            </w:pPr>
            <w:r>
              <w:rPr>
                <w:rFonts w:hint="eastAsia" w:ascii="Calibri" w:hAnsi="Calibri"/>
                <w:bCs/>
                <w:color w:val="00B050"/>
                <w:kern w:val="2"/>
                <w:szCs w:val="21"/>
              </w:rPr>
              <w:t>7.自动剪线线数≥8；</w:t>
            </w:r>
          </w:p>
          <w:p>
            <w:pPr>
              <w:pStyle w:val="2"/>
            </w:pPr>
            <w:r>
              <w:rPr>
                <w:rFonts w:hint="eastAsia" w:ascii="Calibri" w:hAnsi="Calibri"/>
                <w:bCs/>
                <w:color w:val="00B050"/>
                <w:kern w:val="2"/>
                <w:szCs w:val="21"/>
              </w:rPr>
              <w:t>8.机头内部上下轴传动采用同步带机构形式。</w:t>
            </w:r>
          </w:p>
        </w:tc>
      </w:tr>
      <w:tr>
        <w:tblPrEx>
          <w:tblCellMar>
            <w:top w:w="0" w:type="dxa"/>
            <w:left w:w="108" w:type="dxa"/>
            <w:bottom w:w="0" w:type="dxa"/>
            <w:right w:w="108" w:type="dxa"/>
          </w:tblCellMar>
        </w:tblPrEx>
        <w:trPr>
          <w:trHeight w:val="239" w:hRule="atLeast"/>
        </w:trPr>
        <w:tc>
          <w:tcPr>
            <w:tcW w:w="43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7</w:t>
            </w:r>
          </w:p>
        </w:tc>
        <w:tc>
          <w:tcPr>
            <w:tcW w:w="1088" w:type="dxa"/>
            <w:tcBorders>
              <w:top w:val="single" w:color="auto" w:sz="4" w:space="0"/>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计算机控制上下差动送料平缝缝纫机</w:t>
            </w:r>
          </w:p>
        </w:tc>
        <w:tc>
          <w:tcPr>
            <w:tcW w:w="85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薄料、中厚料</w:t>
            </w:r>
          </w:p>
        </w:tc>
        <w:tc>
          <w:tcPr>
            <w:tcW w:w="6663" w:type="dxa"/>
            <w:tcBorders>
              <w:top w:val="nil"/>
              <w:left w:val="nil"/>
              <w:bottom w:val="single" w:color="auto" w:sz="4" w:space="0"/>
              <w:right w:val="single" w:color="auto" w:sz="4" w:space="0"/>
            </w:tcBorders>
            <w:vAlign w:val="center"/>
          </w:tcPr>
          <w:p>
            <w:pPr>
              <w:pStyle w:val="14"/>
              <w:spacing w:line="420" w:lineRule="exact"/>
              <w:ind w:left="0" w:leftChars="0"/>
              <w:jc w:val="left"/>
              <w:rPr>
                <w:bCs/>
                <w:szCs w:val="21"/>
              </w:rPr>
            </w:pPr>
            <w:r>
              <w:rPr>
                <w:rFonts w:hint="eastAsia"/>
                <w:bCs/>
                <w:szCs w:val="21"/>
              </w:rPr>
              <w:t>★电脑差动平缝机应采用计算机控制系统、交流电机直驱，具有自动调速、自动停针位、自动剪线、自动计数、自动倒顺缝、自动加固缝、慢启动等功能。电脑差动平缝机台板应当符合《QB/T5111-2017工业缝纫机计算机控制高速侧切刀平缝缝纫机》，机架应当符合《QBT/2378-2012工业用缝纫机 机架》，台板应当符合《QBT/2379-2012工业用缝纫机 台板》。电脑差动平缝机必须是满足服装行业一般生产所必备的完整产品（包括机架、台板等），并配备实现使用说明书描述功能所需的附件与备件。电脑差动平缝机在生产现场安装调试后无需额外添加任何物品就可投入生产使用。</w:t>
            </w:r>
          </w:p>
          <w:p>
            <w:pPr>
              <w:pStyle w:val="14"/>
              <w:spacing w:line="420" w:lineRule="exact"/>
              <w:ind w:left="0" w:leftChars="0"/>
              <w:jc w:val="left"/>
              <w:rPr>
                <w:bCs/>
                <w:szCs w:val="21"/>
              </w:rPr>
            </w:pPr>
            <w:r>
              <w:rPr>
                <w:rFonts w:hint="eastAsia"/>
                <w:bCs/>
                <w:szCs w:val="21"/>
              </w:rPr>
              <w:t>★投标人应按照机器的工作位置提供不少于六张（应包含正面、背面、左侧面、右侧面、顶面和底面）彩色照片，投标文件每页只能放置一张照片；机器彩色照片像素不小于4000万、应能清楚显示机器的型号规格和产品的唯一编号，并尽可能的展示机器的结构和性能，否则将不利于评标委员会对机器的评价，以上照片做为设备验收时比对依据；投标人应将机器彩色照片文件刻录在不可擦写的一次性光盘上随投标文件一并提交（光盘内照片须与投标文件一致）。</w:t>
            </w:r>
          </w:p>
          <w:p>
            <w:pPr>
              <w:pStyle w:val="14"/>
              <w:spacing w:line="420" w:lineRule="exact"/>
              <w:ind w:left="0" w:leftChars="0"/>
              <w:jc w:val="left"/>
              <w:rPr>
                <w:bCs/>
                <w:szCs w:val="21"/>
              </w:rPr>
            </w:pPr>
            <w:r>
              <w:rPr>
                <w:rFonts w:hint="eastAsia"/>
                <w:bCs/>
                <w:szCs w:val="21"/>
              </w:rPr>
              <w:t>功能及参数要求</w:t>
            </w:r>
          </w:p>
          <w:p>
            <w:pPr>
              <w:pStyle w:val="14"/>
              <w:spacing w:line="420" w:lineRule="exact"/>
              <w:ind w:left="0" w:leftChars="0"/>
              <w:jc w:val="left"/>
              <w:rPr>
                <w:bCs/>
                <w:color w:val="00B050"/>
                <w:szCs w:val="21"/>
              </w:rPr>
            </w:pPr>
            <w:r>
              <w:rPr>
                <w:rFonts w:hint="eastAsia"/>
                <w:bCs/>
                <w:color w:val="00B050"/>
                <w:szCs w:val="21"/>
              </w:rPr>
              <w:t>★1.主轴采用交流伺服电机直驱；</w:t>
            </w:r>
          </w:p>
          <w:p>
            <w:pPr>
              <w:pStyle w:val="14"/>
              <w:spacing w:line="420" w:lineRule="exact"/>
              <w:ind w:left="0" w:leftChars="0"/>
              <w:jc w:val="left"/>
              <w:rPr>
                <w:bCs/>
                <w:color w:val="00B050"/>
                <w:szCs w:val="21"/>
              </w:rPr>
            </w:pPr>
            <w:r>
              <w:rPr>
                <w:rFonts w:hint="eastAsia"/>
                <w:bCs/>
                <w:color w:val="00B050"/>
                <w:szCs w:val="21"/>
              </w:rPr>
              <w:t>★2.针杆及挑线杆采用无油润滑或微油润滑；</w:t>
            </w:r>
          </w:p>
          <w:p>
            <w:pPr>
              <w:pStyle w:val="14"/>
              <w:spacing w:line="420" w:lineRule="exact"/>
              <w:ind w:left="0" w:leftChars="0"/>
              <w:jc w:val="left"/>
              <w:rPr>
                <w:bCs/>
                <w:color w:val="00B050"/>
                <w:szCs w:val="21"/>
              </w:rPr>
            </w:pPr>
            <w:r>
              <w:rPr>
                <w:rFonts w:hint="eastAsia"/>
                <w:bCs/>
                <w:color w:val="00B050"/>
                <w:szCs w:val="21"/>
              </w:rPr>
              <w:t>3.</w:t>
            </w:r>
            <w:r>
              <w:rPr>
                <w:bCs/>
                <w:color w:val="00B050"/>
                <w:szCs w:val="21"/>
              </w:rPr>
              <w:t xml:space="preserve"> 具有差动压脚且压脚交互量≥2.5-5mm</w:t>
            </w:r>
            <w:r>
              <w:rPr>
                <w:rFonts w:hint="eastAsia"/>
                <w:bCs/>
                <w:color w:val="00B050"/>
                <w:szCs w:val="21"/>
              </w:rPr>
              <w:t>；</w:t>
            </w:r>
          </w:p>
          <w:p>
            <w:pPr>
              <w:pStyle w:val="14"/>
              <w:spacing w:line="420" w:lineRule="exact"/>
              <w:ind w:left="0" w:leftChars="0"/>
              <w:jc w:val="left"/>
              <w:rPr>
                <w:bCs/>
                <w:color w:val="00B050"/>
                <w:szCs w:val="21"/>
              </w:rPr>
            </w:pPr>
            <w:r>
              <w:rPr>
                <w:rFonts w:hint="eastAsia"/>
                <w:bCs/>
                <w:color w:val="00B050"/>
                <w:szCs w:val="21"/>
              </w:rPr>
              <w:t>4.具有上差动送料功能且差动量可调节；</w:t>
            </w:r>
          </w:p>
          <w:p>
            <w:pPr>
              <w:pStyle w:val="14"/>
              <w:spacing w:line="420" w:lineRule="exact"/>
              <w:ind w:left="0" w:leftChars="0"/>
              <w:jc w:val="left"/>
              <w:rPr>
                <w:bCs/>
                <w:color w:val="00B050"/>
                <w:szCs w:val="21"/>
              </w:rPr>
            </w:pPr>
            <w:r>
              <w:rPr>
                <w:rFonts w:hint="eastAsia"/>
                <w:bCs/>
                <w:color w:val="00B050"/>
                <w:szCs w:val="21"/>
              </w:rPr>
              <w:t>5.具有下差动送料功能且差动量可调节；</w:t>
            </w:r>
          </w:p>
          <w:p>
            <w:pPr>
              <w:pStyle w:val="14"/>
              <w:spacing w:line="420" w:lineRule="exact"/>
              <w:ind w:left="0" w:leftChars="0"/>
              <w:jc w:val="left"/>
              <w:rPr>
                <w:bCs/>
                <w:color w:val="00B050"/>
                <w:szCs w:val="21"/>
              </w:rPr>
            </w:pPr>
            <w:r>
              <w:rPr>
                <w:rFonts w:hint="eastAsia"/>
                <w:bCs/>
                <w:color w:val="00B050"/>
                <w:szCs w:val="21"/>
              </w:rPr>
              <w:t>6.具有普通送料和下差动送料切换功能；</w:t>
            </w:r>
          </w:p>
          <w:p>
            <w:pPr>
              <w:pStyle w:val="14"/>
              <w:spacing w:line="420" w:lineRule="exact"/>
              <w:ind w:left="0" w:leftChars="0"/>
              <w:jc w:val="left"/>
              <w:rPr>
                <w:bCs/>
                <w:color w:val="00B050"/>
                <w:szCs w:val="21"/>
              </w:rPr>
            </w:pPr>
            <w:r>
              <w:rPr>
                <w:rFonts w:hint="eastAsia"/>
                <w:bCs/>
                <w:color w:val="00B050"/>
                <w:szCs w:val="21"/>
              </w:rPr>
              <w:t>7.</w:t>
            </w:r>
            <w:r>
              <w:rPr>
                <w:bCs/>
                <w:color w:val="00B050"/>
                <w:szCs w:val="21"/>
              </w:rPr>
              <w:t>采用电子夹线器，可通过控制面板调节</w:t>
            </w:r>
            <w:r>
              <w:rPr>
                <w:rFonts w:hint="eastAsia"/>
                <w:bCs/>
                <w:color w:val="00B050"/>
                <w:szCs w:val="21"/>
              </w:rPr>
              <w:t>；</w:t>
            </w:r>
          </w:p>
          <w:p>
            <w:pPr>
              <w:pStyle w:val="14"/>
              <w:spacing w:line="420" w:lineRule="exact"/>
              <w:ind w:left="0" w:leftChars="0"/>
              <w:jc w:val="left"/>
              <w:rPr>
                <w:bCs/>
                <w:color w:val="00B050"/>
                <w:szCs w:val="21"/>
              </w:rPr>
            </w:pPr>
            <w:r>
              <w:rPr>
                <w:rFonts w:hint="eastAsia"/>
                <w:bCs/>
                <w:color w:val="00B050"/>
                <w:szCs w:val="21"/>
              </w:rPr>
              <w:t>8.</w:t>
            </w:r>
            <w:r>
              <w:rPr>
                <w:bCs/>
                <w:color w:val="00B050"/>
                <w:szCs w:val="21"/>
              </w:rPr>
              <w:t>采用电子松线器，可通过控制面板调节</w:t>
            </w:r>
            <w:r>
              <w:rPr>
                <w:rFonts w:hint="eastAsia"/>
                <w:bCs/>
                <w:color w:val="00B050"/>
                <w:szCs w:val="21"/>
              </w:rPr>
              <w:t>；</w:t>
            </w:r>
          </w:p>
          <w:p>
            <w:pPr>
              <w:pStyle w:val="14"/>
              <w:spacing w:line="420" w:lineRule="exact"/>
              <w:ind w:left="0" w:leftChars="0"/>
              <w:jc w:val="left"/>
              <w:rPr>
                <w:bCs/>
                <w:color w:val="00B050"/>
                <w:szCs w:val="21"/>
              </w:rPr>
            </w:pPr>
            <w:r>
              <w:rPr>
                <w:rFonts w:hint="eastAsia"/>
                <w:bCs/>
                <w:color w:val="00B050"/>
                <w:szCs w:val="21"/>
              </w:rPr>
              <w:t>针距调节机构具有两个独立的送料行程调节刻度盘；</w:t>
            </w:r>
          </w:p>
          <w:p>
            <w:pPr>
              <w:pStyle w:val="14"/>
              <w:spacing w:line="420" w:lineRule="exact"/>
              <w:ind w:left="0" w:leftChars="0"/>
              <w:jc w:val="left"/>
              <w:rPr>
                <w:bCs/>
                <w:color w:val="00B050"/>
                <w:szCs w:val="21"/>
              </w:rPr>
            </w:pPr>
            <w:r>
              <w:rPr>
                <w:rFonts w:hint="eastAsia"/>
                <w:bCs/>
                <w:color w:val="00B050"/>
                <w:szCs w:val="21"/>
              </w:rPr>
              <w:t>9. 具有设置底线余量或缺线报警、缝纫计数功能；</w:t>
            </w:r>
          </w:p>
          <w:p>
            <w:pPr>
              <w:pStyle w:val="14"/>
              <w:spacing w:line="420" w:lineRule="exact"/>
              <w:ind w:left="0" w:leftChars="0"/>
              <w:jc w:val="left"/>
              <w:rPr>
                <w:bCs/>
                <w:szCs w:val="21"/>
              </w:rPr>
            </w:pPr>
            <w:r>
              <w:rPr>
                <w:rFonts w:hint="eastAsia"/>
                <w:bCs/>
                <w:color w:val="00B050"/>
                <w:szCs w:val="21"/>
              </w:rPr>
              <w:t>10. 底部采用封闭式油盘。</w:t>
            </w:r>
          </w:p>
        </w:tc>
      </w:tr>
      <w:tr>
        <w:tblPrEx>
          <w:tblCellMar>
            <w:top w:w="0" w:type="dxa"/>
            <w:left w:w="108" w:type="dxa"/>
            <w:bottom w:w="0" w:type="dxa"/>
            <w:right w:w="108" w:type="dxa"/>
          </w:tblCellMar>
        </w:tblPrEx>
        <w:trPr>
          <w:trHeight w:val="119" w:hRule="atLeast"/>
        </w:trPr>
        <w:tc>
          <w:tcPr>
            <w:tcW w:w="438" w:type="dxa"/>
            <w:vMerge w:val="restart"/>
            <w:tcBorders>
              <w:top w:val="nil"/>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8</w:t>
            </w:r>
          </w:p>
        </w:tc>
        <w:tc>
          <w:tcPr>
            <w:tcW w:w="1088" w:type="dxa"/>
            <w:vMerge w:val="restart"/>
            <w:tcBorders>
              <w:top w:val="nil"/>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计算机控制高速包缝缝纫机</w:t>
            </w:r>
          </w:p>
        </w:tc>
        <w:tc>
          <w:tcPr>
            <w:tcW w:w="85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四线</w:t>
            </w:r>
          </w:p>
        </w:tc>
        <w:tc>
          <w:tcPr>
            <w:tcW w:w="6663" w:type="dxa"/>
            <w:vMerge w:val="restart"/>
            <w:tcBorders>
              <w:top w:val="nil"/>
              <w:left w:val="nil"/>
              <w:right w:val="single" w:color="auto" w:sz="4" w:space="0"/>
            </w:tcBorders>
            <w:vAlign w:val="center"/>
          </w:tcPr>
          <w:p>
            <w:pPr>
              <w:pStyle w:val="14"/>
              <w:spacing w:line="420" w:lineRule="exact"/>
              <w:ind w:left="0" w:leftChars="0"/>
              <w:jc w:val="left"/>
              <w:rPr>
                <w:bCs/>
                <w:szCs w:val="21"/>
              </w:rPr>
            </w:pPr>
            <w:r>
              <w:rPr>
                <w:rFonts w:hint="eastAsia"/>
                <w:bCs/>
                <w:szCs w:val="21"/>
              </w:rPr>
              <w:t>★包缝机应采用计算机控制系统、交流电机直驱，具有自动切料装置和自动润滑系统，能实现速度控制、自动停针位、自动计针数、自动切线辫和切条带等功能。包缝机必须符合轻工行业标准《QB/T4388-2012工业缝纫机计算机控制高速包缝缝纫机》，机架应当符合《QBT/2378-2012 工业用缝纫机 机架》，台板应当符合《QBT/2379-2012 工业用缝纫机 台板》。包缝机必须是满足服装行业一般生产所必备的完整产品（包括机架、台板等），并配备实现使用说明书描述功能所需的附件与备件。包缝机在生产现场安装调试后无需额外添加任何物品就可投入生产使用。</w:t>
            </w:r>
          </w:p>
          <w:p>
            <w:pPr>
              <w:pStyle w:val="14"/>
              <w:spacing w:line="420" w:lineRule="exact"/>
              <w:ind w:left="0" w:leftChars="0"/>
              <w:jc w:val="left"/>
              <w:rPr>
                <w:bCs/>
                <w:szCs w:val="21"/>
              </w:rPr>
            </w:pPr>
            <w:r>
              <w:rPr>
                <w:rFonts w:hint="eastAsia"/>
                <w:bCs/>
                <w:szCs w:val="21"/>
              </w:rPr>
              <w:t>★投标人应按照机器的工作位置提供不少于六张（应包含正面、背面、左侧面、右侧面、顶面和底面）彩色照片，投标文件每页只能放置一张照片；机器彩色照片像素不小于4000万、应能清楚显示机器的型号规格和产品的唯一编号，并尽可能的展示机器的结构和性能，否则将不利于评标委员会对机器的评价，以上照片做为设备验收时比对依据；投标人应将机器彩色照片文件刻录在不可擦写的一次性光盘上随投标文件一并提交（光盘内照片须与投标文件一致）。</w:t>
            </w:r>
          </w:p>
          <w:p>
            <w:pPr>
              <w:pStyle w:val="14"/>
              <w:spacing w:line="420" w:lineRule="exact"/>
              <w:ind w:left="0" w:leftChars="0"/>
              <w:jc w:val="left"/>
              <w:rPr>
                <w:bCs/>
                <w:szCs w:val="21"/>
              </w:rPr>
            </w:pPr>
            <w:r>
              <w:rPr>
                <w:rFonts w:hint="eastAsia"/>
                <w:bCs/>
                <w:szCs w:val="21"/>
              </w:rPr>
              <w:t>功能及参数要求</w:t>
            </w:r>
          </w:p>
          <w:p>
            <w:pPr>
              <w:pStyle w:val="14"/>
              <w:spacing w:line="420" w:lineRule="exact"/>
              <w:ind w:left="0" w:leftChars="0"/>
              <w:jc w:val="left"/>
              <w:rPr>
                <w:bCs/>
                <w:szCs w:val="21"/>
              </w:rPr>
            </w:pPr>
            <w:r>
              <w:rPr>
                <w:rFonts w:hint="eastAsia"/>
                <w:bCs/>
                <w:szCs w:val="21"/>
              </w:rPr>
              <w:t>★1.主轴采用交流伺服电机直驱；</w:t>
            </w:r>
          </w:p>
          <w:p>
            <w:pPr>
              <w:pStyle w:val="14"/>
              <w:spacing w:line="420" w:lineRule="exact"/>
              <w:ind w:left="0" w:leftChars="0"/>
              <w:jc w:val="left"/>
              <w:rPr>
                <w:bCs/>
                <w:szCs w:val="21"/>
              </w:rPr>
            </w:pPr>
            <w:r>
              <w:rPr>
                <w:rFonts w:hint="eastAsia"/>
                <w:bCs/>
                <w:szCs w:val="21"/>
              </w:rPr>
              <w:t>2.控制面板采用彩色触摸屏、屏幕显示部分对角线长度≥90mm；</w:t>
            </w:r>
          </w:p>
          <w:p>
            <w:pPr>
              <w:pStyle w:val="14"/>
              <w:spacing w:line="420" w:lineRule="exact"/>
              <w:ind w:left="0" w:leftChars="0"/>
              <w:jc w:val="left"/>
              <w:rPr>
                <w:bCs/>
                <w:szCs w:val="21"/>
              </w:rPr>
            </w:pPr>
            <w:r>
              <w:rPr>
                <w:rFonts w:hint="eastAsia"/>
                <w:bCs/>
                <w:szCs w:val="21"/>
              </w:rPr>
              <w:t>3.具备剪切布条和松紧带功能；</w:t>
            </w:r>
          </w:p>
          <w:p>
            <w:pPr>
              <w:pStyle w:val="14"/>
              <w:spacing w:line="420" w:lineRule="exact"/>
              <w:ind w:left="0" w:leftChars="0"/>
              <w:jc w:val="left"/>
              <w:rPr>
                <w:bCs/>
                <w:szCs w:val="21"/>
              </w:rPr>
            </w:pPr>
            <w:r>
              <w:rPr>
                <w:rFonts w:hint="eastAsia"/>
                <w:bCs/>
                <w:szCs w:val="21"/>
              </w:rPr>
              <w:t>★4.具有自动吸风收集废料装置；</w:t>
            </w:r>
          </w:p>
          <w:p>
            <w:pPr>
              <w:pStyle w:val="14"/>
              <w:spacing w:line="420" w:lineRule="exact"/>
              <w:ind w:left="0" w:leftChars="0"/>
              <w:jc w:val="left"/>
              <w:rPr>
                <w:bCs/>
                <w:szCs w:val="21"/>
              </w:rPr>
            </w:pPr>
            <w:r>
              <w:rPr>
                <w:rFonts w:hint="eastAsia"/>
                <w:bCs/>
                <w:szCs w:val="21"/>
              </w:rPr>
              <w:t>5.语音播报；</w:t>
            </w:r>
          </w:p>
          <w:p>
            <w:pPr>
              <w:pStyle w:val="14"/>
              <w:spacing w:line="420" w:lineRule="exact"/>
              <w:ind w:left="0" w:leftChars="0"/>
              <w:jc w:val="left"/>
              <w:rPr>
                <w:bCs/>
                <w:szCs w:val="21"/>
              </w:rPr>
            </w:pPr>
            <w:r>
              <w:rPr>
                <w:rFonts w:hint="eastAsia"/>
                <w:bCs/>
                <w:szCs w:val="21"/>
              </w:rPr>
              <w:t>6.自动识别不同透光度的面料进行缝纫；</w:t>
            </w:r>
          </w:p>
          <w:p>
            <w:pPr>
              <w:pStyle w:val="14"/>
              <w:spacing w:line="420" w:lineRule="exact"/>
              <w:ind w:left="0" w:leftChars="0"/>
              <w:jc w:val="left"/>
              <w:rPr>
                <w:bCs/>
                <w:szCs w:val="21"/>
              </w:rPr>
            </w:pPr>
            <w:r>
              <w:rPr>
                <w:rFonts w:hint="eastAsia"/>
                <w:bCs/>
                <w:szCs w:val="21"/>
              </w:rPr>
              <w:t>7.剪线长度小于等于10mm；</w:t>
            </w:r>
          </w:p>
          <w:p>
            <w:pPr>
              <w:pStyle w:val="14"/>
              <w:spacing w:line="420" w:lineRule="exact"/>
              <w:ind w:left="0" w:leftChars="0"/>
              <w:jc w:val="left"/>
              <w:rPr>
                <w:bCs/>
                <w:szCs w:val="21"/>
              </w:rPr>
            </w:pPr>
            <w:r>
              <w:rPr>
                <w:rFonts w:hint="eastAsia"/>
                <w:bCs/>
                <w:szCs w:val="21"/>
              </w:rPr>
              <w:t>8.具有步进电机控制剪线；</w:t>
            </w:r>
          </w:p>
          <w:p>
            <w:pPr>
              <w:pStyle w:val="14"/>
              <w:spacing w:line="420" w:lineRule="exact"/>
              <w:ind w:left="0" w:leftChars="0"/>
              <w:jc w:val="left"/>
              <w:rPr>
                <w:bCs/>
                <w:szCs w:val="21"/>
              </w:rPr>
            </w:pPr>
            <w:r>
              <w:rPr>
                <w:rFonts w:hint="eastAsia"/>
                <w:bCs/>
                <w:szCs w:val="21"/>
              </w:rPr>
              <w:t>9.具有步进电机自动抬压脚功能；</w:t>
            </w:r>
          </w:p>
        </w:tc>
      </w:tr>
      <w:tr>
        <w:tblPrEx>
          <w:tblCellMar>
            <w:top w:w="0" w:type="dxa"/>
            <w:left w:w="108" w:type="dxa"/>
            <w:bottom w:w="0" w:type="dxa"/>
            <w:right w:w="108" w:type="dxa"/>
          </w:tblCellMar>
        </w:tblPrEx>
        <w:trPr>
          <w:trHeight w:val="119" w:hRule="atLeast"/>
        </w:trPr>
        <w:tc>
          <w:tcPr>
            <w:tcW w:w="438"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宋体" w:hAnsi="宋体" w:cs="宋体"/>
                <w:kern w:val="0"/>
                <w:szCs w:val="21"/>
              </w:rPr>
            </w:pPr>
          </w:p>
        </w:tc>
        <w:tc>
          <w:tcPr>
            <w:tcW w:w="1088"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宋体" w:hAnsi="宋体" w:cs="宋体"/>
                <w:kern w:val="0"/>
                <w:szCs w:val="21"/>
              </w:rPr>
            </w:pPr>
          </w:p>
        </w:tc>
        <w:tc>
          <w:tcPr>
            <w:tcW w:w="85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五线</w:t>
            </w:r>
          </w:p>
        </w:tc>
        <w:tc>
          <w:tcPr>
            <w:tcW w:w="6663" w:type="dxa"/>
            <w:vMerge w:val="continue"/>
            <w:tcBorders>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p>
        </w:tc>
      </w:tr>
      <w:tr>
        <w:tblPrEx>
          <w:tblCellMar>
            <w:top w:w="0" w:type="dxa"/>
            <w:left w:w="108" w:type="dxa"/>
            <w:bottom w:w="0" w:type="dxa"/>
            <w:right w:w="108" w:type="dxa"/>
          </w:tblCellMar>
        </w:tblPrEx>
        <w:trPr>
          <w:trHeight w:val="139" w:hRule="atLeast"/>
        </w:trPr>
        <w:tc>
          <w:tcPr>
            <w:tcW w:w="438" w:type="dxa"/>
            <w:tcBorders>
              <w:top w:val="nil"/>
              <w:left w:val="single" w:color="auto" w:sz="4" w:space="0"/>
              <w:bottom w:val="nil"/>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9</w:t>
            </w:r>
          </w:p>
        </w:tc>
        <w:tc>
          <w:tcPr>
            <w:tcW w:w="1088" w:type="dxa"/>
            <w:tcBorders>
              <w:top w:val="nil"/>
              <w:left w:val="nil"/>
              <w:bottom w:val="nil"/>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计算机控制带模板缝纫机（自动模板机）</w:t>
            </w:r>
          </w:p>
        </w:tc>
        <w:tc>
          <w:tcPr>
            <w:tcW w:w="85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大型</w:t>
            </w:r>
          </w:p>
        </w:tc>
        <w:tc>
          <w:tcPr>
            <w:tcW w:w="6663" w:type="dxa"/>
            <w:tcBorders>
              <w:top w:val="nil"/>
              <w:left w:val="nil"/>
              <w:bottom w:val="single" w:color="auto" w:sz="4" w:space="0"/>
              <w:right w:val="single" w:color="auto" w:sz="4" w:space="0"/>
            </w:tcBorders>
            <w:vAlign w:val="center"/>
          </w:tcPr>
          <w:p>
            <w:pPr>
              <w:pStyle w:val="14"/>
              <w:spacing w:line="420" w:lineRule="exact"/>
              <w:ind w:left="0" w:leftChars="0"/>
              <w:jc w:val="left"/>
              <w:rPr>
                <w:bCs/>
                <w:szCs w:val="21"/>
              </w:rPr>
            </w:pPr>
            <w:r>
              <w:rPr>
                <w:rFonts w:hint="eastAsia"/>
                <w:bCs/>
                <w:szCs w:val="21"/>
              </w:rPr>
              <w:t>★自动模板机应采用计算机控制系统、交流电机通过滚珠丝杠装置带动模板实现X—Y方向送料运动，实现自动缝纫、自动停针、电子夹线、自动剪线、自动调速、自动模板识别和花样起始位置设置及记忆、花样程序编辑、复制、输出、储存、激光切割、工作状态显示等功能。自动模板机必须符合轻工行业标准《QB/T5328-2018 工业用缝纫机 计算机控制带模板缝纫机》；机架应当符合《QBT/2378-2012 工业用缝纫机 机架》；台板应当符合《QBT/2379-2012 工业用缝纫机 台板》。自动模板机必须是满足服装行业一般生产所必备的完整产品(包括机架、台板等)，并配备实现使用说明书描述功能所需的附件与备件。自动模板机必须配备小型空压机，并在生产现场安装调试后无需额外添加任何物品就可投入生产使用。</w:t>
            </w:r>
          </w:p>
          <w:p>
            <w:pPr>
              <w:pStyle w:val="14"/>
              <w:spacing w:line="420" w:lineRule="exact"/>
              <w:ind w:left="0" w:leftChars="0"/>
              <w:jc w:val="left"/>
              <w:rPr>
                <w:bCs/>
                <w:szCs w:val="21"/>
              </w:rPr>
            </w:pPr>
            <w:r>
              <w:rPr>
                <w:rFonts w:hint="eastAsia"/>
                <w:bCs/>
                <w:szCs w:val="21"/>
              </w:rPr>
              <w:t>★投标人应按照机器的工作位置提供不少于六张（应包含正面、背面、左侧面、右侧面、顶面和底面）彩色照片，投标文件每页只能放置一张照片；机器彩色照片像素不小于4000万、应能清楚显示机器的型号规格和产品的唯一编号，并尽可能的展示机器的结构和性能，否则将不利于评标委员会对机器的评价，以上照片做为设备验收时比对依据；投标人应将机器彩色照片文件刻录在不可擦写的一次性光盘上随投标文件一并提交（光盘内照片须与投标文件一致）。</w:t>
            </w:r>
          </w:p>
          <w:p>
            <w:pPr>
              <w:pStyle w:val="14"/>
              <w:spacing w:line="420" w:lineRule="exact"/>
              <w:ind w:left="0" w:leftChars="0"/>
              <w:jc w:val="left"/>
              <w:rPr>
                <w:bCs/>
                <w:szCs w:val="21"/>
              </w:rPr>
            </w:pPr>
            <w:r>
              <w:rPr>
                <w:rFonts w:hint="eastAsia"/>
                <w:bCs/>
                <w:szCs w:val="21"/>
              </w:rPr>
              <w:t>功能及参数要求：</w:t>
            </w:r>
          </w:p>
          <w:p>
            <w:pPr>
              <w:pStyle w:val="14"/>
              <w:spacing w:line="420" w:lineRule="exact"/>
              <w:ind w:left="0" w:leftChars="0"/>
              <w:jc w:val="left"/>
              <w:rPr>
                <w:bCs/>
                <w:szCs w:val="21"/>
              </w:rPr>
            </w:pPr>
            <w:r>
              <w:rPr>
                <w:rFonts w:hint="eastAsia"/>
                <w:bCs/>
                <w:szCs w:val="21"/>
              </w:rPr>
              <w:t>★1.主轴采用交流伺服电机直驱</w:t>
            </w:r>
          </w:p>
          <w:p>
            <w:pPr>
              <w:pStyle w:val="14"/>
              <w:spacing w:line="420" w:lineRule="exact"/>
              <w:ind w:left="0" w:leftChars="0"/>
              <w:jc w:val="left"/>
              <w:rPr>
                <w:bCs/>
                <w:szCs w:val="21"/>
              </w:rPr>
            </w:pPr>
            <w:r>
              <w:rPr>
                <w:rFonts w:hint="eastAsia"/>
                <w:bCs/>
                <w:szCs w:val="21"/>
              </w:rPr>
              <w:t>2.</w:t>
            </w:r>
            <w:r>
              <w:rPr>
                <w:rFonts w:hint="eastAsia"/>
                <w:b/>
                <w:bCs/>
              </w:rPr>
              <w:t>最大实际缝制范围：X方向≥1300mm，Y方向≥900mm</w:t>
            </w:r>
          </w:p>
          <w:p>
            <w:pPr>
              <w:pStyle w:val="14"/>
              <w:spacing w:line="420" w:lineRule="exact"/>
              <w:ind w:left="0" w:leftChars="0"/>
              <w:jc w:val="left"/>
              <w:rPr>
                <w:bCs/>
                <w:szCs w:val="21"/>
              </w:rPr>
            </w:pPr>
            <w:r>
              <w:rPr>
                <w:rFonts w:hint="eastAsia"/>
                <w:bCs/>
                <w:szCs w:val="21"/>
              </w:rPr>
              <w:t>★3.X轴、Y轴均采用交流伺服电机驱动滚珠丝杆传动系统</w:t>
            </w:r>
          </w:p>
          <w:p>
            <w:pPr>
              <w:pStyle w:val="14"/>
              <w:spacing w:line="420" w:lineRule="exact"/>
              <w:ind w:left="0" w:leftChars="0"/>
              <w:jc w:val="left"/>
              <w:rPr>
                <w:bCs/>
                <w:szCs w:val="21"/>
              </w:rPr>
            </w:pPr>
            <w:r>
              <w:rPr>
                <w:rFonts w:hint="eastAsia"/>
                <w:bCs/>
                <w:szCs w:val="21"/>
              </w:rPr>
              <w:t>★4.针杆及挑线杆采用润滑脂润滑或无油润滑</w:t>
            </w:r>
          </w:p>
          <w:p>
            <w:pPr>
              <w:pStyle w:val="14"/>
              <w:spacing w:line="420" w:lineRule="exact"/>
              <w:ind w:left="0" w:leftChars="0"/>
              <w:jc w:val="left"/>
              <w:rPr>
                <w:bCs/>
                <w:szCs w:val="21"/>
              </w:rPr>
            </w:pPr>
            <w:r>
              <w:rPr>
                <w:rFonts w:hint="eastAsia"/>
                <w:bCs/>
                <w:szCs w:val="21"/>
              </w:rPr>
              <w:t>5.控制面板采用彩色触摸屏、屏幕显示部分对角线长度≥177mm</w:t>
            </w:r>
          </w:p>
          <w:p>
            <w:pPr>
              <w:pStyle w:val="14"/>
              <w:spacing w:line="420" w:lineRule="exact"/>
              <w:ind w:left="0" w:leftChars="0"/>
              <w:jc w:val="left"/>
              <w:rPr>
                <w:bCs/>
                <w:szCs w:val="21"/>
              </w:rPr>
            </w:pPr>
            <w:r>
              <w:rPr>
                <w:rFonts w:hint="eastAsia"/>
                <w:bCs/>
                <w:szCs w:val="21"/>
              </w:rPr>
              <w:t>5.线迹长度由控制面板调节，最小调节量≤0.05mm</w:t>
            </w:r>
          </w:p>
          <w:p>
            <w:pPr>
              <w:pStyle w:val="14"/>
              <w:spacing w:line="420" w:lineRule="exact"/>
              <w:ind w:left="0" w:leftChars="0"/>
              <w:jc w:val="left"/>
              <w:rPr>
                <w:bCs/>
                <w:szCs w:val="21"/>
              </w:rPr>
            </w:pPr>
            <w:r>
              <w:rPr>
                <w:rFonts w:hint="eastAsia"/>
                <w:bCs/>
                <w:szCs w:val="21"/>
              </w:rPr>
              <w:t>★6.X轴、Y轴均采用以下品牌之一的滚珠丝杆：</w:t>
            </w:r>
          </w:p>
          <w:p>
            <w:pPr>
              <w:pStyle w:val="14"/>
              <w:spacing w:line="420" w:lineRule="exact"/>
              <w:jc w:val="left"/>
              <w:rPr>
                <w:bCs/>
                <w:szCs w:val="21"/>
              </w:rPr>
            </w:pPr>
            <w:r>
              <w:rPr>
                <w:rFonts w:hint="eastAsia"/>
                <w:bCs/>
                <w:szCs w:val="21"/>
              </w:rPr>
              <w:t>REXROTH、BLIS、LAIEN、THK、KSS、NSK、TOSOK、MISUMI、KURODA</w:t>
            </w:r>
          </w:p>
          <w:p>
            <w:pPr>
              <w:pStyle w:val="14"/>
              <w:spacing w:line="420" w:lineRule="exact"/>
              <w:ind w:left="0" w:leftChars="0"/>
              <w:jc w:val="left"/>
              <w:rPr>
                <w:bCs/>
                <w:szCs w:val="21"/>
              </w:rPr>
            </w:pPr>
            <w:r>
              <w:rPr>
                <w:rFonts w:hint="eastAsia"/>
                <w:bCs/>
                <w:szCs w:val="21"/>
              </w:rPr>
              <w:t>★7.中压脚由独立步进电机驱动、中压脚高度可编程</w:t>
            </w:r>
          </w:p>
          <w:p>
            <w:pPr>
              <w:pStyle w:val="14"/>
              <w:spacing w:line="420" w:lineRule="exact"/>
              <w:ind w:left="0" w:leftChars="0"/>
              <w:jc w:val="left"/>
              <w:rPr>
                <w:bCs/>
                <w:szCs w:val="21"/>
              </w:rPr>
            </w:pPr>
            <w:r>
              <w:rPr>
                <w:rFonts w:hint="eastAsia"/>
                <w:bCs/>
                <w:szCs w:val="21"/>
              </w:rPr>
              <w:t>8.具有自动点位及画图功能</w:t>
            </w:r>
          </w:p>
          <w:p>
            <w:pPr>
              <w:pStyle w:val="14"/>
              <w:spacing w:line="420" w:lineRule="exact"/>
              <w:ind w:left="0" w:leftChars="0"/>
              <w:jc w:val="left"/>
              <w:rPr>
                <w:bCs/>
                <w:szCs w:val="21"/>
              </w:rPr>
            </w:pPr>
            <w:r>
              <w:rPr>
                <w:rFonts w:hint="eastAsia"/>
                <w:bCs/>
                <w:szCs w:val="21"/>
              </w:rPr>
              <w:t>9.旋梭供油可通过控制面板调整控制</w:t>
            </w:r>
          </w:p>
          <w:p>
            <w:pPr>
              <w:pStyle w:val="14"/>
              <w:spacing w:line="420" w:lineRule="exact"/>
              <w:ind w:left="0" w:leftChars="0"/>
              <w:jc w:val="left"/>
              <w:rPr>
                <w:bCs/>
                <w:szCs w:val="21"/>
              </w:rPr>
            </w:pPr>
            <w:r>
              <w:rPr>
                <w:rFonts w:hint="eastAsia"/>
                <w:bCs/>
                <w:szCs w:val="21"/>
              </w:rPr>
              <w:t>10.采用电子夹线器，可通过控制面板调节夹紧时间</w:t>
            </w:r>
          </w:p>
          <w:p>
            <w:pPr>
              <w:pStyle w:val="14"/>
              <w:spacing w:line="420" w:lineRule="exact"/>
              <w:ind w:left="0" w:leftChars="0"/>
              <w:jc w:val="left"/>
              <w:rPr>
                <w:bCs/>
                <w:szCs w:val="21"/>
              </w:rPr>
            </w:pPr>
            <w:r>
              <w:rPr>
                <w:rFonts w:hint="eastAsia"/>
                <w:bCs/>
                <w:szCs w:val="21"/>
              </w:rPr>
              <w:t>11.采用电子松线器，可通过控制面板调节松线时间</w:t>
            </w:r>
          </w:p>
          <w:p>
            <w:pPr>
              <w:pStyle w:val="14"/>
              <w:spacing w:line="420" w:lineRule="exact"/>
              <w:ind w:left="0" w:leftChars="0"/>
              <w:jc w:val="left"/>
              <w:rPr>
                <w:bCs/>
                <w:szCs w:val="21"/>
              </w:rPr>
            </w:pPr>
            <w:r>
              <w:rPr>
                <w:rFonts w:hint="eastAsia"/>
                <w:bCs/>
                <w:szCs w:val="21"/>
              </w:rPr>
              <w:t>12.具有设置底线余量或缺线报警、缝纫计数功能</w:t>
            </w:r>
          </w:p>
          <w:p>
            <w:pPr>
              <w:pStyle w:val="14"/>
              <w:spacing w:line="420" w:lineRule="exact"/>
              <w:ind w:left="0" w:leftChars="0"/>
              <w:jc w:val="left"/>
              <w:rPr>
                <w:bCs/>
                <w:szCs w:val="21"/>
              </w:rPr>
            </w:pPr>
            <w:r>
              <w:rPr>
                <w:rFonts w:hint="eastAsia"/>
                <w:bCs/>
                <w:szCs w:val="21"/>
              </w:rPr>
              <w:t>13.自动剪线采用独立电机驱动或气缸驱动、且线头长度≤3mm</w:t>
            </w:r>
          </w:p>
          <w:p>
            <w:pPr>
              <w:pStyle w:val="14"/>
              <w:spacing w:line="420" w:lineRule="exact"/>
              <w:ind w:left="0" w:leftChars="0"/>
              <w:jc w:val="left"/>
              <w:rPr>
                <w:bCs/>
                <w:szCs w:val="21"/>
              </w:rPr>
            </w:pPr>
            <w:r>
              <w:rPr>
                <w:rFonts w:hint="eastAsia"/>
                <w:bCs/>
                <w:szCs w:val="21"/>
              </w:rPr>
              <w:t>14.具有自动换梭芯功能</w:t>
            </w:r>
          </w:p>
          <w:p>
            <w:pPr>
              <w:pStyle w:val="14"/>
              <w:spacing w:line="420" w:lineRule="exact"/>
              <w:ind w:left="0" w:leftChars="0"/>
              <w:jc w:val="left"/>
              <w:rPr>
                <w:bCs/>
                <w:szCs w:val="21"/>
              </w:rPr>
            </w:pPr>
            <w:r>
              <w:rPr>
                <w:rFonts w:hint="eastAsia"/>
                <w:bCs/>
                <w:szCs w:val="21"/>
              </w:rPr>
              <w:t>★15.激光切割装置具有烟雾粉尘吸收及过滤净化系统</w:t>
            </w:r>
          </w:p>
          <w:p>
            <w:pPr>
              <w:pStyle w:val="14"/>
              <w:spacing w:line="420" w:lineRule="exact"/>
              <w:ind w:left="0" w:leftChars="0"/>
              <w:jc w:val="left"/>
              <w:rPr>
                <w:bCs/>
                <w:szCs w:val="21"/>
              </w:rPr>
            </w:pPr>
            <w:r>
              <w:rPr>
                <w:rFonts w:hint="eastAsia"/>
                <w:bCs/>
                <w:szCs w:val="21"/>
              </w:rPr>
              <w:t>16.具有防鸟巢装置</w:t>
            </w:r>
          </w:p>
          <w:p>
            <w:pPr>
              <w:pStyle w:val="14"/>
              <w:spacing w:line="420" w:lineRule="exact"/>
              <w:ind w:left="0" w:leftChars="0"/>
              <w:jc w:val="left"/>
              <w:rPr>
                <w:bCs/>
                <w:szCs w:val="21"/>
              </w:rPr>
            </w:pPr>
            <w:r>
              <w:rPr>
                <w:rFonts w:hint="eastAsia"/>
                <w:bCs/>
                <w:szCs w:val="21"/>
              </w:rPr>
              <w:t>17.可通过Windows10（或更高级）操作系统的电脑，控制和操作机器，实现：设备运行状态监控、故障诊断、程序升级、缝制花样编辑、输入存储等功能</w:t>
            </w:r>
          </w:p>
        </w:tc>
      </w:tr>
      <w:tr>
        <w:tblPrEx>
          <w:tblCellMar>
            <w:top w:w="0" w:type="dxa"/>
            <w:left w:w="108" w:type="dxa"/>
            <w:bottom w:w="0" w:type="dxa"/>
            <w:right w:w="108" w:type="dxa"/>
          </w:tblCellMar>
        </w:tblPrEx>
        <w:trPr>
          <w:trHeight w:val="271" w:hRule="atLeast"/>
        </w:trPr>
        <w:tc>
          <w:tcPr>
            <w:tcW w:w="43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10</w:t>
            </w:r>
          </w:p>
        </w:tc>
        <w:tc>
          <w:tcPr>
            <w:tcW w:w="1088" w:type="dxa"/>
            <w:tcBorders>
              <w:top w:val="single" w:color="auto" w:sz="4" w:space="0"/>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计算机控制花样缝缝纫机</w:t>
            </w:r>
          </w:p>
        </w:tc>
        <w:tc>
          <w:tcPr>
            <w:tcW w:w="85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2210</w:t>
            </w:r>
          </w:p>
        </w:tc>
        <w:tc>
          <w:tcPr>
            <w:tcW w:w="6663" w:type="dxa"/>
            <w:tcBorders>
              <w:top w:val="nil"/>
              <w:left w:val="nil"/>
              <w:bottom w:val="single" w:color="auto" w:sz="4" w:space="0"/>
              <w:right w:val="single" w:color="auto" w:sz="4" w:space="0"/>
            </w:tcBorders>
            <w:vAlign w:val="center"/>
          </w:tcPr>
          <w:p>
            <w:pPr>
              <w:pStyle w:val="14"/>
              <w:spacing w:line="420" w:lineRule="exact"/>
              <w:ind w:left="0" w:leftChars="0"/>
              <w:jc w:val="left"/>
              <w:rPr>
                <w:bCs/>
                <w:szCs w:val="21"/>
              </w:rPr>
            </w:pPr>
            <w:r>
              <w:rPr>
                <w:rFonts w:hint="eastAsia"/>
                <w:bCs/>
                <w:szCs w:val="21"/>
              </w:rPr>
              <w:t>★电脑花样机应采用计算机控制系统、机头型式为平台式、摆梭勾线；具有自动调速、缝线张力自动调节、自动抬压脚、自动剪线、电子夹线、产品储存、花样缩放、花样储存、花样循输出、工作状态显示等功能。电脑花样机必须符合轻工行业标准《QB/T4304－2017 工业用缝纫机计算机控制花样缝缝纫机》；机架应当符合《QBT/2378-2012 工业用缝纫机 机架》；台板应当符合《QBT/2379-2012 工业用缝纫机 台板》；涂装件表面应符合QB/T 2528－2001的规定；电镀件镀层表面应符合QB/T 1572－1992 的规定；发黑件表面应符合QB/T 2505－2000的规定。</w:t>
            </w:r>
          </w:p>
          <w:p>
            <w:pPr>
              <w:pStyle w:val="14"/>
              <w:spacing w:line="420" w:lineRule="exact"/>
              <w:ind w:left="0" w:leftChars="0"/>
              <w:jc w:val="left"/>
              <w:rPr>
                <w:bCs/>
                <w:szCs w:val="21"/>
              </w:rPr>
            </w:pPr>
            <w:r>
              <w:rPr>
                <w:rFonts w:hint="eastAsia"/>
                <w:bCs/>
                <w:szCs w:val="21"/>
              </w:rPr>
              <w:t>投标人提供的电脑花样机必须是满足服装行业一般生产所必备的完整产品(包括机架、台板等)，并配备实现使用说明书描述功能所需的附件与备件。电脑花样机在生产现场安装调试后无需招标人额外添加任何物品就可投入生产使用。</w:t>
            </w:r>
          </w:p>
          <w:p>
            <w:pPr>
              <w:pStyle w:val="14"/>
              <w:spacing w:line="420" w:lineRule="exact"/>
              <w:ind w:left="0" w:leftChars="0"/>
              <w:jc w:val="left"/>
              <w:rPr>
                <w:bCs/>
                <w:szCs w:val="21"/>
              </w:rPr>
            </w:pPr>
            <w:r>
              <w:rPr>
                <w:rFonts w:hint="eastAsia"/>
                <w:bCs/>
                <w:szCs w:val="21"/>
              </w:rPr>
              <w:t>★投标人应按照机器的工作位置提供不少于六张（应包含正面、背面、左侧面、右侧面、顶面和底面）彩色照片，投标文件每页只能放置一张照片；机器彩色照片像素不小于4000万、应能清楚显示机器的型号规格和产品的唯一编号，并尽可能的展示机器的结构和性能，否则将不利于评标委员会对机器的评价，以上照片做为设备验收时比对依据；投标人应将机器彩色照片文件刻录在不可擦写的一次性光盘上随投标文件一并提交（光盘内照片须与投标文件一致）。</w:t>
            </w:r>
          </w:p>
          <w:p>
            <w:pPr>
              <w:pStyle w:val="14"/>
              <w:spacing w:line="420" w:lineRule="exact"/>
              <w:ind w:left="0" w:leftChars="0"/>
              <w:jc w:val="left"/>
              <w:rPr>
                <w:bCs/>
                <w:szCs w:val="21"/>
              </w:rPr>
            </w:pPr>
            <w:r>
              <w:rPr>
                <w:rFonts w:hint="eastAsia"/>
                <w:bCs/>
                <w:szCs w:val="21"/>
              </w:rPr>
              <w:t>功能及参数要求：</w:t>
            </w:r>
          </w:p>
          <w:p>
            <w:pPr>
              <w:pStyle w:val="14"/>
              <w:spacing w:line="420" w:lineRule="exact"/>
              <w:ind w:left="0" w:leftChars="0"/>
              <w:jc w:val="left"/>
              <w:rPr>
                <w:bCs/>
                <w:szCs w:val="21"/>
              </w:rPr>
            </w:pPr>
            <w:r>
              <w:rPr>
                <w:rFonts w:hint="eastAsia"/>
                <w:bCs/>
                <w:szCs w:val="21"/>
              </w:rPr>
              <w:t>★1.主电机采用交流伺服电机驱动直驱式</w:t>
            </w:r>
          </w:p>
          <w:p>
            <w:pPr>
              <w:pStyle w:val="14"/>
              <w:spacing w:line="420" w:lineRule="exact"/>
              <w:ind w:left="0" w:leftChars="0"/>
              <w:jc w:val="left"/>
              <w:rPr>
                <w:bCs/>
                <w:szCs w:val="21"/>
              </w:rPr>
            </w:pPr>
            <w:r>
              <w:rPr>
                <w:rFonts w:hint="eastAsia"/>
                <w:bCs/>
                <w:szCs w:val="21"/>
              </w:rPr>
              <w:t>★2.最大缝制范围：2210型X方向≥220mm、Y方向≥100mm</w:t>
            </w:r>
          </w:p>
          <w:p>
            <w:pPr>
              <w:pStyle w:val="14"/>
              <w:spacing w:line="420" w:lineRule="exact"/>
              <w:ind w:firstLine="420" w:firstLineChars="200"/>
              <w:jc w:val="left"/>
              <w:rPr>
                <w:bCs/>
                <w:szCs w:val="21"/>
              </w:rPr>
            </w:pPr>
            <w:r>
              <w:rPr>
                <w:rFonts w:hint="eastAsia"/>
                <w:bCs/>
                <w:szCs w:val="21"/>
              </w:rPr>
              <w:t xml:space="preserve">          3020型X方向≥300mm、Y方向≥200mm</w:t>
            </w:r>
          </w:p>
          <w:p>
            <w:pPr>
              <w:pStyle w:val="14"/>
              <w:spacing w:line="420" w:lineRule="exact"/>
              <w:ind w:left="0" w:leftChars="0"/>
              <w:jc w:val="left"/>
              <w:rPr>
                <w:bCs/>
                <w:szCs w:val="21"/>
              </w:rPr>
            </w:pPr>
            <w:r>
              <w:rPr>
                <w:rFonts w:hint="eastAsia"/>
                <w:bCs/>
                <w:szCs w:val="21"/>
              </w:rPr>
              <w:t>★3.机头采用微油润滑或润滑脂润滑</w:t>
            </w:r>
          </w:p>
          <w:p>
            <w:pPr>
              <w:pStyle w:val="14"/>
              <w:spacing w:line="420" w:lineRule="exact"/>
              <w:ind w:left="0" w:leftChars="0"/>
              <w:jc w:val="left"/>
              <w:rPr>
                <w:bCs/>
                <w:szCs w:val="21"/>
              </w:rPr>
            </w:pPr>
            <w:r>
              <w:rPr>
                <w:rFonts w:hint="eastAsia"/>
                <w:bCs/>
                <w:szCs w:val="21"/>
              </w:rPr>
              <w:t>4.控制面板采用彩色触摸屏、屏幕显示部分对角线长度≥177mm</w:t>
            </w:r>
          </w:p>
          <w:p>
            <w:pPr>
              <w:pStyle w:val="14"/>
              <w:spacing w:line="420" w:lineRule="exact"/>
              <w:ind w:left="0" w:leftChars="0"/>
              <w:jc w:val="left"/>
              <w:rPr>
                <w:bCs/>
                <w:szCs w:val="21"/>
              </w:rPr>
            </w:pPr>
            <w:r>
              <w:rPr>
                <w:rFonts w:hint="eastAsia"/>
                <w:bCs/>
                <w:szCs w:val="21"/>
              </w:rPr>
              <w:t>★5.中压脚采用电动式驱动具有可编程式功能，在缝制中中压脚高度能随面料厚薄变化而变更</w:t>
            </w:r>
          </w:p>
          <w:p>
            <w:pPr>
              <w:pStyle w:val="14"/>
              <w:spacing w:line="420" w:lineRule="exact"/>
              <w:ind w:left="0" w:leftChars="0"/>
              <w:jc w:val="left"/>
              <w:rPr>
                <w:bCs/>
                <w:szCs w:val="21"/>
              </w:rPr>
            </w:pPr>
            <w:r>
              <w:rPr>
                <w:rFonts w:hint="eastAsia"/>
                <w:bCs/>
                <w:szCs w:val="21"/>
              </w:rPr>
              <w:t>★6.外压框采用气动式驱动、左右分离式压脚，左右压脚上升和下降均可以独立调节</w:t>
            </w:r>
          </w:p>
          <w:p>
            <w:pPr>
              <w:pStyle w:val="14"/>
              <w:spacing w:line="420" w:lineRule="exact"/>
              <w:ind w:left="0" w:leftChars="0"/>
              <w:jc w:val="left"/>
              <w:rPr>
                <w:bCs/>
                <w:szCs w:val="21"/>
              </w:rPr>
            </w:pPr>
            <w:r>
              <w:rPr>
                <w:rFonts w:hint="eastAsia"/>
                <w:bCs/>
                <w:szCs w:val="21"/>
              </w:rPr>
              <w:t>★7.可通过控制面板设定每个部分(起缝、缝制中、缝制结束)的面线张力</w:t>
            </w:r>
          </w:p>
          <w:p>
            <w:pPr>
              <w:pStyle w:val="14"/>
              <w:spacing w:line="420" w:lineRule="exact"/>
              <w:ind w:left="0" w:leftChars="0"/>
              <w:jc w:val="left"/>
              <w:rPr>
                <w:bCs/>
                <w:szCs w:val="21"/>
              </w:rPr>
            </w:pPr>
            <w:r>
              <w:rPr>
                <w:rFonts w:hint="eastAsia"/>
                <w:bCs/>
                <w:szCs w:val="21"/>
              </w:rPr>
              <w:t>8.花样缩放范围≥1-400%(针距及针数缩放应同时具备)</w:t>
            </w:r>
          </w:p>
          <w:p>
            <w:pPr>
              <w:pStyle w:val="14"/>
              <w:spacing w:line="420" w:lineRule="exact"/>
              <w:ind w:left="0" w:leftChars="0"/>
              <w:jc w:val="left"/>
              <w:rPr>
                <w:bCs/>
                <w:szCs w:val="21"/>
              </w:rPr>
            </w:pPr>
            <w:r>
              <w:rPr>
                <w:rFonts w:hint="eastAsia"/>
                <w:bCs/>
                <w:szCs w:val="21"/>
              </w:rPr>
              <w:t>9.线迹长度最小分辨率≤0.05mm</w:t>
            </w:r>
          </w:p>
          <w:p>
            <w:pPr>
              <w:pStyle w:val="14"/>
              <w:spacing w:line="420" w:lineRule="exact"/>
              <w:ind w:left="0" w:leftChars="0"/>
              <w:jc w:val="left"/>
              <w:rPr>
                <w:bCs/>
                <w:szCs w:val="21"/>
              </w:rPr>
            </w:pPr>
            <w:r>
              <w:rPr>
                <w:rFonts w:hint="eastAsia"/>
                <w:bCs/>
                <w:szCs w:val="21"/>
              </w:rPr>
              <w:t>10.在线迹长度为4mm、缝料为6层厚0.7-0.8mm牛仔布、设定缝制≥280针花样，从起缝至缝制结束所用的时间≤7秒</w:t>
            </w:r>
          </w:p>
          <w:p>
            <w:pPr>
              <w:pStyle w:val="14"/>
              <w:spacing w:line="420" w:lineRule="exact"/>
              <w:ind w:left="0" w:leftChars="0"/>
              <w:jc w:val="left"/>
              <w:rPr>
                <w:bCs/>
                <w:szCs w:val="21"/>
              </w:rPr>
            </w:pPr>
            <w:r>
              <w:rPr>
                <w:rFonts w:hint="eastAsia"/>
                <w:bCs/>
                <w:szCs w:val="21"/>
              </w:rPr>
              <w:t>11.具有起缝防脱线功能</w:t>
            </w:r>
          </w:p>
          <w:p>
            <w:pPr>
              <w:pStyle w:val="14"/>
              <w:spacing w:line="420" w:lineRule="exact"/>
              <w:ind w:left="0" w:leftChars="0"/>
              <w:jc w:val="left"/>
              <w:rPr>
                <w:bCs/>
                <w:szCs w:val="21"/>
              </w:rPr>
            </w:pPr>
            <w:r>
              <w:rPr>
                <w:rFonts w:hint="eastAsia"/>
                <w:bCs/>
                <w:szCs w:val="21"/>
              </w:rPr>
              <w:t>12.具有面线断线检测功能</w:t>
            </w:r>
          </w:p>
          <w:p>
            <w:pPr>
              <w:pStyle w:val="14"/>
              <w:spacing w:line="420" w:lineRule="exact"/>
              <w:ind w:left="0" w:leftChars="0"/>
              <w:jc w:val="left"/>
              <w:rPr>
                <w:bCs/>
                <w:szCs w:val="21"/>
              </w:rPr>
            </w:pPr>
            <w:r>
              <w:rPr>
                <w:rFonts w:hint="eastAsia"/>
                <w:bCs/>
                <w:szCs w:val="21"/>
              </w:rPr>
              <w:t>13.具有防鸟巢装置</w:t>
            </w:r>
          </w:p>
          <w:p>
            <w:pPr>
              <w:pStyle w:val="14"/>
              <w:spacing w:line="420" w:lineRule="exact"/>
              <w:ind w:left="0" w:leftChars="0"/>
              <w:jc w:val="left"/>
              <w:rPr>
                <w:bCs/>
                <w:szCs w:val="21"/>
              </w:rPr>
            </w:pPr>
            <w:r>
              <w:rPr>
                <w:rFonts w:hint="eastAsia"/>
                <w:bCs/>
                <w:szCs w:val="21"/>
              </w:rPr>
              <w:t>14.通过控制面板可直接编辑特征轮廓点，合成所需的曲线。</w:t>
            </w:r>
          </w:p>
          <w:p>
            <w:pPr>
              <w:pStyle w:val="14"/>
              <w:spacing w:line="420" w:lineRule="exact"/>
              <w:ind w:left="0" w:leftChars="0"/>
              <w:jc w:val="left"/>
              <w:rPr>
                <w:bCs/>
                <w:szCs w:val="21"/>
              </w:rPr>
            </w:pPr>
            <w:r>
              <w:rPr>
                <w:rFonts w:hint="eastAsia"/>
                <w:bCs/>
                <w:szCs w:val="21"/>
              </w:rPr>
              <w:t>15.具有自动换梭芯功能</w:t>
            </w:r>
          </w:p>
          <w:p>
            <w:pPr>
              <w:pStyle w:val="14"/>
              <w:spacing w:line="420" w:lineRule="exact"/>
              <w:ind w:left="0" w:leftChars="0"/>
              <w:jc w:val="left"/>
              <w:rPr>
                <w:bCs/>
                <w:szCs w:val="21"/>
              </w:rPr>
            </w:pPr>
            <w:r>
              <w:rPr>
                <w:rFonts w:hint="eastAsia"/>
                <w:bCs/>
                <w:szCs w:val="21"/>
              </w:rPr>
              <w:t>16.具有机针冷却功能</w:t>
            </w:r>
          </w:p>
        </w:tc>
      </w:tr>
      <w:tr>
        <w:tblPrEx>
          <w:tblCellMar>
            <w:top w:w="0" w:type="dxa"/>
            <w:left w:w="108" w:type="dxa"/>
            <w:bottom w:w="0" w:type="dxa"/>
            <w:right w:w="108" w:type="dxa"/>
          </w:tblCellMar>
        </w:tblPrEx>
        <w:trPr>
          <w:trHeight w:val="239" w:hRule="atLeast"/>
        </w:trPr>
        <w:tc>
          <w:tcPr>
            <w:tcW w:w="438" w:type="dxa"/>
            <w:tcBorders>
              <w:top w:val="nil"/>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11</w:t>
            </w:r>
          </w:p>
        </w:tc>
        <w:tc>
          <w:tcPr>
            <w:tcW w:w="1088"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计算机控制加固缝缝纫机</w:t>
            </w:r>
          </w:p>
        </w:tc>
        <w:tc>
          <w:tcPr>
            <w:tcW w:w="850" w:type="dxa"/>
            <w:tcBorders>
              <w:top w:val="nil"/>
              <w:left w:val="nil"/>
              <w:bottom w:val="single" w:color="auto" w:sz="4" w:space="0"/>
              <w:right w:val="single" w:color="auto" w:sz="4" w:space="0"/>
            </w:tcBorders>
            <w:vAlign w:val="center"/>
          </w:tcPr>
          <w:p>
            <w:pPr>
              <w:widowControl/>
              <w:spacing w:line="460" w:lineRule="exact"/>
              <w:jc w:val="center"/>
              <w:rPr>
                <w:rFonts w:ascii="宋体" w:hAnsi="宋体" w:cs="宋体"/>
                <w:kern w:val="0"/>
                <w:szCs w:val="21"/>
              </w:rPr>
            </w:pPr>
            <w:r>
              <w:rPr>
                <w:rFonts w:hint="eastAsia" w:ascii="宋体" w:hAnsi="宋体" w:cs="宋体"/>
                <w:kern w:val="0"/>
                <w:szCs w:val="21"/>
              </w:rPr>
              <w:t>薄料、中厚料</w:t>
            </w:r>
          </w:p>
        </w:tc>
        <w:tc>
          <w:tcPr>
            <w:tcW w:w="6663" w:type="dxa"/>
            <w:tcBorders>
              <w:top w:val="nil"/>
              <w:left w:val="nil"/>
              <w:bottom w:val="single" w:color="auto" w:sz="4" w:space="0"/>
              <w:right w:val="single" w:color="auto" w:sz="4" w:space="0"/>
            </w:tcBorders>
            <w:vAlign w:val="center"/>
          </w:tcPr>
          <w:p>
            <w:pPr>
              <w:pStyle w:val="14"/>
              <w:spacing w:line="420" w:lineRule="exact"/>
              <w:ind w:left="0" w:leftChars="0"/>
              <w:jc w:val="left"/>
              <w:rPr>
                <w:bCs/>
                <w:szCs w:val="21"/>
              </w:rPr>
            </w:pPr>
            <w:r>
              <w:rPr>
                <w:rFonts w:hint="eastAsia"/>
                <w:bCs/>
                <w:szCs w:val="21"/>
              </w:rPr>
              <w:t>★加固缝机应采用计算机控制系统、交流电机直驱，具有自动调速、缝线张力调节、自动抬压脚、自动剪线、电子夹线、自动停针、自动计数、产品储存、花样缩放、花样储存、花样循环缝、工作状态显示等功能。加固缝机必须符合轻工行业标准《QBT 4302-2012（2017）工业用缝纫机 计算机控制加固缝缝纫机》；机架应当符合《QBT/2378-2012 工业用缝纫机 机架》；台板应当符合《QBT/2379-2012 工业用缝纫机 台板》。加固缝机必须是满足服装行业一般生产所必备的完整产品(包括机架、台板等)，并配备实现使用说明书描述功能所需的附件与备件。加固缝机在生产现场安装调试后无需额外添加任何物品就可投入生产使用。</w:t>
            </w:r>
          </w:p>
          <w:p>
            <w:pPr>
              <w:pStyle w:val="14"/>
              <w:spacing w:line="420" w:lineRule="exact"/>
              <w:ind w:left="0" w:leftChars="0"/>
              <w:jc w:val="left"/>
              <w:rPr>
                <w:bCs/>
                <w:szCs w:val="21"/>
              </w:rPr>
            </w:pPr>
            <w:r>
              <w:rPr>
                <w:rFonts w:hint="eastAsia"/>
                <w:bCs/>
                <w:szCs w:val="21"/>
              </w:rPr>
              <w:t>★投标人应按照机器的工作位置提供不少于六张（应包含正面、背面、左侧面、右侧面、顶面和底面）彩色照片，投标文件每页只能放置一张照片；机器彩色照片像素不小于4000万、应能清楚显示机器的型号规格和产品的唯一编号，并尽可能的展示机器的结构和性能，否则将不利于评标委员会对机器的评价，以上照片做为设备验收时比对依据；投标人应将机器彩色照片文件刻录在不可擦写的一次性光盘上随投标文件一并提交（光盘内照片须与投标文件一致）。</w:t>
            </w:r>
          </w:p>
          <w:p>
            <w:pPr>
              <w:pStyle w:val="14"/>
              <w:spacing w:line="420" w:lineRule="exact"/>
              <w:ind w:left="0" w:leftChars="0"/>
              <w:jc w:val="left"/>
              <w:rPr>
                <w:bCs/>
                <w:szCs w:val="21"/>
              </w:rPr>
            </w:pPr>
            <w:r>
              <w:rPr>
                <w:rFonts w:hint="eastAsia"/>
                <w:bCs/>
                <w:szCs w:val="21"/>
              </w:rPr>
              <w:t>功能及参数要求：</w:t>
            </w:r>
          </w:p>
          <w:p>
            <w:pPr>
              <w:pStyle w:val="14"/>
              <w:spacing w:line="420" w:lineRule="exact"/>
              <w:ind w:left="0" w:leftChars="0"/>
              <w:jc w:val="left"/>
              <w:rPr>
                <w:bCs/>
                <w:szCs w:val="21"/>
              </w:rPr>
            </w:pPr>
            <w:r>
              <w:rPr>
                <w:rFonts w:hint="eastAsia"/>
                <w:bCs/>
                <w:szCs w:val="21"/>
              </w:rPr>
              <w:t>★1.主轴采用交流伺服电机直驱</w:t>
            </w:r>
          </w:p>
          <w:p>
            <w:pPr>
              <w:pStyle w:val="14"/>
              <w:spacing w:line="420" w:lineRule="exact"/>
              <w:ind w:left="0" w:leftChars="0"/>
              <w:jc w:val="left"/>
              <w:rPr>
                <w:bCs/>
                <w:szCs w:val="21"/>
              </w:rPr>
            </w:pPr>
            <w:r>
              <w:rPr>
                <w:rFonts w:hint="eastAsia"/>
                <w:bCs/>
                <w:szCs w:val="21"/>
              </w:rPr>
              <w:t>★2.机头采用润滑脂润滑或无油润滑</w:t>
            </w:r>
          </w:p>
          <w:p>
            <w:pPr>
              <w:pStyle w:val="14"/>
              <w:spacing w:line="420" w:lineRule="exact"/>
              <w:ind w:left="0" w:leftChars="0"/>
              <w:jc w:val="left"/>
              <w:rPr>
                <w:bCs/>
                <w:szCs w:val="21"/>
              </w:rPr>
            </w:pPr>
            <w:r>
              <w:rPr>
                <w:rFonts w:hint="eastAsia"/>
                <w:bCs/>
                <w:szCs w:val="21"/>
              </w:rPr>
              <w:t>3.可通过操作面板设定不同条件下的面线张力</w:t>
            </w:r>
          </w:p>
          <w:p>
            <w:pPr>
              <w:pStyle w:val="14"/>
              <w:spacing w:line="420" w:lineRule="exact"/>
              <w:ind w:left="0" w:leftChars="0"/>
              <w:jc w:val="left"/>
              <w:rPr>
                <w:bCs/>
                <w:szCs w:val="21"/>
              </w:rPr>
            </w:pPr>
            <w:r>
              <w:rPr>
                <w:rFonts w:hint="eastAsia"/>
                <w:bCs/>
                <w:szCs w:val="21"/>
              </w:rPr>
              <w:t>4.自动剪线残余线条长度≤3mm</w:t>
            </w:r>
          </w:p>
          <w:p>
            <w:pPr>
              <w:pStyle w:val="14"/>
              <w:spacing w:line="420" w:lineRule="exact"/>
              <w:ind w:left="0" w:leftChars="0"/>
              <w:jc w:val="left"/>
              <w:rPr>
                <w:bCs/>
                <w:szCs w:val="21"/>
              </w:rPr>
            </w:pPr>
            <w:r>
              <w:rPr>
                <w:rFonts w:hint="eastAsia"/>
                <w:bCs/>
                <w:szCs w:val="21"/>
              </w:rPr>
              <w:t>5.具有防鸟巢装置</w:t>
            </w:r>
          </w:p>
        </w:tc>
      </w:tr>
    </w:tbl>
    <w:p>
      <w:pPr>
        <w:tabs>
          <w:tab w:val="left" w:pos="525"/>
        </w:tabs>
        <w:spacing w:line="460" w:lineRule="exact"/>
        <w:rPr>
          <w:rFonts w:ascii="宋体" w:hAnsi="宋体" w:cs="宋体"/>
          <w:b/>
          <w:szCs w:val="21"/>
        </w:rPr>
      </w:pPr>
    </w:p>
    <w:p>
      <w:pPr>
        <w:tabs>
          <w:tab w:val="left" w:pos="525"/>
        </w:tabs>
        <w:spacing w:line="460" w:lineRule="exact"/>
        <w:rPr>
          <w:rFonts w:ascii="宋体" w:hAnsi="宋体" w:cs="宋体"/>
          <w:b/>
          <w:szCs w:val="21"/>
        </w:rPr>
      </w:pPr>
      <w:r>
        <w:rPr>
          <w:rFonts w:hint="eastAsia" w:ascii="宋体" w:hAnsi="宋体" w:cs="宋体"/>
          <w:b/>
          <w:szCs w:val="21"/>
        </w:rPr>
        <w:t xml:space="preserve">三、商务条件  </w:t>
      </w:r>
    </w:p>
    <w:p>
      <w:pPr>
        <w:spacing w:line="460" w:lineRule="exact"/>
        <w:outlineLvl w:val="1"/>
        <w:rPr>
          <w:rFonts w:ascii="宋体" w:hAnsi="宋体"/>
          <w:b/>
          <w:bCs/>
          <w:szCs w:val="21"/>
        </w:rPr>
      </w:pPr>
      <w:bookmarkStart w:id="74" w:name="_Toc516232087"/>
      <w:bookmarkStart w:id="75" w:name="_Toc9892"/>
      <w:bookmarkStart w:id="76" w:name="_Toc74083223"/>
      <w:bookmarkStart w:id="77" w:name="_Toc74326530"/>
      <w:r>
        <w:rPr>
          <w:rFonts w:hint="eastAsia" w:ascii="宋体" w:hAnsi="宋体"/>
          <w:b/>
          <w:bCs/>
          <w:szCs w:val="21"/>
        </w:rPr>
        <w:t>1、安装和调试</w:t>
      </w:r>
      <w:bookmarkEnd w:id="74"/>
      <w:bookmarkEnd w:id="75"/>
      <w:bookmarkEnd w:id="76"/>
      <w:bookmarkEnd w:id="77"/>
    </w:p>
    <w:p>
      <w:pPr>
        <w:spacing w:line="460" w:lineRule="exact"/>
        <w:ind w:firstLine="420" w:firstLineChars="200"/>
        <w:rPr>
          <w:rFonts w:ascii="宋体" w:hAnsi="宋体"/>
          <w:szCs w:val="21"/>
        </w:rPr>
      </w:pPr>
      <w:r>
        <w:rPr>
          <w:rFonts w:hint="eastAsia" w:ascii="宋体" w:hAnsi="宋体"/>
          <w:szCs w:val="21"/>
        </w:rPr>
        <w:t>1.1由中标人负责将货物按签订合同的具体数量分别运送到招标货物一览表所列公司指定的地点，中标人负责派技术人员到现场进行安装、调试，并负责到验收合格交付使用为止。所有设备必须是原厂原装包装。若发现原包装破损或技术资料不齐全等，招标人有权不予接收，中标人应无条件免费重新更换。</w:t>
      </w:r>
    </w:p>
    <w:p>
      <w:pPr>
        <w:spacing w:line="460" w:lineRule="exact"/>
        <w:ind w:firstLine="420" w:firstLineChars="200"/>
        <w:rPr>
          <w:rFonts w:ascii="宋体" w:hAnsi="宋体"/>
          <w:szCs w:val="21"/>
        </w:rPr>
      </w:pPr>
      <w:r>
        <w:rPr>
          <w:rFonts w:hint="eastAsia" w:ascii="宋体" w:hAnsi="宋体"/>
          <w:szCs w:val="21"/>
        </w:rPr>
        <w:t>1.2货物包装必须与运输方式相适应，包装方式的确定及包装费用均由中标人负责；由于不适当的包装而造成货物在运输过程中有任何损坏由中标人负责。</w:t>
      </w:r>
    </w:p>
    <w:p>
      <w:pPr>
        <w:spacing w:line="460" w:lineRule="exact"/>
        <w:ind w:firstLine="420" w:firstLineChars="200"/>
        <w:rPr>
          <w:rFonts w:ascii="宋体" w:hAnsi="宋体"/>
          <w:szCs w:val="21"/>
        </w:rPr>
      </w:pPr>
      <w:r>
        <w:rPr>
          <w:rFonts w:hint="eastAsia" w:ascii="宋体" w:hAnsi="宋体"/>
          <w:szCs w:val="21"/>
        </w:rPr>
        <w:t>1.3货物包装应足以承受整个过程中的运输、转运、装卸、储存等，应充分考虑到运输途中的各种情况(如暴露于恶劣气候等)和当地的气候特点，以及露天存放的需要。</w:t>
      </w:r>
    </w:p>
    <w:p>
      <w:pPr>
        <w:spacing w:line="460" w:lineRule="exact"/>
        <w:ind w:firstLine="420" w:firstLineChars="200"/>
        <w:rPr>
          <w:rFonts w:ascii="宋体" w:hAnsi="宋体"/>
          <w:szCs w:val="21"/>
        </w:rPr>
      </w:pPr>
      <w:r>
        <w:rPr>
          <w:rFonts w:hint="eastAsia" w:ascii="宋体" w:hAnsi="宋体"/>
          <w:szCs w:val="21"/>
        </w:rPr>
        <w:t>1.4中标人负责组织专业技术人员进行货物调试，招标人的使用单位提供必需的基本条件和专人配合，保证各项安装工作顺利进行，安装过程中需要招标人的使用单位或第三方配合的工作所发生的费用应由中标人支付给招标人的使用单位或配合方。</w:t>
      </w:r>
    </w:p>
    <w:p>
      <w:pPr>
        <w:spacing w:line="460" w:lineRule="exact"/>
        <w:ind w:firstLine="420" w:firstLineChars="200"/>
        <w:rPr>
          <w:rFonts w:ascii="宋体" w:hAnsi="宋体"/>
          <w:szCs w:val="21"/>
        </w:rPr>
      </w:pPr>
      <w:r>
        <w:rPr>
          <w:rFonts w:hint="eastAsia" w:ascii="宋体" w:hAnsi="宋体"/>
          <w:szCs w:val="21"/>
        </w:rPr>
        <w:t>1.5在安装过程中，如由于中标人原因导致产品损坏，中标人将要负责更换或赔偿损失。</w:t>
      </w:r>
    </w:p>
    <w:p>
      <w:pPr>
        <w:spacing w:line="460" w:lineRule="exact"/>
        <w:outlineLvl w:val="1"/>
        <w:rPr>
          <w:rFonts w:ascii="宋体" w:hAnsi="宋体"/>
          <w:b/>
          <w:bCs/>
          <w:szCs w:val="21"/>
        </w:rPr>
      </w:pPr>
      <w:bookmarkStart w:id="78" w:name="_Toc516232088"/>
      <w:bookmarkStart w:id="79" w:name="_Toc16375"/>
      <w:bookmarkStart w:id="80" w:name="_Toc74083224"/>
      <w:bookmarkStart w:id="81" w:name="_Toc74326531"/>
      <w:r>
        <w:rPr>
          <w:rFonts w:hint="eastAsia" w:ascii="宋体" w:hAnsi="宋体"/>
          <w:b/>
          <w:bCs/>
          <w:szCs w:val="21"/>
        </w:rPr>
        <w:t>2、技术培训</w:t>
      </w:r>
      <w:bookmarkEnd w:id="78"/>
      <w:bookmarkEnd w:id="79"/>
      <w:bookmarkEnd w:id="80"/>
      <w:bookmarkEnd w:id="81"/>
    </w:p>
    <w:p>
      <w:pPr>
        <w:spacing w:line="460" w:lineRule="exact"/>
        <w:ind w:firstLine="420" w:firstLineChars="200"/>
        <w:rPr>
          <w:rFonts w:ascii="宋体" w:hAnsi="宋体"/>
          <w:szCs w:val="21"/>
        </w:rPr>
      </w:pPr>
      <w:r>
        <w:rPr>
          <w:rFonts w:hint="eastAsia" w:ascii="宋体" w:hAnsi="宋体"/>
          <w:szCs w:val="21"/>
        </w:rPr>
        <w:t xml:space="preserve">中标人应结合自检、最终验收阶段，免费为招标人的相关人员进行有关货物安装、调试、维护、操作、保养等方面的现场培训。中标人委派的专业技术人员所需费用均由中标供应商承担。 </w:t>
      </w:r>
    </w:p>
    <w:p>
      <w:pPr>
        <w:spacing w:line="460" w:lineRule="exact"/>
        <w:outlineLvl w:val="1"/>
        <w:rPr>
          <w:rFonts w:ascii="宋体" w:hAnsi="宋体"/>
          <w:b/>
          <w:bCs/>
          <w:szCs w:val="21"/>
        </w:rPr>
      </w:pPr>
      <w:bookmarkStart w:id="82" w:name="_Toc19899"/>
      <w:bookmarkStart w:id="83" w:name="_Toc74326532"/>
      <w:bookmarkStart w:id="84" w:name="_Toc516232089"/>
      <w:bookmarkStart w:id="85" w:name="_Toc74083225"/>
      <w:r>
        <w:rPr>
          <w:rFonts w:hint="eastAsia" w:ascii="宋体" w:hAnsi="宋体"/>
          <w:b/>
          <w:bCs/>
          <w:szCs w:val="21"/>
        </w:rPr>
        <w:t>3、质保期和售后服务要求</w:t>
      </w:r>
      <w:bookmarkEnd w:id="82"/>
      <w:bookmarkEnd w:id="83"/>
      <w:bookmarkEnd w:id="84"/>
      <w:bookmarkEnd w:id="85"/>
    </w:p>
    <w:p>
      <w:pPr>
        <w:spacing w:line="460" w:lineRule="exact"/>
        <w:ind w:firstLine="420" w:firstLineChars="200"/>
        <w:rPr>
          <w:rFonts w:ascii="宋体" w:hAnsi="宋体"/>
          <w:szCs w:val="21"/>
        </w:rPr>
      </w:pPr>
      <w:r>
        <w:rPr>
          <w:rFonts w:hint="eastAsia" w:ascii="宋体" w:hAnsi="宋体"/>
          <w:szCs w:val="21"/>
        </w:rPr>
        <w:t>3.1中标人自验收合格投入使用之日起应提供对整机质保期不少于2年的免费上门保修服务(设备使用说明书备注的易损件除外)，终身维修。保修期内，非因操作不当造成的故障及要更换的零配件由中标人负责包修、包换。每年中标人须免费对所有货物进行一次巡查，为招标人使用单位提供必要的服务；所有货物在保修期结束前1个月，中标人须免费进行一次全面的维护与保养，如发现潜在问题，应负责排除，并保证货物正常使用。</w:t>
      </w:r>
    </w:p>
    <w:p>
      <w:pPr>
        <w:spacing w:line="460" w:lineRule="exact"/>
        <w:ind w:firstLine="420" w:firstLineChars="200"/>
        <w:rPr>
          <w:rFonts w:ascii="宋体" w:hAnsi="宋体"/>
          <w:szCs w:val="21"/>
        </w:rPr>
      </w:pPr>
      <w:r>
        <w:rPr>
          <w:rFonts w:hint="eastAsia" w:ascii="宋体" w:hAnsi="宋体"/>
          <w:szCs w:val="21"/>
        </w:rPr>
        <w:t>3.2在保修期内货物运行发生故障时中标人在接到招标人故障电话通知后2小时内电话响应，8小时内到达用户现场解决问题，24小时内无法排除故障的，应提供则相应的备用设备以保证招标人的正常使用。故障维修响应时间内未到过现场进行维修者，招标人可自行委托相关企业进行维修，所需费用从质量保证金中扣除。</w:t>
      </w:r>
    </w:p>
    <w:p>
      <w:pPr>
        <w:spacing w:line="460" w:lineRule="exact"/>
        <w:ind w:firstLine="420" w:firstLineChars="200"/>
        <w:rPr>
          <w:rFonts w:ascii="宋体" w:hAnsi="宋体"/>
          <w:szCs w:val="21"/>
        </w:rPr>
      </w:pPr>
      <w:r>
        <w:rPr>
          <w:rFonts w:hint="eastAsia" w:ascii="宋体" w:hAnsi="宋体"/>
          <w:szCs w:val="21"/>
        </w:rPr>
        <w:t>3.3保修期结束后，中标人仍应对货物提供终身维修服务。中标人有责任在需要时对货物进行维护和修理，所提供的配件应为生产厂家原装配件，更换配件时只能收取成本费。投标人在投标文件中必须明确说明保修期结束后服务承诺。</w:t>
      </w:r>
    </w:p>
    <w:p>
      <w:pPr>
        <w:spacing w:line="460" w:lineRule="exact"/>
        <w:ind w:firstLine="420" w:firstLineChars="200"/>
        <w:rPr>
          <w:rFonts w:ascii="宋体" w:hAnsi="宋体"/>
          <w:szCs w:val="21"/>
        </w:rPr>
      </w:pPr>
      <w:r>
        <w:rPr>
          <w:rFonts w:hint="eastAsia" w:ascii="宋体" w:hAnsi="宋体"/>
          <w:szCs w:val="21"/>
        </w:rPr>
        <w:t>3.4所有货物保修服务均为中标人上门保修，由此产生的一切费用均由中标人承担。</w:t>
      </w:r>
    </w:p>
    <w:p>
      <w:pPr>
        <w:spacing w:line="460" w:lineRule="exact"/>
        <w:ind w:firstLine="420" w:firstLineChars="200"/>
        <w:rPr>
          <w:rFonts w:ascii="宋体" w:hAnsi="宋体"/>
          <w:szCs w:val="21"/>
        </w:rPr>
      </w:pPr>
      <w:r>
        <w:rPr>
          <w:rFonts w:hint="eastAsia" w:ascii="宋体" w:hAnsi="宋体"/>
          <w:szCs w:val="21"/>
        </w:rPr>
        <w:t>3.5投标人应有完善的售后服务保证体系，并设立维修服务机构，得以完成上述维保任务。投标文件中应列明在福建的售后服务网点的分布、人员(数量、职称、学历、工作经验)情况等。</w:t>
      </w:r>
    </w:p>
    <w:p>
      <w:pPr>
        <w:spacing w:line="460" w:lineRule="exact"/>
        <w:ind w:firstLine="420" w:firstLineChars="200"/>
        <w:rPr>
          <w:rFonts w:ascii="宋体" w:hAnsi="宋体"/>
          <w:szCs w:val="21"/>
        </w:rPr>
      </w:pPr>
      <w:r>
        <w:rPr>
          <w:rFonts w:hint="eastAsia" w:ascii="宋体" w:hAnsi="宋体"/>
          <w:szCs w:val="21"/>
        </w:rPr>
        <w:t>3.6投标人可视自身能力在投标文件中提供更优、更合理的维修服务承诺。未承诺售后服务或者质保期不满足招标文件要求的按照无效投标处理。</w:t>
      </w:r>
    </w:p>
    <w:p>
      <w:pPr>
        <w:spacing w:line="460" w:lineRule="exact"/>
        <w:ind w:firstLine="420" w:firstLineChars="200"/>
        <w:rPr>
          <w:rFonts w:ascii="宋体" w:hAnsi="宋体"/>
          <w:szCs w:val="21"/>
        </w:rPr>
      </w:pPr>
      <w:r>
        <w:rPr>
          <w:rFonts w:hint="eastAsia" w:ascii="宋体" w:hAnsi="宋体"/>
          <w:szCs w:val="21"/>
        </w:rPr>
        <w:t>3.7中标人售后人员上门提供售后服务时，应提供14日内新冠病毒核酸检测结果，并保证14日内没有到新冠病毒高风险地区游历经历，保证14日内没有与新冠病毒高风险地区人员接触。</w:t>
      </w:r>
    </w:p>
    <w:p>
      <w:pPr>
        <w:spacing w:line="460" w:lineRule="exact"/>
        <w:outlineLvl w:val="1"/>
        <w:rPr>
          <w:rFonts w:ascii="宋体" w:hAnsi="宋体"/>
          <w:b/>
          <w:bCs/>
          <w:szCs w:val="21"/>
        </w:rPr>
      </w:pPr>
      <w:bookmarkStart w:id="86" w:name="_Toc74326533"/>
      <w:bookmarkStart w:id="87" w:name="_Toc22627"/>
      <w:bookmarkStart w:id="88" w:name="_Toc74083226"/>
      <w:bookmarkStart w:id="89" w:name="_Toc516232090"/>
      <w:r>
        <w:rPr>
          <w:rFonts w:hint="eastAsia" w:ascii="宋体" w:hAnsi="宋体"/>
          <w:b/>
          <w:bCs/>
          <w:szCs w:val="21"/>
        </w:rPr>
        <w:t>4、验收</w:t>
      </w:r>
      <w:bookmarkEnd w:id="86"/>
      <w:bookmarkEnd w:id="87"/>
      <w:bookmarkEnd w:id="88"/>
      <w:bookmarkEnd w:id="89"/>
    </w:p>
    <w:p>
      <w:pPr>
        <w:spacing w:line="460" w:lineRule="exact"/>
        <w:ind w:firstLine="420" w:firstLineChars="200"/>
        <w:rPr>
          <w:rFonts w:ascii="宋体" w:hAnsi="宋体"/>
          <w:szCs w:val="21"/>
        </w:rPr>
      </w:pPr>
      <w:r>
        <w:rPr>
          <w:rFonts w:hint="eastAsia" w:ascii="宋体" w:hAnsi="宋体"/>
          <w:szCs w:val="21"/>
        </w:rPr>
        <w:t>4.1验收标准</w:t>
      </w:r>
    </w:p>
    <w:p>
      <w:pPr>
        <w:spacing w:line="460" w:lineRule="exact"/>
        <w:ind w:firstLine="422" w:firstLineChars="200"/>
        <w:rPr>
          <w:rFonts w:ascii="宋体" w:hAnsi="宋体"/>
          <w:szCs w:val="21"/>
        </w:rPr>
      </w:pPr>
      <w:r>
        <w:rPr>
          <w:rFonts w:hint="eastAsia" w:ascii="宋体" w:hAnsi="宋体"/>
          <w:b/>
          <w:szCs w:val="21"/>
        </w:rPr>
        <w:t>本项目所有机台设备必须提供原厂生产设备，不得提供贴牌生产的设备，否则视为验收不合格。</w:t>
      </w:r>
      <w:r>
        <w:rPr>
          <w:rFonts w:hint="eastAsia" w:ascii="宋体" w:hAnsi="宋体"/>
          <w:szCs w:val="21"/>
        </w:rPr>
        <w:t>在货物安装调试完成后，应按采购合同中的相关条款及设备所属的《中华人民共和国轻工行业标准(QB/T)》规定进行验收，如果投标人投标文件承诺高于《中华人民共和国轻工行业标准(QB/T)》，则按照投标文件规定进行验收。</w:t>
      </w:r>
    </w:p>
    <w:p>
      <w:pPr>
        <w:spacing w:line="460" w:lineRule="exact"/>
        <w:ind w:firstLine="420" w:firstLineChars="200"/>
        <w:rPr>
          <w:rFonts w:ascii="宋体" w:hAnsi="宋体"/>
          <w:szCs w:val="21"/>
        </w:rPr>
      </w:pPr>
      <w:r>
        <w:rPr>
          <w:rFonts w:hint="eastAsia" w:ascii="宋体" w:hAnsi="宋体"/>
          <w:szCs w:val="21"/>
        </w:rPr>
        <w:t>4.2验收程序和方法</w:t>
      </w:r>
    </w:p>
    <w:p>
      <w:pPr>
        <w:spacing w:line="460" w:lineRule="exact"/>
        <w:ind w:firstLine="420" w:firstLineChars="200"/>
        <w:rPr>
          <w:rFonts w:ascii="宋体" w:hAnsi="宋体"/>
          <w:szCs w:val="21"/>
        </w:rPr>
      </w:pPr>
      <w:r>
        <w:rPr>
          <w:rFonts w:hint="eastAsia" w:ascii="宋体" w:hAnsi="宋体"/>
          <w:szCs w:val="21"/>
        </w:rPr>
        <w:t>a.出厂检验</w:t>
      </w:r>
    </w:p>
    <w:p>
      <w:pPr>
        <w:spacing w:line="460" w:lineRule="exact"/>
        <w:ind w:firstLine="420" w:firstLineChars="200"/>
        <w:rPr>
          <w:rFonts w:ascii="宋体" w:hAnsi="宋体"/>
          <w:szCs w:val="21"/>
        </w:rPr>
      </w:pPr>
      <w:r>
        <w:rPr>
          <w:rFonts w:hint="eastAsia" w:ascii="宋体" w:hAnsi="宋体"/>
          <w:szCs w:val="21"/>
        </w:rPr>
        <w:t>中标人在货物出厂前，应对货物进行全面检验，并随同货物出具检验报告和产品合格证等。</w:t>
      </w:r>
    </w:p>
    <w:p>
      <w:pPr>
        <w:spacing w:line="460" w:lineRule="exact"/>
        <w:ind w:firstLine="420" w:firstLineChars="200"/>
        <w:rPr>
          <w:rFonts w:ascii="宋体" w:hAnsi="宋体"/>
          <w:szCs w:val="21"/>
        </w:rPr>
      </w:pPr>
      <w:r>
        <w:rPr>
          <w:rFonts w:hint="eastAsia" w:ascii="宋体" w:hAnsi="宋体"/>
          <w:szCs w:val="21"/>
        </w:rPr>
        <w:t>b.中标人自检</w:t>
      </w:r>
    </w:p>
    <w:p>
      <w:pPr>
        <w:spacing w:line="460" w:lineRule="exact"/>
        <w:ind w:firstLine="420" w:firstLineChars="200"/>
        <w:rPr>
          <w:rFonts w:ascii="宋体" w:hAnsi="宋体"/>
          <w:szCs w:val="21"/>
        </w:rPr>
      </w:pPr>
      <w:r>
        <w:rPr>
          <w:rFonts w:hint="eastAsia" w:ascii="宋体" w:hAnsi="宋体"/>
          <w:szCs w:val="21"/>
        </w:rPr>
        <w:t>货物在安装地安装完毕后，中标人对所有货物的外观、各项性能参数进行自检，检验结果必须符合验收标准以及合同中相关条款要求，同时向招标人提供自检记录。</w:t>
      </w:r>
    </w:p>
    <w:p>
      <w:pPr>
        <w:spacing w:line="460" w:lineRule="exact"/>
        <w:ind w:firstLine="420" w:firstLineChars="200"/>
        <w:rPr>
          <w:rFonts w:ascii="宋体" w:hAnsi="宋体"/>
          <w:szCs w:val="21"/>
        </w:rPr>
      </w:pPr>
      <w:r>
        <w:rPr>
          <w:rFonts w:hint="eastAsia" w:ascii="宋体" w:hAnsi="宋体"/>
          <w:szCs w:val="21"/>
        </w:rPr>
        <w:t>c.最终验收</w:t>
      </w:r>
    </w:p>
    <w:p>
      <w:pPr>
        <w:spacing w:line="460" w:lineRule="exact"/>
        <w:ind w:firstLine="420" w:firstLineChars="200"/>
        <w:rPr>
          <w:rFonts w:ascii="宋体" w:hAnsi="宋体"/>
          <w:szCs w:val="21"/>
        </w:rPr>
      </w:pPr>
      <w:r>
        <w:rPr>
          <w:rFonts w:hint="eastAsia" w:ascii="宋体" w:hAnsi="宋体"/>
          <w:szCs w:val="21"/>
        </w:rPr>
        <w:t>中标人自检合格后，提交招标人按验收标准以及合同相关条款要求，对货物进行验收。如有需要，招标人有权委托具有缝纫机质量检验资质的部门、单位、机构对中标产品按照验收标准进行检验，所需的费用由中标人承担。在此期间，若发现货物不符合验收标准要求中标人应无条件免费更换，并无条件重新检测、调试，直至验收合格交付使用。</w:t>
      </w:r>
    </w:p>
    <w:p>
      <w:pPr>
        <w:spacing w:line="460" w:lineRule="exact"/>
        <w:ind w:firstLine="420" w:firstLineChars="200"/>
        <w:rPr>
          <w:rFonts w:ascii="宋体" w:hAnsi="宋体"/>
          <w:szCs w:val="21"/>
        </w:rPr>
      </w:pPr>
      <w:r>
        <w:rPr>
          <w:rFonts w:hint="eastAsia" w:ascii="宋体" w:hAnsi="宋体"/>
          <w:szCs w:val="21"/>
        </w:rPr>
        <w:t>4.3中标供应商在招标人安装现场进行最终验收所发生的一切费用均由中标人承担。</w:t>
      </w:r>
    </w:p>
    <w:p>
      <w:pPr>
        <w:spacing w:line="460" w:lineRule="exact"/>
        <w:outlineLvl w:val="1"/>
        <w:rPr>
          <w:rFonts w:ascii="宋体" w:hAnsi="宋体"/>
          <w:b/>
          <w:bCs/>
          <w:szCs w:val="21"/>
        </w:rPr>
      </w:pPr>
      <w:bookmarkStart w:id="90" w:name="_Toc6400"/>
      <w:bookmarkStart w:id="91" w:name="_Toc74326534"/>
      <w:bookmarkStart w:id="92" w:name="_Toc516232091"/>
      <w:bookmarkStart w:id="93" w:name="_Toc74083227"/>
      <w:r>
        <w:rPr>
          <w:rFonts w:hint="eastAsia" w:ascii="宋体" w:hAnsi="宋体"/>
          <w:b/>
          <w:bCs/>
          <w:szCs w:val="21"/>
        </w:rPr>
        <w:t>5、特殊工具与配品配件</w:t>
      </w:r>
      <w:bookmarkEnd w:id="90"/>
      <w:bookmarkEnd w:id="91"/>
      <w:bookmarkEnd w:id="92"/>
      <w:bookmarkEnd w:id="93"/>
    </w:p>
    <w:p>
      <w:pPr>
        <w:spacing w:line="460" w:lineRule="exact"/>
        <w:ind w:firstLine="420" w:firstLineChars="200"/>
        <w:rPr>
          <w:rFonts w:ascii="宋体" w:hAnsi="宋体"/>
          <w:szCs w:val="21"/>
        </w:rPr>
      </w:pPr>
      <w:r>
        <w:rPr>
          <w:rFonts w:hint="eastAsia" w:ascii="宋体" w:hAnsi="宋体"/>
          <w:szCs w:val="21"/>
        </w:rPr>
        <w:t>5.1特殊工具：中标人应向招标人提供货物安装、调试和维修所需的特殊专用工具及清单(如果有的话)并在投标文件中标明。</w:t>
      </w:r>
    </w:p>
    <w:p>
      <w:pPr>
        <w:spacing w:line="460" w:lineRule="exact"/>
        <w:ind w:firstLine="420" w:firstLineChars="200"/>
        <w:rPr>
          <w:rFonts w:ascii="宋体" w:hAnsi="宋体"/>
          <w:szCs w:val="21"/>
        </w:rPr>
      </w:pPr>
      <w:r>
        <w:rPr>
          <w:rFonts w:hint="eastAsia" w:ascii="宋体" w:hAnsi="宋体"/>
          <w:szCs w:val="21"/>
        </w:rPr>
        <w:t>5.2备品备件：投标人应在投标文件中标明货物备品备件清单；中标人应在设备运送到招标人使用单位时，配齐在保修期内所需的备品备件。</w:t>
      </w:r>
    </w:p>
    <w:p>
      <w:pPr>
        <w:spacing w:line="460" w:lineRule="exact"/>
        <w:ind w:firstLine="420" w:firstLineChars="200"/>
        <w:rPr>
          <w:rFonts w:ascii="宋体" w:hAnsi="宋体"/>
          <w:szCs w:val="21"/>
        </w:rPr>
      </w:pPr>
      <w:r>
        <w:rPr>
          <w:rFonts w:hint="eastAsia" w:ascii="宋体" w:hAnsi="宋体"/>
          <w:szCs w:val="21"/>
        </w:rPr>
        <w:t>5.3</w:t>
      </w:r>
      <w:bookmarkStart w:id="94" w:name="_Toc516232092"/>
      <w:r>
        <w:rPr>
          <w:rFonts w:hint="eastAsia" w:ascii="宋体" w:hAnsi="宋体"/>
          <w:szCs w:val="21"/>
        </w:rPr>
        <w:t>整机配套产品必须是满足服装行业一般生产所必备的完整产品(包括机架、台板等)，并配备实现使用说明书描述功能所需的附件与备件。在生产现场安装调试后无需额外添加任何物品就可投入生产使用。</w:t>
      </w:r>
    </w:p>
    <w:p>
      <w:pPr>
        <w:pStyle w:val="2"/>
        <w:ind w:firstLine="422" w:firstLineChars="200"/>
        <w:rPr>
          <w:rFonts w:ascii="宋体" w:hAnsi="宋体"/>
          <w:b/>
          <w:bCs/>
          <w:szCs w:val="21"/>
        </w:rPr>
      </w:pPr>
      <w:r>
        <w:rPr>
          <w:rFonts w:hint="eastAsia" w:ascii="宋体" w:hAnsi="宋体"/>
          <w:b/>
          <w:bCs/>
          <w:szCs w:val="21"/>
        </w:rPr>
        <w:t>6、</w:t>
      </w:r>
      <w:bookmarkEnd w:id="94"/>
      <w:bookmarkStart w:id="95" w:name="_Toc516232093"/>
      <w:r>
        <w:rPr>
          <w:rFonts w:hint="eastAsia" w:ascii="宋体" w:hAnsi="宋体"/>
          <w:b/>
          <w:bCs/>
          <w:szCs w:val="21"/>
        </w:rPr>
        <w:t>付款方式</w:t>
      </w:r>
      <w:bookmarkEnd w:id="95"/>
    </w:p>
    <w:p>
      <w:pPr>
        <w:spacing w:line="460" w:lineRule="exact"/>
        <w:ind w:firstLine="420" w:firstLineChars="200"/>
        <w:rPr>
          <w:rFonts w:ascii="宋体" w:hAnsi="宋体"/>
          <w:szCs w:val="21"/>
        </w:rPr>
      </w:pPr>
      <w:bookmarkStart w:id="96" w:name="_Toc516232094"/>
      <w:r>
        <w:rPr>
          <w:rFonts w:hint="eastAsia" w:ascii="宋体" w:hAnsi="宋体"/>
          <w:szCs w:val="21"/>
        </w:rPr>
        <w:t>待货物安装调试完毕交付招标人试用后，招标人根据招投标文件及合同要求组织验收合格情况下，中标人凭收讫货物的凭证和货物自检记录文件、全额增值税专用发票等材料交付招标人，招标人经审签程序后20个工作日内向中标人支付合同总价款的90%，余款10%作为质量保证金待质保期（即整机保修期）结束后双方无纠纷情况下无息支付。</w:t>
      </w:r>
    </w:p>
    <w:p>
      <w:pPr>
        <w:spacing w:line="460" w:lineRule="exact"/>
        <w:ind w:firstLine="422" w:firstLineChars="200"/>
        <w:rPr>
          <w:rFonts w:ascii="宋体" w:hAnsi="宋体"/>
          <w:b/>
          <w:bCs/>
          <w:szCs w:val="21"/>
        </w:rPr>
      </w:pPr>
      <w:r>
        <w:rPr>
          <w:rFonts w:hint="eastAsia" w:ascii="宋体" w:hAnsi="宋体"/>
          <w:b/>
          <w:bCs/>
          <w:szCs w:val="21"/>
        </w:rPr>
        <w:t>7、违约责任</w:t>
      </w:r>
      <w:bookmarkEnd w:id="96"/>
    </w:p>
    <w:p>
      <w:pPr>
        <w:spacing w:line="460" w:lineRule="exact"/>
        <w:ind w:firstLine="420" w:firstLineChars="200"/>
        <w:rPr>
          <w:rFonts w:ascii="宋体" w:hAnsi="宋体"/>
          <w:szCs w:val="21"/>
        </w:rPr>
      </w:pPr>
      <w:r>
        <w:rPr>
          <w:rFonts w:hint="eastAsia" w:ascii="宋体" w:hAnsi="宋体"/>
          <w:szCs w:val="21"/>
        </w:rPr>
        <w:t>7.1因中标供应商原因造成采购供货合同无法按时签订，视为中标供应商违约，招标人有权没收其投标保证金，如投标保证金不能弥补中标供应商违约对招标人造成的损失的，中标供应商还需另行支付相应的赔偿。</w:t>
      </w:r>
    </w:p>
    <w:p>
      <w:pPr>
        <w:spacing w:line="460" w:lineRule="exact"/>
        <w:ind w:firstLine="420" w:firstLineChars="200"/>
        <w:rPr>
          <w:rFonts w:ascii="宋体" w:hAnsi="宋体"/>
          <w:szCs w:val="21"/>
        </w:rPr>
      </w:pPr>
      <w:r>
        <w:rPr>
          <w:rFonts w:hint="eastAsia" w:ascii="宋体" w:hAnsi="宋体"/>
          <w:szCs w:val="21"/>
        </w:rPr>
        <w:t>7.2在签定采购供货合同之后，中标供应商要求解除合同的，视为中标供应商违约，对招标人造成的损失的，中标供应商须支付相应的赔偿。</w:t>
      </w:r>
    </w:p>
    <w:p>
      <w:pPr>
        <w:spacing w:line="460" w:lineRule="exact"/>
        <w:ind w:firstLine="420" w:firstLineChars="200"/>
        <w:rPr>
          <w:rFonts w:ascii="宋体" w:hAnsi="宋体"/>
          <w:szCs w:val="21"/>
        </w:rPr>
      </w:pPr>
      <w:r>
        <w:rPr>
          <w:rFonts w:hint="eastAsia" w:ascii="宋体" w:hAnsi="宋体"/>
          <w:szCs w:val="21"/>
        </w:rPr>
        <w:t>7.3若中标供应商出现以下情形中任意一种情况，均视为中标供应商违约，招标人将取消其中标资格，如果已经签订合同的则合同自动解除，且中标供应商还要承担相应的法律责任。</w:t>
      </w:r>
    </w:p>
    <w:p>
      <w:pPr>
        <w:spacing w:line="460" w:lineRule="exact"/>
        <w:ind w:firstLine="420" w:firstLineChars="200"/>
        <w:rPr>
          <w:rFonts w:ascii="宋体" w:hAnsi="宋体"/>
          <w:szCs w:val="21"/>
        </w:rPr>
      </w:pPr>
      <w:r>
        <w:rPr>
          <w:rFonts w:hint="eastAsia" w:ascii="宋体" w:hAnsi="宋体"/>
          <w:szCs w:val="21"/>
        </w:rPr>
        <w:t>1)中标供应商中标后，中标供应商的提供的货物与投标文件响应的不符的；</w:t>
      </w:r>
    </w:p>
    <w:p>
      <w:pPr>
        <w:spacing w:line="460" w:lineRule="exact"/>
        <w:ind w:firstLine="420" w:firstLineChars="200"/>
        <w:rPr>
          <w:rFonts w:ascii="宋体" w:hAnsi="宋体"/>
          <w:szCs w:val="21"/>
        </w:rPr>
      </w:pPr>
      <w:r>
        <w:rPr>
          <w:rFonts w:hint="eastAsia" w:ascii="宋体" w:hAnsi="宋体"/>
          <w:szCs w:val="21"/>
        </w:rPr>
        <w:t>2)中标供应商自动放弃中标的；</w:t>
      </w:r>
    </w:p>
    <w:p>
      <w:pPr>
        <w:spacing w:line="460" w:lineRule="exact"/>
        <w:ind w:firstLine="420" w:firstLineChars="200"/>
        <w:rPr>
          <w:rFonts w:ascii="宋体" w:hAnsi="宋体"/>
          <w:szCs w:val="21"/>
        </w:rPr>
      </w:pPr>
      <w:r>
        <w:rPr>
          <w:rFonts w:hint="eastAsia" w:ascii="宋体" w:hAnsi="宋体"/>
          <w:szCs w:val="21"/>
        </w:rPr>
        <w:t>3)中标供应商在中标公告期结束之日起30个日历内(因中标供应商原因)未与招标人签订采购合同的；</w:t>
      </w:r>
    </w:p>
    <w:p>
      <w:pPr>
        <w:spacing w:line="460" w:lineRule="exact"/>
        <w:ind w:firstLine="420" w:firstLineChars="200"/>
        <w:rPr>
          <w:rFonts w:ascii="宋体" w:hAnsi="宋体"/>
          <w:szCs w:val="21"/>
        </w:rPr>
      </w:pPr>
      <w:r>
        <w:rPr>
          <w:rFonts w:hint="eastAsia" w:ascii="宋体" w:hAnsi="宋体"/>
          <w:szCs w:val="21"/>
        </w:rPr>
        <w:t>4)中标供应商因不可抗力原因未能如时供货或不能履行合同的；</w:t>
      </w:r>
    </w:p>
    <w:p>
      <w:pPr>
        <w:spacing w:line="460" w:lineRule="exact"/>
        <w:ind w:firstLine="420" w:firstLineChars="200"/>
        <w:rPr>
          <w:rFonts w:ascii="宋体" w:hAnsi="宋体"/>
          <w:szCs w:val="21"/>
        </w:rPr>
      </w:pPr>
      <w:r>
        <w:rPr>
          <w:rFonts w:hint="eastAsia" w:ascii="宋体" w:hAnsi="宋体"/>
          <w:szCs w:val="21"/>
        </w:rPr>
        <w:t>5)中标供应商未响应招标文件交货完工期的。</w:t>
      </w:r>
    </w:p>
    <w:p>
      <w:pPr>
        <w:spacing w:line="460" w:lineRule="exact"/>
        <w:ind w:firstLine="420" w:firstLineChars="200"/>
        <w:rPr>
          <w:rFonts w:ascii="宋体" w:hAnsi="宋体"/>
          <w:szCs w:val="21"/>
        </w:rPr>
      </w:pPr>
      <w:r>
        <w:rPr>
          <w:rFonts w:hint="eastAsia" w:ascii="宋体" w:hAnsi="宋体"/>
          <w:szCs w:val="21"/>
        </w:rPr>
        <w:t>7.4因中标供应商原因发生重大质量事故，除依约承担赔偿责任外，还将按有关质量管理办法规定执行。同时，招标人有权保留更换中标供应商的权利，并报相关行政主管部门处罚。</w:t>
      </w:r>
    </w:p>
    <w:p>
      <w:pPr>
        <w:spacing w:line="460" w:lineRule="exact"/>
        <w:ind w:firstLine="420" w:firstLineChars="200"/>
        <w:rPr>
          <w:rFonts w:ascii="宋体" w:hAnsi="宋体"/>
          <w:szCs w:val="21"/>
        </w:rPr>
      </w:pPr>
      <w:r>
        <w:rPr>
          <w:rFonts w:hint="eastAsia" w:ascii="宋体" w:hAnsi="宋体"/>
          <w:szCs w:val="21"/>
        </w:rPr>
        <w:t>7.5若发生死亡安全事故，除按国家有关安全管理规定及招标人有关安全管理办法执行外，并报相关行政主管部门处罚；发生重大安全事故或特大安全事故，除按国家有关安全管理规定及招标人有关安全管理办法执行外，招标人保留更换中标供应商，给招标人造成的损失，还应承担赔偿责任。</w:t>
      </w:r>
    </w:p>
    <w:p>
      <w:pPr>
        <w:spacing w:line="460" w:lineRule="exact"/>
        <w:ind w:firstLine="420" w:firstLineChars="200"/>
        <w:rPr>
          <w:rFonts w:ascii="宋体" w:hAnsi="宋体"/>
          <w:szCs w:val="21"/>
        </w:rPr>
      </w:pPr>
      <w:r>
        <w:rPr>
          <w:rFonts w:hint="eastAsia" w:ascii="宋体" w:hAnsi="宋体"/>
          <w:szCs w:val="21"/>
        </w:rPr>
        <w:t>7.6在明确违约责任后，中标供应商应在接到书面通知书起七天内支付违约金、赔偿金等。</w:t>
      </w:r>
    </w:p>
    <w:p>
      <w:pPr>
        <w:spacing w:line="460" w:lineRule="exact"/>
        <w:outlineLvl w:val="1"/>
        <w:rPr>
          <w:rFonts w:ascii="宋体" w:hAnsi="宋体"/>
          <w:b/>
          <w:bCs/>
          <w:szCs w:val="21"/>
        </w:rPr>
      </w:pPr>
      <w:bookmarkStart w:id="97" w:name="_Toc74326535"/>
      <w:bookmarkStart w:id="98" w:name="_Toc74083228"/>
      <w:bookmarkStart w:id="99" w:name="_Toc32"/>
      <w:bookmarkStart w:id="100" w:name="_Toc516232095"/>
      <w:r>
        <w:rPr>
          <w:rFonts w:hint="eastAsia" w:ascii="宋体" w:hAnsi="宋体"/>
          <w:b/>
          <w:bCs/>
          <w:szCs w:val="21"/>
        </w:rPr>
        <w:t>8、履约保证金:</w:t>
      </w:r>
      <w:bookmarkEnd w:id="97"/>
      <w:bookmarkEnd w:id="98"/>
    </w:p>
    <w:p>
      <w:pPr>
        <w:spacing w:line="460" w:lineRule="exact"/>
        <w:ind w:firstLine="420" w:firstLineChars="200"/>
        <w:rPr>
          <w:rFonts w:ascii="宋体" w:hAnsi="宋体"/>
          <w:szCs w:val="21"/>
        </w:rPr>
      </w:pPr>
      <w:r>
        <w:rPr>
          <w:rFonts w:hint="eastAsia" w:ascii="宋体" w:hAnsi="宋体"/>
          <w:szCs w:val="21"/>
        </w:rPr>
        <w:t>中标人应在合同签订前向招标人支付合同总价5%款项，作为履约保证金。待货物安装调试完毕交付招标人试用后，招标人根据招投标文件及合同要求组织验收合格情况下，中标人凭收讫货物的凭证和货物自检记录文件等材料交付招标人，招标人经审签程序后20个工作日内向中标人无息全额退回履约保证金。</w:t>
      </w:r>
    </w:p>
    <w:p>
      <w:pPr>
        <w:spacing w:line="460" w:lineRule="exact"/>
        <w:outlineLvl w:val="1"/>
        <w:rPr>
          <w:rFonts w:ascii="宋体" w:hAnsi="宋体"/>
          <w:b/>
          <w:bCs/>
          <w:szCs w:val="21"/>
        </w:rPr>
      </w:pPr>
      <w:bookmarkStart w:id="101" w:name="_Toc74326536"/>
      <w:bookmarkStart w:id="102" w:name="_Toc74083229"/>
      <w:r>
        <w:rPr>
          <w:rFonts w:hint="eastAsia" w:ascii="宋体" w:hAnsi="宋体"/>
          <w:b/>
          <w:bCs/>
          <w:szCs w:val="21"/>
        </w:rPr>
        <w:t>9、交货期：</w:t>
      </w:r>
      <w:bookmarkEnd w:id="101"/>
      <w:bookmarkEnd w:id="102"/>
    </w:p>
    <w:p>
      <w:pPr>
        <w:spacing w:line="460" w:lineRule="exact"/>
        <w:ind w:firstLine="420" w:firstLineChars="200"/>
        <w:rPr>
          <w:rFonts w:ascii="宋体" w:hAnsi="宋体"/>
          <w:szCs w:val="21"/>
        </w:rPr>
      </w:pPr>
      <w:r>
        <w:rPr>
          <w:rFonts w:hint="eastAsia" w:ascii="宋体" w:hAnsi="宋体"/>
          <w:szCs w:val="21"/>
        </w:rPr>
        <w:t>合同签订生效后，60个日历日内完成所有设备的供货、安装和调试，使设备能正常运行。</w:t>
      </w:r>
    </w:p>
    <w:p>
      <w:pPr>
        <w:spacing w:line="460" w:lineRule="exact"/>
        <w:outlineLvl w:val="1"/>
        <w:rPr>
          <w:rFonts w:ascii="宋体" w:hAnsi="宋体"/>
          <w:b/>
          <w:bCs/>
          <w:szCs w:val="21"/>
        </w:rPr>
      </w:pPr>
      <w:bookmarkStart w:id="103" w:name="_Toc74326537"/>
      <w:bookmarkStart w:id="104" w:name="_Toc74083230"/>
      <w:r>
        <w:rPr>
          <w:rFonts w:hint="eastAsia" w:ascii="宋体" w:hAnsi="宋体"/>
          <w:b/>
          <w:bCs/>
          <w:szCs w:val="21"/>
        </w:rPr>
        <w:t>10、其它要求</w:t>
      </w:r>
      <w:bookmarkEnd w:id="99"/>
      <w:bookmarkEnd w:id="100"/>
      <w:bookmarkEnd w:id="103"/>
      <w:bookmarkEnd w:id="104"/>
    </w:p>
    <w:p>
      <w:pPr>
        <w:spacing w:line="460" w:lineRule="exact"/>
        <w:ind w:firstLine="422" w:firstLineChars="200"/>
        <w:rPr>
          <w:rFonts w:ascii="宋体" w:hAnsi="宋体"/>
          <w:b/>
          <w:szCs w:val="21"/>
        </w:rPr>
      </w:pPr>
      <w:r>
        <w:rPr>
          <w:rFonts w:hint="eastAsia" w:ascii="宋体" w:hAnsi="宋体"/>
          <w:b/>
          <w:szCs w:val="21"/>
        </w:rPr>
        <w:t>10.1本项目所有机台设备必须提供原厂生产设备，不得提供贴牌生产的设备，否则视为验收不合格。</w:t>
      </w:r>
    </w:p>
    <w:p>
      <w:pPr>
        <w:spacing w:line="460" w:lineRule="exact"/>
        <w:ind w:firstLine="420" w:firstLineChars="200"/>
        <w:rPr>
          <w:rFonts w:ascii="宋体" w:hAnsi="宋体"/>
          <w:szCs w:val="21"/>
        </w:rPr>
      </w:pPr>
      <w:r>
        <w:rPr>
          <w:rFonts w:hint="eastAsia" w:ascii="宋体" w:hAnsi="宋体"/>
          <w:szCs w:val="21"/>
        </w:rPr>
        <w:t>10.2本项目不允许中标供应商以任何名义和理由进行转包，如有发现，招标人有权单方终止合同，视为中标供应商违约，中标供应商违约对招标人造成的损失的，需另行支付相应的赔偿。</w:t>
      </w:r>
    </w:p>
    <w:p>
      <w:pPr>
        <w:pStyle w:val="2"/>
      </w:pPr>
      <w:r>
        <w:rPr>
          <w:rFonts w:hint="eastAsia" w:ascii="宋体" w:hAnsi="宋体"/>
          <w:kern w:val="2"/>
          <w:szCs w:val="21"/>
        </w:rPr>
        <w:t>10.3本招标文件未明确的其它约定事项或条款，待招标人与中标供应商签订合同时，由双方协商订立。</w:t>
      </w:r>
    </w:p>
    <w:p>
      <w:pPr>
        <w:pageBreakBefore/>
        <w:pBdr>
          <w:top w:val="none" w:color="auto" w:sz="0" w:space="1"/>
          <w:left w:val="none" w:color="auto" w:sz="0" w:space="4"/>
          <w:bottom w:val="none" w:color="auto" w:sz="0" w:space="1"/>
          <w:right w:val="none" w:color="auto" w:sz="0" w:space="4"/>
        </w:pBdr>
        <w:spacing w:line="460" w:lineRule="exact"/>
        <w:ind w:firstLine="98" w:firstLineChars="27"/>
        <w:jc w:val="center"/>
        <w:outlineLvl w:val="1"/>
        <w:rPr>
          <w:rFonts w:ascii="宋体" w:hAnsi="宋体"/>
          <w:b/>
          <w:sz w:val="36"/>
        </w:rPr>
      </w:pPr>
      <w:bookmarkStart w:id="105" w:name="_Toc74326538"/>
      <w:r>
        <w:rPr>
          <w:rFonts w:hint="eastAsia" w:ascii="宋体" w:hAnsi="宋体"/>
          <w:b/>
          <w:sz w:val="36"/>
        </w:rPr>
        <w:t>第四章    评标标准和方法</w:t>
      </w:r>
      <w:bookmarkEnd w:id="105"/>
    </w:p>
    <w:p>
      <w:pPr>
        <w:spacing w:line="460" w:lineRule="exact"/>
        <w:ind w:firstLine="420" w:firstLineChars="200"/>
        <w:rPr>
          <w:rFonts w:ascii="宋体" w:hAnsi="宋体"/>
          <w:szCs w:val="21"/>
        </w:rPr>
      </w:pPr>
      <w:r>
        <w:rPr>
          <w:rFonts w:ascii="宋体" w:hAnsi="宋体"/>
          <w:szCs w:val="21"/>
        </w:rPr>
        <w:t>遵循“公开、公平、公正”和“诚实信用”的原则。评标委员会将按照规定对各投标人的投标文件采用相同的程序和标准进行评价和比较，评议过程严格按照采购文件的要求和条件进行</w:t>
      </w:r>
      <w:r>
        <w:rPr>
          <w:rFonts w:hint="eastAsia" w:ascii="宋体" w:hAnsi="宋体"/>
          <w:szCs w:val="21"/>
        </w:rPr>
        <w:t>，本项目推荐一名中标候选人</w:t>
      </w:r>
      <w:r>
        <w:rPr>
          <w:rFonts w:ascii="宋体" w:hAnsi="宋体"/>
          <w:szCs w:val="21"/>
        </w:rPr>
        <w:t>。</w:t>
      </w:r>
    </w:p>
    <w:p>
      <w:pPr>
        <w:pStyle w:val="2"/>
        <w:rPr>
          <w:rFonts w:ascii="宋体" w:hAnsi="宋体"/>
          <w:szCs w:val="21"/>
        </w:rPr>
      </w:pPr>
    </w:p>
    <w:p>
      <w:pPr>
        <w:spacing w:line="460" w:lineRule="exact"/>
        <w:ind w:firstLine="422" w:firstLineChars="200"/>
        <w:rPr>
          <w:rFonts w:ascii="宋体" w:hAnsi="宋体"/>
          <w:b/>
          <w:bCs/>
          <w:szCs w:val="21"/>
        </w:rPr>
      </w:pPr>
      <w:r>
        <w:rPr>
          <w:rFonts w:hint="eastAsia" w:ascii="宋体" w:hAnsi="宋体"/>
          <w:b/>
          <w:szCs w:val="21"/>
        </w:rPr>
        <w:t>一、合同包一：评标采用综合评分法</w:t>
      </w:r>
      <w:r>
        <w:rPr>
          <w:rFonts w:hint="eastAsia" w:ascii="宋体" w:hAnsi="宋体"/>
          <w:b/>
          <w:bCs/>
          <w:szCs w:val="21"/>
        </w:rPr>
        <w:t>。</w:t>
      </w:r>
    </w:p>
    <w:p>
      <w:pPr>
        <w:spacing w:line="460" w:lineRule="exact"/>
        <w:rPr>
          <w:rFonts w:ascii="宋体" w:hAnsi="宋体"/>
          <w:b/>
          <w:bCs/>
          <w:szCs w:val="21"/>
        </w:rPr>
      </w:pPr>
      <w:r>
        <w:rPr>
          <w:rFonts w:hint="eastAsia" w:ascii="宋体" w:hAnsi="宋体"/>
          <w:b/>
          <w:szCs w:val="21"/>
        </w:rPr>
        <w:t>（一）具体评分标准及步骤：</w:t>
      </w:r>
      <w:r>
        <w:rPr>
          <w:rFonts w:hint="eastAsia" w:ascii="宋体" w:hAnsi="宋体"/>
          <w:b/>
          <w:snapToGrid w:val="0"/>
          <w:kern w:val="0"/>
          <w:szCs w:val="21"/>
        </w:rPr>
        <w:t>本项目实行两阶段评标，第一阶段评技术商务部分，第二阶段评报价部分。</w:t>
      </w:r>
    </w:p>
    <w:p>
      <w:pPr>
        <w:spacing w:line="460" w:lineRule="exact"/>
        <w:ind w:firstLine="472" w:firstLineChars="225"/>
        <w:rPr>
          <w:rFonts w:ascii="宋体" w:hAnsi="宋体"/>
          <w:bCs/>
          <w:szCs w:val="21"/>
        </w:rPr>
      </w:pPr>
      <w:r>
        <w:rPr>
          <w:rFonts w:hint="eastAsia" w:ascii="宋体" w:hAnsi="宋体"/>
          <w:bCs/>
          <w:szCs w:val="21"/>
        </w:rPr>
        <w:t>具体评分标准：评标委员会将对通过资格及响应性审查的各合格投标人根据以下标准和方法进行评估。评分将按报价部分、技术商务部分分别进行，计算出各合格投标人的综合得分。</w:t>
      </w:r>
    </w:p>
    <w:p>
      <w:pPr>
        <w:adjustRightInd w:val="0"/>
        <w:snapToGrid w:val="0"/>
        <w:spacing w:line="460" w:lineRule="exact"/>
        <w:ind w:firstLine="310" w:firstLineChars="147"/>
        <w:rPr>
          <w:rFonts w:ascii="宋体" w:hAnsi="宋体"/>
          <w:snapToGrid w:val="0"/>
          <w:kern w:val="0"/>
          <w:szCs w:val="21"/>
        </w:rPr>
      </w:pPr>
      <w:r>
        <w:rPr>
          <w:rFonts w:hint="eastAsia" w:ascii="宋体" w:hAnsi="宋体"/>
          <w:b/>
          <w:snapToGrid w:val="0"/>
          <w:kern w:val="0"/>
          <w:szCs w:val="21"/>
        </w:rPr>
        <w:t>1、第一阶段进行技术商务部分评标，</w:t>
      </w:r>
      <w:r>
        <w:rPr>
          <w:rFonts w:hint="eastAsia" w:ascii="宋体" w:hAnsi="宋体"/>
          <w:snapToGrid w:val="0"/>
          <w:kern w:val="0"/>
          <w:szCs w:val="21"/>
        </w:rPr>
        <w:t>开标一览表及报价部分投标文件在唱标后、商务技术部分评分结束前先密封保管，招标人、代理机构不得将投标人的报价向评委公布。</w:t>
      </w:r>
      <w:r>
        <w:rPr>
          <w:rFonts w:hint="eastAsia" w:ascii="宋体" w:hAnsi="宋体"/>
          <w:spacing w:val="-2"/>
          <w:szCs w:val="21"/>
        </w:rPr>
        <w:t>评标委员会按照招标文件规定的评标方法和标准，对通过资格及符合性审查的技术商务部分进行评审</w:t>
      </w:r>
      <w:r>
        <w:rPr>
          <w:rFonts w:hint="eastAsia" w:ascii="宋体" w:hAnsi="宋体"/>
          <w:snapToGrid w:val="0"/>
          <w:kern w:val="0"/>
          <w:szCs w:val="21"/>
        </w:rPr>
        <w:t>，评出实质性响应招标文件技术商务要求的投标人，并计算出各投标人技术商务部分的得分。</w:t>
      </w:r>
    </w:p>
    <w:p>
      <w:pPr>
        <w:adjustRightInd w:val="0"/>
        <w:snapToGrid w:val="0"/>
        <w:spacing w:line="460" w:lineRule="exact"/>
        <w:ind w:firstLine="310" w:firstLineChars="147"/>
        <w:rPr>
          <w:rFonts w:ascii="宋体" w:hAnsi="宋体"/>
          <w:snapToGrid w:val="0"/>
          <w:kern w:val="0"/>
          <w:szCs w:val="21"/>
        </w:rPr>
      </w:pPr>
      <w:r>
        <w:rPr>
          <w:rFonts w:hint="eastAsia" w:ascii="宋体" w:hAnsi="宋体"/>
          <w:b/>
          <w:snapToGrid w:val="0"/>
          <w:kern w:val="0"/>
          <w:szCs w:val="21"/>
        </w:rPr>
        <w:t>2、第二阶段进行价格部分评标，</w:t>
      </w:r>
      <w:r>
        <w:rPr>
          <w:rFonts w:hint="eastAsia" w:ascii="宋体" w:hAnsi="宋体"/>
          <w:snapToGrid w:val="0"/>
          <w:kern w:val="0"/>
          <w:szCs w:val="21"/>
        </w:rPr>
        <w:t>经第一阶段评选出的实质性响应招标文件技术商务要求的投标人进入第二阶段评标。评标委员会按招标文件规定的评标方法和标准，评出实质性响应招标文件报价要求的投标人，并计算出各投标人价格部分的得分。</w:t>
      </w:r>
    </w:p>
    <w:p>
      <w:pPr>
        <w:adjustRightInd w:val="0"/>
        <w:snapToGrid w:val="0"/>
        <w:spacing w:line="460" w:lineRule="exact"/>
        <w:ind w:firstLine="310" w:firstLineChars="147"/>
        <w:rPr>
          <w:rFonts w:ascii="宋体" w:hAnsi="宋体"/>
          <w:szCs w:val="21"/>
        </w:rPr>
      </w:pPr>
      <w:r>
        <w:rPr>
          <w:rFonts w:hint="eastAsia" w:ascii="宋体" w:hAnsi="宋体"/>
          <w:b/>
          <w:snapToGrid w:val="0"/>
          <w:kern w:val="0"/>
          <w:szCs w:val="21"/>
        </w:rPr>
        <w:t>3、按照两阶段评标加总后的总得分由高到低排序，根据招标文件的规定推荐中标候选人</w:t>
      </w:r>
      <w:r>
        <w:rPr>
          <w:rFonts w:hint="eastAsia" w:ascii="宋体" w:hAnsi="宋体"/>
          <w:b/>
          <w:szCs w:val="21"/>
        </w:rPr>
        <w:t>（仅推荐排序第一名为中标候选人）。</w:t>
      </w:r>
      <w:r>
        <w:rPr>
          <w:rFonts w:hint="eastAsia" w:ascii="宋体" w:hAnsi="宋体"/>
          <w:szCs w:val="21"/>
        </w:rPr>
        <w:t>若有相同的最高得分，则其中投标总价低的投标人将被排序在前；若有相同的最高得分且投标报价相同的，则按技术部分得分从高到低顺序进行排列，技术部分得分最高的投标人将被排序在前，若均相同则随机抽取中标人。</w:t>
      </w:r>
    </w:p>
    <w:p>
      <w:pPr>
        <w:adjustRightInd w:val="0"/>
        <w:snapToGrid w:val="0"/>
        <w:spacing w:line="460" w:lineRule="exact"/>
        <w:rPr>
          <w:rFonts w:ascii="宋体" w:hAnsi="宋体"/>
          <w:b/>
          <w:szCs w:val="21"/>
        </w:rPr>
      </w:pPr>
      <w:r>
        <w:rPr>
          <w:rFonts w:hint="eastAsia" w:ascii="宋体" w:hAnsi="宋体"/>
          <w:b/>
          <w:szCs w:val="21"/>
        </w:rPr>
        <w:t>（二）、各部分评分分值分布如下：</w:t>
      </w:r>
    </w:p>
    <w:p>
      <w:pPr>
        <w:adjustRightInd w:val="0"/>
        <w:snapToGrid w:val="0"/>
        <w:spacing w:line="460" w:lineRule="exact"/>
        <w:rPr>
          <w:rFonts w:ascii="宋体" w:hAnsi="宋体" w:cs="宋体"/>
          <w:b/>
          <w:bCs/>
          <w:szCs w:val="21"/>
        </w:rPr>
      </w:pPr>
      <w:r>
        <w:rPr>
          <w:rFonts w:hint="eastAsia" w:ascii="宋体" w:hAnsi="宋体" w:cs="宋体"/>
          <w:b/>
          <w:bCs/>
          <w:szCs w:val="21"/>
        </w:rPr>
        <w:t>报价部分评分               满分40分</w:t>
      </w:r>
    </w:p>
    <w:p>
      <w:pPr>
        <w:adjustRightInd w:val="0"/>
        <w:snapToGrid w:val="0"/>
        <w:spacing w:line="460" w:lineRule="exact"/>
        <w:rPr>
          <w:rFonts w:ascii="宋体" w:hAnsi="宋体" w:cs="宋体"/>
          <w:b/>
          <w:bCs/>
          <w:szCs w:val="21"/>
        </w:rPr>
      </w:pPr>
      <w:r>
        <w:rPr>
          <w:rFonts w:hint="eastAsia" w:ascii="宋体" w:hAnsi="宋体" w:cs="宋体"/>
          <w:b/>
          <w:bCs/>
          <w:szCs w:val="21"/>
        </w:rPr>
        <w:t>商务部分评分               满分15分</w:t>
      </w:r>
    </w:p>
    <w:p>
      <w:pPr>
        <w:adjustRightInd w:val="0"/>
        <w:snapToGrid w:val="0"/>
        <w:spacing w:line="460" w:lineRule="exact"/>
        <w:rPr>
          <w:rFonts w:ascii="宋体" w:hAnsi="宋体" w:cs="宋体"/>
          <w:b/>
          <w:bCs/>
          <w:szCs w:val="21"/>
        </w:rPr>
      </w:pPr>
      <w:r>
        <w:rPr>
          <w:rFonts w:hint="eastAsia" w:ascii="宋体" w:hAnsi="宋体" w:cs="宋体"/>
          <w:b/>
          <w:bCs/>
          <w:szCs w:val="21"/>
        </w:rPr>
        <w:t>技术部分评分               满分45分</w:t>
      </w:r>
    </w:p>
    <w:p>
      <w:pPr>
        <w:spacing w:line="460" w:lineRule="exact"/>
        <w:rPr>
          <w:rFonts w:ascii="宋体" w:hAnsi="宋体" w:cs="宋体"/>
          <w:bCs/>
          <w:szCs w:val="21"/>
        </w:rPr>
      </w:pPr>
      <w:r>
        <w:rPr>
          <w:rFonts w:hint="eastAsia" w:ascii="宋体" w:hAnsi="宋体" w:cs="宋体"/>
          <w:kern w:val="0"/>
          <w:szCs w:val="21"/>
        </w:rPr>
        <w:t>每个供应商的综合得分为：报价部分+商务部分+技术部分。</w:t>
      </w:r>
    </w:p>
    <w:tbl>
      <w:tblPr>
        <w:tblStyle w:val="36"/>
        <w:tblW w:w="9427"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21"/>
        <w:gridCol w:w="6385"/>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07" w:type="dxa"/>
            <w:vAlign w:val="center"/>
          </w:tcPr>
          <w:p>
            <w:pPr>
              <w:widowControl/>
              <w:spacing w:line="460" w:lineRule="exact"/>
              <w:jc w:val="center"/>
              <w:rPr>
                <w:rFonts w:ascii="宋体" w:hAnsi="宋体" w:cs="宋体"/>
                <w:b/>
                <w:bCs/>
                <w:kern w:val="0"/>
                <w:szCs w:val="21"/>
              </w:rPr>
            </w:pPr>
            <w:r>
              <w:rPr>
                <w:rFonts w:hint="eastAsia" w:ascii="宋体" w:hAnsi="宋体" w:cs="宋体"/>
                <w:b/>
                <w:bCs/>
                <w:kern w:val="0"/>
                <w:szCs w:val="21"/>
              </w:rPr>
              <w:t>总项</w:t>
            </w:r>
          </w:p>
        </w:tc>
        <w:tc>
          <w:tcPr>
            <w:tcW w:w="1121" w:type="dxa"/>
            <w:vAlign w:val="center"/>
          </w:tcPr>
          <w:p>
            <w:pPr>
              <w:widowControl/>
              <w:spacing w:line="460" w:lineRule="exact"/>
              <w:jc w:val="center"/>
              <w:rPr>
                <w:rFonts w:ascii="宋体" w:hAnsi="宋体" w:cs="宋体"/>
                <w:b/>
                <w:bCs/>
                <w:kern w:val="0"/>
                <w:szCs w:val="21"/>
              </w:rPr>
            </w:pPr>
            <w:r>
              <w:rPr>
                <w:rFonts w:hint="eastAsia" w:ascii="宋体" w:hAnsi="宋体" w:cs="宋体"/>
                <w:b/>
                <w:bCs/>
                <w:kern w:val="0"/>
                <w:szCs w:val="21"/>
              </w:rPr>
              <w:t>分项</w:t>
            </w:r>
          </w:p>
        </w:tc>
        <w:tc>
          <w:tcPr>
            <w:tcW w:w="6385" w:type="dxa"/>
            <w:vAlign w:val="center"/>
          </w:tcPr>
          <w:p>
            <w:pPr>
              <w:widowControl/>
              <w:spacing w:line="460" w:lineRule="exact"/>
              <w:jc w:val="center"/>
              <w:rPr>
                <w:rFonts w:ascii="宋体" w:hAnsi="宋体" w:cs="宋体"/>
                <w:b/>
                <w:bCs/>
                <w:kern w:val="0"/>
                <w:szCs w:val="21"/>
              </w:rPr>
            </w:pPr>
            <w:r>
              <w:rPr>
                <w:rFonts w:hint="eastAsia" w:ascii="宋体" w:hAnsi="宋体" w:cs="宋体"/>
                <w:b/>
                <w:bCs/>
                <w:kern w:val="0"/>
                <w:szCs w:val="21"/>
              </w:rPr>
              <w:t>评价要点</w:t>
            </w:r>
          </w:p>
        </w:tc>
        <w:tc>
          <w:tcPr>
            <w:tcW w:w="814" w:type="dxa"/>
            <w:vAlign w:val="center"/>
          </w:tcPr>
          <w:p>
            <w:pPr>
              <w:widowControl/>
              <w:spacing w:line="460" w:lineRule="exact"/>
              <w:jc w:val="center"/>
              <w:rPr>
                <w:rFonts w:ascii="宋体" w:hAnsi="宋体" w:cs="宋体"/>
                <w:b/>
                <w:bCs/>
                <w:kern w:val="0"/>
                <w:szCs w:val="21"/>
              </w:rPr>
            </w:pPr>
            <w:r>
              <w:rPr>
                <w:rFonts w:hint="eastAsia" w:ascii="宋体" w:hAnsi="宋体" w:cs="宋体"/>
                <w:b/>
                <w:bCs/>
                <w:kern w:val="0"/>
                <w:szCs w:val="21"/>
              </w:rPr>
              <w:t>满分分值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107" w:type="dxa"/>
            <w:vMerge w:val="restart"/>
            <w:vAlign w:val="center"/>
          </w:tcPr>
          <w:p>
            <w:pPr>
              <w:widowControl/>
              <w:spacing w:line="460" w:lineRule="exact"/>
              <w:jc w:val="center"/>
              <w:rPr>
                <w:rFonts w:ascii="宋体" w:hAnsi="宋体" w:cs="宋体"/>
                <w:b/>
                <w:bCs/>
                <w:kern w:val="0"/>
                <w:szCs w:val="21"/>
              </w:rPr>
            </w:pPr>
            <w:r>
              <w:rPr>
                <w:rFonts w:hint="eastAsia" w:ascii="宋体" w:hAnsi="宋体" w:cs="宋体"/>
                <w:kern w:val="0"/>
                <w:szCs w:val="21"/>
              </w:rPr>
              <w:t>商务部分</w:t>
            </w:r>
            <w:r>
              <w:rPr>
                <w:rFonts w:hint="eastAsia" w:ascii="宋体" w:hAnsi="宋体" w:cs="宋体"/>
                <w:kern w:val="0"/>
                <w:szCs w:val="21"/>
              </w:rPr>
              <w:br w:type="textWrapping"/>
            </w:r>
            <w:r>
              <w:rPr>
                <w:rFonts w:hint="eastAsia" w:ascii="宋体" w:hAnsi="宋体" w:cs="宋体"/>
                <w:kern w:val="0"/>
                <w:szCs w:val="21"/>
              </w:rPr>
              <w:t>（15分）</w:t>
            </w:r>
          </w:p>
        </w:tc>
        <w:tc>
          <w:tcPr>
            <w:tcW w:w="1121" w:type="dxa"/>
            <w:vAlign w:val="center"/>
          </w:tcPr>
          <w:p>
            <w:pPr>
              <w:widowControl/>
              <w:spacing w:line="460" w:lineRule="exact"/>
              <w:jc w:val="center"/>
              <w:rPr>
                <w:rFonts w:ascii="宋体" w:hAnsi="宋体" w:cs="宋体"/>
                <w:kern w:val="0"/>
                <w:szCs w:val="21"/>
              </w:rPr>
            </w:pPr>
            <w:r>
              <w:rPr>
                <w:rFonts w:hint="eastAsia" w:ascii="宋体" w:hAnsi="宋体" w:cs="宋体"/>
                <w:kern w:val="0"/>
                <w:szCs w:val="21"/>
              </w:rPr>
              <w:t>综合实力</w:t>
            </w:r>
          </w:p>
        </w:tc>
        <w:tc>
          <w:tcPr>
            <w:tcW w:w="6385" w:type="dxa"/>
            <w:vAlign w:val="center"/>
          </w:tcPr>
          <w:p>
            <w:pPr>
              <w:spacing w:line="460" w:lineRule="exact"/>
              <w:ind w:firstLine="420" w:firstLineChars="200"/>
              <w:rPr>
                <w:rFonts w:ascii="宋体" w:hAnsi="宋体"/>
                <w:szCs w:val="21"/>
              </w:rPr>
            </w:pPr>
            <w:r>
              <w:rPr>
                <w:rFonts w:hint="eastAsia" w:ascii="宋体" w:hAnsi="宋体"/>
                <w:szCs w:val="21"/>
              </w:rPr>
              <w:t>1.投标人通过质量管理体系认证、环境管理体系认证和职业安全卫生管理体系认证的得3分。每缺一项扣1分。</w:t>
            </w:r>
          </w:p>
        </w:tc>
        <w:tc>
          <w:tcPr>
            <w:tcW w:w="814" w:type="dxa"/>
            <w:vAlign w:val="center"/>
          </w:tcPr>
          <w:p>
            <w:pPr>
              <w:widowControl/>
              <w:spacing w:line="460" w:lineRule="exact"/>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107" w:type="dxa"/>
            <w:vMerge w:val="continue"/>
            <w:vAlign w:val="center"/>
          </w:tcPr>
          <w:p>
            <w:pPr>
              <w:widowControl/>
              <w:spacing w:line="460" w:lineRule="exact"/>
              <w:jc w:val="center"/>
              <w:rPr>
                <w:rFonts w:ascii="宋体" w:hAnsi="宋体" w:cs="宋体"/>
                <w:kern w:val="0"/>
                <w:szCs w:val="21"/>
              </w:rPr>
            </w:pPr>
          </w:p>
        </w:tc>
        <w:tc>
          <w:tcPr>
            <w:tcW w:w="1121" w:type="dxa"/>
            <w:vAlign w:val="center"/>
          </w:tcPr>
          <w:p>
            <w:pPr>
              <w:widowControl/>
              <w:spacing w:line="460" w:lineRule="exact"/>
              <w:jc w:val="center"/>
              <w:rPr>
                <w:rFonts w:ascii="宋体" w:hAnsi="宋体" w:cs="宋体"/>
                <w:kern w:val="0"/>
                <w:szCs w:val="21"/>
              </w:rPr>
            </w:pPr>
          </w:p>
        </w:tc>
        <w:tc>
          <w:tcPr>
            <w:tcW w:w="6385" w:type="dxa"/>
            <w:vAlign w:val="center"/>
          </w:tcPr>
          <w:p>
            <w:pPr>
              <w:spacing w:line="460" w:lineRule="exact"/>
              <w:ind w:firstLine="420" w:firstLineChars="200"/>
              <w:rPr>
                <w:rFonts w:ascii="宋体" w:hAnsi="宋体"/>
                <w:szCs w:val="21"/>
              </w:rPr>
            </w:pPr>
            <w:r>
              <w:rPr>
                <w:rFonts w:hint="eastAsia" w:ascii="宋体" w:hAnsi="宋体"/>
                <w:szCs w:val="21"/>
              </w:rPr>
              <w:t>2.投标人取得国家级高新技术企业的得3分，取得省级高新技术企业的得1分。需提供相关证明材料复印件并加盖公章（原件备查），未提供的本项得0分。</w:t>
            </w:r>
          </w:p>
        </w:tc>
        <w:tc>
          <w:tcPr>
            <w:tcW w:w="814" w:type="dxa"/>
            <w:vAlign w:val="center"/>
          </w:tcPr>
          <w:p>
            <w:pPr>
              <w:widowControl/>
              <w:spacing w:line="460" w:lineRule="exact"/>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107" w:type="dxa"/>
            <w:vMerge w:val="continue"/>
            <w:vAlign w:val="center"/>
          </w:tcPr>
          <w:p>
            <w:pPr>
              <w:widowControl/>
              <w:spacing w:line="460" w:lineRule="exact"/>
              <w:jc w:val="center"/>
              <w:rPr>
                <w:rFonts w:ascii="宋体" w:hAnsi="宋体" w:cs="宋体"/>
                <w:kern w:val="0"/>
                <w:szCs w:val="21"/>
              </w:rPr>
            </w:pPr>
          </w:p>
        </w:tc>
        <w:tc>
          <w:tcPr>
            <w:tcW w:w="1121" w:type="dxa"/>
            <w:vAlign w:val="center"/>
          </w:tcPr>
          <w:p>
            <w:pPr>
              <w:widowControl/>
              <w:spacing w:line="460" w:lineRule="exact"/>
              <w:jc w:val="center"/>
              <w:rPr>
                <w:rFonts w:ascii="宋体" w:hAnsi="宋体" w:cs="宋体"/>
                <w:kern w:val="0"/>
                <w:szCs w:val="21"/>
              </w:rPr>
            </w:pPr>
          </w:p>
        </w:tc>
        <w:tc>
          <w:tcPr>
            <w:tcW w:w="6385" w:type="dxa"/>
            <w:vAlign w:val="center"/>
          </w:tcPr>
          <w:p>
            <w:pPr>
              <w:spacing w:line="460" w:lineRule="exact"/>
              <w:ind w:firstLine="420" w:firstLineChars="200"/>
              <w:rPr>
                <w:rFonts w:ascii="宋体" w:hAnsi="宋体"/>
                <w:szCs w:val="21"/>
              </w:rPr>
            </w:pPr>
            <w:r>
              <w:rPr>
                <w:rFonts w:hint="eastAsia" w:ascii="宋体" w:hAnsi="宋体"/>
                <w:szCs w:val="21"/>
              </w:rPr>
              <w:t>3.根据投标人参与中华人民共和国工业和信息化部制定：《QB/T2380-2013工业缝纫机计算机控制高速平缝缝纫机》、《QB/T5111-2017工业缝纫机计算机控制高速侧切刀平缝缝纫机》、《QB/T 5227-2018 工业用缝纫机计算机控制高速针送料平缝缝纫机》、《QB/T4799-2015工业缝纫机计算机控制双针针送料平缝机》、《QB/T5328-2018 工业用缝纫机计算机控制带模板缝纫机》、《QB/T4388-2012工业缝纫机计算机控制高速包缝缝纫机》等行业技术标准并在该标准正式发布文本中的起草单位署名情况进行评分，标准主要起草单位中排列在前三位的每提供一项得0.5分、本项最高得3分；需提供相关证明材料复印件并加盖公章（原件核查），未提供的本项不得分</w:t>
            </w:r>
          </w:p>
        </w:tc>
        <w:tc>
          <w:tcPr>
            <w:tcW w:w="814" w:type="dxa"/>
            <w:vAlign w:val="center"/>
          </w:tcPr>
          <w:p>
            <w:pPr>
              <w:widowControl/>
              <w:spacing w:line="460" w:lineRule="exact"/>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107" w:type="dxa"/>
            <w:vMerge w:val="continue"/>
            <w:vAlign w:val="center"/>
          </w:tcPr>
          <w:p>
            <w:pPr>
              <w:widowControl/>
              <w:spacing w:line="460" w:lineRule="exact"/>
              <w:jc w:val="center"/>
              <w:rPr>
                <w:rFonts w:ascii="宋体" w:hAnsi="宋体" w:cs="宋体"/>
                <w:kern w:val="0"/>
                <w:szCs w:val="21"/>
              </w:rPr>
            </w:pPr>
          </w:p>
        </w:tc>
        <w:tc>
          <w:tcPr>
            <w:tcW w:w="1121" w:type="dxa"/>
            <w:vAlign w:val="center"/>
          </w:tcPr>
          <w:p>
            <w:pPr>
              <w:widowControl/>
              <w:spacing w:line="460" w:lineRule="exact"/>
              <w:jc w:val="center"/>
              <w:rPr>
                <w:rFonts w:ascii="宋体" w:hAnsi="宋体" w:cs="宋体"/>
                <w:kern w:val="0"/>
                <w:szCs w:val="21"/>
              </w:rPr>
            </w:pPr>
            <w:r>
              <w:rPr>
                <w:rFonts w:hint="eastAsia" w:ascii="宋体" w:hAnsi="宋体" w:cs="宋体"/>
                <w:kern w:val="0"/>
                <w:szCs w:val="21"/>
              </w:rPr>
              <w:t>售后服务</w:t>
            </w:r>
          </w:p>
        </w:tc>
        <w:tc>
          <w:tcPr>
            <w:tcW w:w="6385" w:type="dxa"/>
            <w:vAlign w:val="center"/>
          </w:tcPr>
          <w:p>
            <w:pPr>
              <w:spacing w:line="460" w:lineRule="exact"/>
              <w:ind w:firstLine="420" w:firstLineChars="200"/>
              <w:rPr>
                <w:rFonts w:ascii="宋体" w:hAnsi="宋体"/>
                <w:szCs w:val="21"/>
              </w:rPr>
            </w:pPr>
            <w:r>
              <w:rPr>
                <w:rFonts w:hint="eastAsia" w:ascii="宋体" w:hAnsi="宋体"/>
                <w:szCs w:val="21"/>
              </w:rPr>
              <w:t>4.投标人在响应招标文件“质保期和售后服务要求”的基础上参与评分，</w:t>
            </w:r>
            <w:r>
              <w:rPr>
                <w:rFonts w:hint="eastAsia" w:ascii="宋体" w:hAnsi="宋体"/>
                <w:b/>
                <w:bCs/>
                <w:szCs w:val="21"/>
              </w:rPr>
              <w:t>投标文件不满足招标文件“质保期和售后服务要求”按无效标处理。</w:t>
            </w:r>
            <w:r>
              <w:rPr>
                <w:rFonts w:hint="eastAsia" w:ascii="宋体" w:hAnsi="宋体"/>
                <w:szCs w:val="21"/>
              </w:rPr>
              <w:t>在两年保修服务期（设备使用说明书备注的易损件除外）基础上，另再延长免费保修期年限，每增加一年加1分，本项最高得3分。</w:t>
            </w:r>
          </w:p>
        </w:tc>
        <w:tc>
          <w:tcPr>
            <w:tcW w:w="814" w:type="dxa"/>
            <w:vAlign w:val="center"/>
          </w:tcPr>
          <w:p>
            <w:pPr>
              <w:widowControl/>
              <w:spacing w:line="460" w:lineRule="exact"/>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07" w:type="dxa"/>
            <w:vMerge w:val="continue"/>
            <w:vAlign w:val="center"/>
          </w:tcPr>
          <w:p>
            <w:pPr>
              <w:widowControl/>
              <w:spacing w:line="460" w:lineRule="exact"/>
              <w:jc w:val="center"/>
              <w:rPr>
                <w:rFonts w:ascii="宋体" w:hAnsi="宋体" w:cs="宋体"/>
                <w:kern w:val="0"/>
                <w:szCs w:val="21"/>
              </w:rPr>
            </w:pPr>
          </w:p>
        </w:tc>
        <w:tc>
          <w:tcPr>
            <w:tcW w:w="1121" w:type="dxa"/>
            <w:vAlign w:val="center"/>
          </w:tcPr>
          <w:p>
            <w:pPr>
              <w:widowControl/>
              <w:spacing w:line="460" w:lineRule="exact"/>
              <w:jc w:val="center"/>
              <w:rPr>
                <w:rFonts w:ascii="宋体" w:hAnsi="宋体" w:cs="宋体"/>
                <w:kern w:val="0"/>
                <w:szCs w:val="21"/>
              </w:rPr>
            </w:pPr>
            <w:r>
              <w:rPr>
                <w:rFonts w:hint="eastAsia" w:ascii="宋体" w:hAnsi="宋体" w:cs="宋体"/>
                <w:kern w:val="0"/>
                <w:szCs w:val="21"/>
              </w:rPr>
              <w:t>业绩</w:t>
            </w:r>
          </w:p>
        </w:tc>
        <w:tc>
          <w:tcPr>
            <w:tcW w:w="6385" w:type="dxa"/>
            <w:vAlign w:val="center"/>
          </w:tcPr>
          <w:p>
            <w:pPr>
              <w:spacing w:line="460" w:lineRule="exact"/>
              <w:ind w:firstLine="420" w:firstLineChars="200"/>
              <w:rPr>
                <w:rFonts w:ascii="宋体" w:hAnsi="宋体"/>
                <w:szCs w:val="21"/>
              </w:rPr>
            </w:pPr>
            <w:r>
              <w:rPr>
                <w:rFonts w:hint="eastAsia" w:ascii="宋体" w:hAnsi="宋体"/>
                <w:szCs w:val="21"/>
              </w:rPr>
              <w:t>5.根据各投标人所提供的2018年6月至本次投标截止日期（日期以验收报告为准）由投标人所完成的本合同类似产品的业绩情况进行打分，每提供一份得0.5分，本项最高得3分。</w:t>
            </w:r>
          </w:p>
          <w:p>
            <w:pPr>
              <w:spacing w:line="460" w:lineRule="exact"/>
              <w:ind w:firstLine="420" w:firstLineChars="200"/>
              <w:rPr>
                <w:rFonts w:ascii="宋体" w:hAnsi="宋体"/>
                <w:szCs w:val="21"/>
              </w:rPr>
            </w:pPr>
            <w:r>
              <w:rPr>
                <w:rFonts w:hint="eastAsia" w:ascii="宋体" w:hAnsi="宋体"/>
                <w:szCs w:val="21"/>
              </w:rPr>
              <w:t>投标人须提供以下两种材料之一以佐证，未提供的本项得0分：1.由第三方招标代理机构开展公开招投标项目的中标公告(提供相关网站中标公告的下载网页并注明网址)、中标通知书复印件、采购合同文本复印件，以及能够证明该业绩项目已经招标人验收合格的相关证明文件复印件(原件备查)；未同时提供上述材料，视为未提供。</w:t>
            </w:r>
          </w:p>
          <w:p>
            <w:pPr>
              <w:spacing w:line="460" w:lineRule="exact"/>
              <w:ind w:firstLine="420" w:firstLineChars="200"/>
              <w:rPr>
                <w:rFonts w:ascii="宋体" w:hAnsi="宋体"/>
                <w:szCs w:val="21"/>
              </w:rPr>
            </w:pPr>
            <w:r>
              <w:rPr>
                <w:rFonts w:hint="eastAsia" w:ascii="宋体" w:hAnsi="宋体"/>
                <w:szCs w:val="21"/>
              </w:rPr>
              <w:t>佐证材料须加盖投标人公章并注明复印件与原件一致，评标委员会将保留要求投标人提供原件予以核查的权利。评标过程中如发现填报不实，本项不得分。</w:t>
            </w:r>
          </w:p>
        </w:tc>
        <w:tc>
          <w:tcPr>
            <w:tcW w:w="814" w:type="dxa"/>
            <w:vAlign w:val="center"/>
          </w:tcPr>
          <w:p>
            <w:pPr>
              <w:widowControl/>
              <w:spacing w:line="460" w:lineRule="exact"/>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7" w:type="dxa"/>
            <w:vMerge w:val="restart"/>
            <w:vAlign w:val="center"/>
          </w:tcPr>
          <w:p>
            <w:pPr>
              <w:spacing w:line="460" w:lineRule="exact"/>
              <w:jc w:val="center"/>
              <w:rPr>
                <w:rFonts w:ascii="宋体" w:hAnsi="宋体" w:cs="宋体"/>
                <w:kern w:val="0"/>
                <w:szCs w:val="21"/>
              </w:rPr>
            </w:pPr>
            <w:r>
              <w:rPr>
                <w:rFonts w:hint="eastAsia" w:ascii="宋体" w:hAnsi="宋体" w:cs="宋体"/>
                <w:kern w:val="0"/>
                <w:szCs w:val="21"/>
              </w:rPr>
              <w:t>技术部分（45分）</w:t>
            </w:r>
          </w:p>
          <w:p>
            <w:pPr>
              <w:pStyle w:val="95"/>
              <w:spacing w:line="460" w:lineRule="exact"/>
              <w:rPr>
                <w:rFonts w:hAnsi="宋体"/>
                <w:color w:val="auto"/>
                <w:sz w:val="21"/>
                <w:szCs w:val="21"/>
              </w:rPr>
            </w:pPr>
          </w:p>
        </w:tc>
        <w:tc>
          <w:tcPr>
            <w:tcW w:w="1121" w:type="dxa"/>
            <w:vAlign w:val="center"/>
          </w:tcPr>
          <w:p>
            <w:pPr>
              <w:widowControl/>
              <w:spacing w:line="460" w:lineRule="exact"/>
              <w:jc w:val="center"/>
              <w:rPr>
                <w:rFonts w:ascii="宋体" w:hAnsi="宋体" w:cs="宋体"/>
                <w:kern w:val="0"/>
                <w:szCs w:val="21"/>
              </w:rPr>
            </w:pPr>
            <w:r>
              <w:rPr>
                <w:rFonts w:hint="eastAsia" w:ascii="宋体" w:hAnsi="宋体" w:cs="宋体"/>
                <w:kern w:val="0"/>
                <w:szCs w:val="21"/>
              </w:rPr>
              <w:t>技术响应情况</w:t>
            </w:r>
          </w:p>
        </w:tc>
        <w:tc>
          <w:tcPr>
            <w:tcW w:w="6385" w:type="dxa"/>
            <w:vAlign w:val="center"/>
          </w:tcPr>
          <w:p>
            <w:pPr>
              <w:spacing w:line="460" w:lineRule="exact"/>
              <w:ind w:firstLine="420" w:firstLineChars="200"/>
              <w:rPr>
                <w:rFonts w:ascii="宋体" w:hAnsi="宋体"/>
                <w:szCs w:val="21"/>
              </w:rPr>
            </w:pPr>
            <w:r>
              <w:rPr>
                <w:rFonts w:hint="eastAsia" w:ascii="宋体" w:hAnsi="宋体"/>
                <w:szCs w:val="21"/>
              </w:rPr>
              <w:t>1.根据供应商所报价产品对第三章《招标内容及要求》的二、技术参数要求的响应情况进行评议：技术参数中带“★”的为重要参数要求，不允许负偏离，若有负偏离的按无效投标处理；其余每一序号项技术参数须完整完全满足的得40分，每负偏离一项扣3分，扣完为止，正偏离不加分。</w:t>
            </w:r>
          </w:p>
          <w:p>
            <w:pPr>
              <w:spacing w:line="460" w:lineRule="exact"/>
              <w:ind w:firstLine="420" w:firstLineChars="200"/>
              <w:rPr>
                <w:rFonts w:ascii="宋体" w:hAnsi="宋体"/>
                <w:szCs w:val="21"/>
              </w:rPr>
            </w:pPr>
            <w:r>
              <w:rPr>
                <w:rFonts w:hint="eastAsia" w:ascii="宋体" w:hAnsi="宋体"/>
                <w:szCs w:val="21"/>
              </w:rPr>
              <w:t>佐证以上得分项必须以国家缝纫机质量监督检验中心出具的检验（检测）报告为准，投标人需提供检验报告原件或复印件（原件核查），未提供按废标处理或者扣分处理。</w:t>
            </w:r>
          </w:p>
        </w:tc>
        <w:tc>
          <w:tcPr>
            <w:tcW w:w="814" w:type="dxa"/>
            <w:vAlign w:val="center"/>
          </w:tcPr>
          <w:p>
            <w:pPr>
              <w:widowControl/>
              <w:spacing w:line="460" w:lineRule="exact"/>
              <w:jc w:val="center"/>
              <w:rPr>
                <w:rFonts w:ascii="宋体" w:hAnsi="宋体" w:cs="宋体"/>
                <w:kern w:val="0"/>
                <w:szCs w:val="21"/>
              </w:rPr>
            </w:pPr>
            <w:r>
              <w:rPr>
                <w:rFonts w:hint="eastAsia" w:ascii="宋体" w:hAnsi="宋体" w:cs="宋体"/>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07" w:type="dxa"/>
            <w:vMerge w:val="continue"/>
            <w:vAlign w:val="center"/>
          </w:tcPr>
          <w:p>
            <w:pPr>
              <w:spacing w:line="460" w:lineRule="exact"/>
              <w:jc w:val="center"/>
              <w:rPr>
                <w:rFonts w:ascii="宋体" w:hAnsi="宋体" w:cs="宋体"/>
                <w:kern w:val="0"/>
                <w:szCs w:val="21"/>
              </w:rPr>
            </w:pPr>
          </w:p>
        </w:tc>
        <w:tc>
          <w:tcPr>
            <w:tcW w:w="1121" w:type="dxa"/>
            <w:vAlign w:val="center"/>
          </w:tcPr>
          <w:p>
            <w:pPr>
              <w:widowControl/>
              <w:spacing w:line="460" w:lineRule="exact"/>
              <w:jc w:val="center"/>
              <w:rPr>
                <w:rFonts w:ascii="宋体" w:hAnsi="宋体" w:cs="宋体"/>
                <w:kern w:val="0"/>
                <w:szCs w:val="21"/>
              </w:rPr>
            </w:pPr>
            <w:r>
              <w:rPr>
                <w:rFonts w:hint="eastAsia" w:ascii="宋体" w:hAnsi="宋体" w:cs="宋体"/>
                <w:kern w:val="0"/>
                <w:szCs w:val="21"/>
              </w:rPr>
              <w:t>缝纫机机壳铸造车间</w:t>
            </w:r>
          </w:p>
        </w:tc>
        <w:tc>
          <w:tcPr>
            <w:tcW w:w="6385" w:type="dxa"/>
            <w:vAlign w:val="center"/>
          </w:tcPr>
          <w:p>
            <w:pPr>
              <w:spacing w:line="460" w:lineRule="exact"/>
              <w:ind w:firstLine="420" w:firstLineChars="200"/>
              <w:rPr>
                <w:rFonts w:ascii="宋体" w:hAnsi="宋体"/>
                <w:szCs w:val="21"/>
              </w:rPr>
            </w:pPr>
            <w:r>
              <w:rPr>
                <w:rFonts w:hint="eastAsia" w:ascii="宋体" w:hAnsi="宋体"/>
                <w:szCs w:val="21"/>
              </w:rPr>
              <w:t>2.投标人具有</w:t>
            </w:r>
            <w:r>
              <w:rPr>
                <w:rFonts w:hint="eastAsia" w:ascii="宋体" w:hAnsi="宋体"/>
                <w:b/>
                <w:bCs/>
                <w:szCs w:val="21"/>
              </w:rPr>
              <w:t>缝纫机机壳铸造车间</w:t>
            </w:r>
            <w:r>
              <w:rPr>
                <w:rFonts w:hint="eastAsia" w:ascii="宋体" w:hAnsi="宋体"/>
                <w:szCs w:val="21"/>
              </w:rPr>
              <w:t>的得2分。需提供相关证明材料复印件并加盖公章（原件备查），未提供的本项得0分</w:t>
            </w:r>
          </w:p>
        </w:tc>
        <w:tc>
          <w:tcPr>
            <w:tcW w:w="814" w:type="dxa"/>
            <w:vAlign w:val="center"/>
          </w:tcPr>
          <w:p>
            <w:pPr>
              <w:widowControl/>
              <w:spacing w:line="460" w:lineRule="exact"/>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107" w:type="dxa"/>
            <w:vMerge w:val="continue"/>
            <w:vAlign w:val="center"/>
          </w:tcPr>
          <w:p>
            <w:pPr>
              <w:spacing w:line="460" w:lineRule="exact"/>
              <w:jc w:val="center"/>
              <w:rPr>
                <w:rFonts w:ascii="宋体" w:hAnsi="宋体" w:cs="宋体"/>
                <w:kern w:val="0"/>
                <w:szCs w:val="21"/>
              </w:rPr>
            </w:pPr>
          </w:p>
        </w:tc>
        <w:tc>
          <w:tcPr>
            <w:tcW w:w="1121" w:type="dxa"/>
            <w:vAlign w:val="center"/>
          </w:tcPr>
          <w:p>
            <w:pPr>
              <w:widowControl/>
              <w:spacing w:line="460" w:lineRule="exact"/>
              <w:jc w:val="center"/>
              <w:rPr>
                <w:rFonts w:ascii="宋体" w:hAnsi="宋体"/>
                <w:szCs w:val="21"/>
              </w:rPr>
            </w:pPr>
            <w:r>
              <w:rPr>
                <w:rFonts w:hint="eastAsia" w:ascii="宋体" w:hAnsi="宋体"/>
                <w:szCs w:val="21"/>
              </w:rPr>
              <w:t>售后服务</w:t>
            </w:r>
            <w:r>
              <w:rPr>
                <w:rFonts w:hint="eastAsia" w:ascii="宋体" w:hAnsi="宋体" w:cs="宋体"/>
                <w:kern w:val="0"/>
                <w:szCs w:val="21"/>
              </w:rPr>
              <w:t>应急保障</w:t>
            </w:r>
          </w:p>
        </w:tc>
        <w:tc>
          <w:tcPr>
            <w:tcW w:w="6385" w:type="dxa"/>
            <w:vAlign w:val="center"/>
          </w:tcPr>
          <w:p>
            <w:pPr>
              <w:spacing w:line="460" w:lineRule="exact"/>
              <w:ind w:firstLine="420" w:firstLineChars="200"/>
              <w:rPr>
                <w:rFonts w:ascii="宋体" w:hAnsi="宋体"/>
                <w:szCs w:val="21"/>
              </w:rPr>
            </w:pPr>
            <w:r>
              <w:rPr>
                <w:rFonts w:hint="eastAsia" w:ascii="宋体" w:hAnsi="宋体"/>
                <w:szCs w:val="21"/>
              </w:rPr>
              <w:t>3.为保障售后服务的便捷性、时效性，根据各投标人在项目所在地具有设立的专业缝纫设备售后服务点的情况、应急时效情况、专职服务人员、点对点距离、承诺解决问题时间等进行横向比较，优的得3分；良的得2分；一般的得1分，须提供相关有效证明材料复印件，如售后服务点营业执照，售后服务专职技术服务人员名单与联系方式、应急时效情况承诺、和提供专职技术人员到招标单位常驻服务名单、以及售后点距离情况。</w:t>
            </w:r>
          </w:p>
        </w:tc>
        <w:tc>
          <w:tcPr>
            <w:tcW w:w="814" w:type="dxa"/>
            <w:vAlign w:val="center"/>
          </w:tcPr>
          <w:p>
            <w:pPr>
              <w:widowControl/>
              <w:spacing w:line="460" w:lineRule="exact"/>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107" w:type="dxa"/>
            <w:vMerge w:val="continue"/>
            <w:vAlign w:val="center"/>
          </w:tcPr>
          <w:p>
            <w:pPr>
              <w:spacing w:line="460" w:lineRule="exact"/>
              <w:jc w:val="center"/>
              <w:rPr>
                <w:rFonts w:ascii="宋体" w:hAnsi="宋体" w:cs="宋体"/>
                <w:kern w:val="0"/>
                <w:szCs w:val="21"/>
              </w:rPr>
            </w:pPr>
          </w:p>
        </w:tc>
        <w:tc>
          <w:tcPr>
            <w:tcW w:w="8320" w:type="dxa"/>
            <w:gridSpan w:val="3"/>
            <w:vAlign w:val="center"/>
          </w:tcPr>
          <w:p>
            <w:pPr>
              <w:widowControl/>
              <w:spacing w:line="460" w:lineRule="exact"/>
              <w:jc w:val="left"/>
              <w:rPr>
                <w:rFonts w:ascii="宋体" w:hAnsi="宋体" w:cs="宋体"/>
                <w:kern w:val="0"/>
                <w:szCs w:val="21"/>
              </w:rPr>
            </w:pPr>
            <w:r>
              <w:rPr>
                <w:rFonts w:hint="eastAsia" w:ascii="宋体" w:hAnsi="宋体" w:cs="宋体"/>
                <w:b/>
                <w:szCs w:val="21"/>
                <w:lang w:val="zh-CN"/>
              </w:rPr>
              <w:t>技术部分实际得分少于招标文件设定的技术部分总分50%，即视为技术部分未实质性响应招标文件要求，按无效标处理。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07" w:type="dxa"/>
            <w:vAlign w:val="center"/>
          </w:tcPr>
          <w:p>
            <w:pPr>
              <w:widowControl/>
              <w:spacing w:line="460" w:lineRule="exact"/>
              <w:jc w:val="center"/>
              <w:rPr>
                <w:rFonts w:ascii="宋体" w:hAnsi="宋体" w:cs="宋体"/>
                <w:kern w:val="0"/>
                <w:szCs w:val="21"/>
              </w:rPr>
            </w:pPr>
            <w:r>
              <w:rPr>
                <w:rFonts w:hint="eastAsia" w:ascii="宋体" w:hAnsi="宋体" w:cs="宋体"/>
                <w:kern w:val="0"/>
                <w:szCs w:val="21"/>
              </w:rPr>
              <w:t>报价部分</w:t>
            </w:r>
            <w:r>
              <w:rPr>
                <w:rFonts w:hint="eastAsia" w:ascii="宋体" w:hAnsi="宋体" w:cs="宋体"/>
                <w:kern w:val="0"/>
                <w:szCs w:val="21"/>
              </w:rPr>
              <w:br w:type="textWrapping"/>
            </w:r>
            <w:r>
              <w:rPr>
                <w:rFonts w:hint="eastAsia" w:ascii="宋体" w:hAnsi="宋体" w:cs="宋体"/>
                <w:kern w:val="0"/>
                <w:szCs w:val="21"/>
              </w:rPr>
              <w:t>（40分）</w:t>
            </w:r>
          </w:p>
        </w:tc>
        <w:tc>
          <w:tcPr>
            <w:tcW w:w="1121" w:type="dxa"/>
            <w:vAlign w:val="center"/>
          </w:tcPr>
          <w:p>
            <w:pPr>
              <w:widowControl/>
              <w:spacing w:line="460" w:lineRule="exact"/>
              <w:jc w:val="center"/>
              <w:rPr>
                <w:rFonts w:ascii="宋体" w:hAnsi="宋体" w:cs="宋体"/>
                <w:kern w:val="0"/>
                <w:szCs w:val="21"/>
              </w:rPr>
            </w:pPr>
            <w:r>
              <w:rPr>
                <w:rFonts w:hint="eastAsia" w:ascii="宋体" w:hAnsi="宋体" w:cs="宋体"/>
                <w:kern w:val="0"/>
                <w:szCs w:val="21"/>
              </w:rPr>
              <w:t>总报价得分</w:t>
            </w:r>
          </w:p>
        </w:tc>
        <w:tc>
          <w:tcPr>
            <w:tcW w:w="6385" w:type="dxa"/>
            <w:vAlign w:val="center"/>
          </w:tcPr>
          <w:p>
            <w:pPr>
              <w:widowControl/>
              <w:snapToGrid w:val="0"/>
              <w:spacing w:line="460" w:lineRule="exact"/>
              <w:jc w:val="left"/>
              <w:rPr>
                <w:rFonts w:ascii="宋体" w:hAnsi="宋体" w:cs="宋体"/>
                <w:kern w:val="0"/>
                <w:szCs w:val="21"/>
              </w:rPr>
            </w:pPr>
            <w:r>
              <w:rPr>
                <w:rFonts w:hint="eastAsia" w:ascii="宋体" w:hAnsi="宋体" w:cs="宋体"/>
                <w:kern w:val="0"/>
                <w:szCs w:val="21"/>
              </w:rPr>
              <w:t>各合格投标人的报价得分按以下方式得出：</w:t>
            </w:r>
          </w:p>
          <w:p>
            <w:pPr>
              <w:widowControl/>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PF= F/Fn×45分</w:t>
            </w:r>
          </w:p>
          <w:p>
            <w:pPr>
              <w:widowControl/>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PF：投标人的报价得分</w:t>
            </w:r>
          </w:p>
          <w:p>
            <w:pPr>
              <w:widowControl/>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F： 评标基准价即合格投标人中有效的最低的投标报价</w:t>
            </w:r>
          </w:p>
          <w:p>
            <w:pPr>
              <w:snapToGrid w:val="0"/>
              <w:spacing w:line="460" w:lineRule="exact"/>
              <w:rPr>
                <w:rFonts w:ascii="宋体" w:hAnsi="宋体"/>
                <w:szCs w:val="21"/>
              </w:rPr>
            </w:pPr>
            <w:r>
              <w:rPr>
                <w:rFonts w:hint="eastAsia" w:ascii="宋体" w:hAnsi="宋体" w:cs="宋体"/>
                <w:kern w:val="0"/>
                <w:szCs w:val="21"/>
              </w:rPr>
              <w:t>Fn：各合格投标人的投标报价</w:t>
            </w:r>
          </w:p>
        </w:tc>
        <w:tc>
          <w:tcPr>
            <w:tcW w:w="814" w:type="dxa"/>
            <w:vAlign w:val="center"/>
          </w:tcPr>
          <w:p>
            <w:pPr>
              <w:widowControl/>
              <w:spacing w:line="460" w:lineRule="exact"/>
              <w:jc w:val="center"/>
              <w:rPr>
                <w:rFonts w:ascii="宋体" w:hAnsi="宋体" w:cs="宋体"/>
                <w:kern w:val="0"/>
                <w:szCs w:val="21"/>
              </w:rPr>
            </w:pPr>
            <w:r>
              <w:rPr>
                <w:rFonts w:hint="eastAsia" w:ascii="宋体" w:hAnsi="宋体" w:cs="宋体"/>
                <w:kern w:val="0"/>
                <w:szCs w:val="21"/>
              </w:rPr>
              <w:t>40</w:t>
            </w:r>
          </w:p>
        </w:tc>
      </w:tr>
    </w:tbl>
    <w:p>
      <w:pPr>
        <w:rPr>
          <w:rFonts w:ascii="宋体" w:hAnsi="宋体"/>
          <w:szCs w:val="21"/>
        </w:rPr>
      </w:pPr>
    </w:p>
    <w:p>
      <w:pPr>
        <w:rPr>
          <w:rFonts w:ascii="宋体" w:hAnsi="宋体"/>
          <w:szCs w:val="21"/>
        </w:rPr>
      </w:pPr>
    </w:p>
    <w:p>
      <w:pPr>
        <w:rPr>
          <w:rFonts w:ascii="宋体" w:hAnsi="宋体"/>
          <w:szCs w:val="21"/>
        </w:rPr>
      </w:pPr>
    </w:p>
    <w:p>
      <w:pPr>
        <w:jc w:val="center"/>
        <w:outlineLvl w:val="0"/>
        <w:rPr>
          <w:rFonts w:ascii="宋体" w:hAnsi="宋体"/>
          <w:b/>
          <w:sz w:val="36"/>
        </w:rPr>
      </w:pPr>
      <w:r>
        <w:rPr>
          <w:rFonts w:ascii="宋体" w:hAnsi="宋体"/>
          <w:b/>
          <w:sz w:val="36"/>
        </w:rPr>
        <w:br w:type="page"/>
      </w:r>
      <w:bookmarkStart w:id="106" w:name="_Toc74326539"/>
      <w:r>
        <w:rPr>
          <w:rFonts w:hint="eastAsia" w:ascii="宋体" w:hAnsi="宋体"/>
          <w:b/>
          <w:sz w:val="36"/>
        </w:rPr>
        <w:t xml:space="preserve">第五章    </w:t>
      </w:r>
      <w:bookmarkEnd w:id="73"/>
      <w:bookmarkStart w:id="107" w:name="_Toc14160"/>
      <w:r>
        <w:rPr>
          <w:rFonts w:hint="eastAsia" w:ascii="宋体" w:hAnsi="宋体"/>
          <w:b/>
          <w:sz w:val="36"/>
        </w:rPr>
        <w:t>采购合同（参考文本）</w:t>
      </w:r>
      <w:bookmarkEnd w:id="106"/>
    </w:p>
    <w:p>
      <w:pPr>
        <w:spacing w:line="360" w:lineRule="auto"/>
        <w:ind w:left="7875" w:leftChars="3400" w:hanging="735" w:hangingChars="350"/>
        <w:rPr>
          <w:rFonts w:ascii="宋体" w:hAnsi="宋体"/>
          <w:szCs w:val="21"/>
        </w:rPr>
      </w:pPr>
      <w:r>
        <w:rPr>
          <w:rFonts w:hint="eastAsia" w:ascii="宋体" w:hAnsi="宋体"/>
          <w:szCs w:val="21"/>
        </w:rPr>
        <w:t>合同号：</w:t>
      </w:r>
    </w:p>
    <w:p>
      <w:pPr>
        <w:spacing w:line="360" w:lineRule="auto"/>
        <w:rPr>
          <w:rFonts w:ascii="宋体" w:hAnsi="宋体"/>
          <w:szCs w:val="21"/>
        </w:rPr>
      </w:pPr>
      <w:r>
        <w:rPr>
          <w:rFonts w:hint="eastAsia" w:ascii="宋体" w:hAnsi="宋体"/>
          <w:szCs w:val="21"/>
        </w:rPr>
        <w:t>甲方</w:t>
      </w:r>
      <w:r>
        <w:rPr>
          <w:rFonts w:ascii="宋体" w:hAnsi="宋体"/>
          <w:szCs w:val="21"/>
        </w:rPr>
        <w:t>(</w:t>
      </w:r>
      <w:r>
        <w:rPr>
          <w:rFonts w:hint="eastAsia" w:ascii="宋体" w:hAnsi="宋体"/>
          <w:szCs w:val="21"/>
        </w:rPr>
        <w:t>采购人</w:t>
      </w:r>
      <w:r>
        <w:rPr>
          <w:rFonts w:ascii="宋体" w:hAnsi="宋体"/>
          <w:szCs w:val="21"/>
        </w:rPr>
        <w:t>)</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签定地点：                   </w:t>
      </w:r>
    </w:p>
    <w:p>
      <w:pPr>
        <w:spacing w:line="360" w:lineRule="auto"/>
        <w:rPr>
          <w:rFonts w:ascii="宋体" w:hAnsi="宋体"/>
          <w:szCs w:val="21"/>
        </w:rPr>
      </w:pPr>
      <w:r>
        <w:rPr>
          <w:rFonts w:hint="eastAsia" w:ascii="宋体" w:hAnsi="宋体"/>
          <w:szCs w:val="21"/>
        </w:rPr>
        <w:t>乙方（中标人）：                            签定日期：      年   月   日</w:t>
      </w:r>
    </w:p>
    <w:p>
      <w:pPr>
        <w:spacing w:line="360" w:lineRule="auto"/>
        <w:ind w:firstLine="480"/>
        <w:rPr>
          <w:rFonts w:ascii="宋体" w:hAnsi="宋体"/>
          <w:szCs w:val="21"/>
        </w:rPr>
      </w:pPr>
      <w:r>
        <w:rPr>
          <w:rFonts w:hint="eastAsia" w:ascii="宋体" w:hAnsi="宋体"/>
          <w:szCs w:val="21"/>
        </w:rPr>
        <w:t>甲方委托(</w:t>
      </w:r>
      <w:r>
        <w:rPr>
          <w:rFonts w:hint="eastAsia" w:ascii="宋体" w:hAnsi="宋体"/>
          <w:szCs w:val="21"/>
          <w:u w:val="single"/>
        </w:rPr>
        <w:t>招标代理机构</w:t>
      </w:r>
      <w:r>
        <w:rPr>
          <w:rFonts w:hint="eastAsia" w:ascii="宋体" w:hAnsi="宋体"/>
          <w:szCs w:val="21"/>
        </w:rPr>
        <w:t>)对</w:t>
      </w:r>
      <w:r>
        <w:rPr>
          <w:rFonts w:hint="eastAsia" w:ascii="宋体" w:hAnsi="宋体"/>
          <w:szCs w:val="21"/>
          <w:u w:val="single"/>
        </w:rPr>
        <w:t xml:space="preserve">       </w:t>
      </w:r>
      <w:r>
        <w:rPr>
          <w:rFonts w:hint="eastAsia" w:ascii="宋体" w:hAnsi="宋体"/>
          <w:szCs w:val="21"/>
        </w:rPr>
        <w:t>进行招标采购（招标编号：</w:t>
      </w:r>
      <w:r>
        <w:rPr>
          <w:rFonts w:hint="eastAsia" w:ascii="宋体" w:hAnsi="宋体"/>
          <w:szCs w:val="21"/>
          <w:u w:val="single"/>
        </w:rPr>
        <w:t xml:space="preserve">     </w:t>
      </w:r>
      <w:r>
        <w:rPr>
          <w:rFonts w:hint="eastAsia" w:ascii="宋体" w:hAnsi="宋体"/>
          <w:szCs w:val="21"/>
        </w:rPr>
        <w:t>）的招标结果，乙方为中标人，现依照招标文件、投标文件及相关文件的内容，双方达成如下协议：</w:t>
      </w:r>
    </w:p>
    <w:p>
      <w:pPr>
        <w:spacing w:line="360" w:lineRule="auto"/>
        <w:ind w:firstLine="480"/>
        <w:rPr>
          <w:rFonts w:ascii="宋体" w:hAnsi="宋体"/>
          <w:szCs w:val="21"/>
        </w:rPr>
      </w:pPr>
      <w:r>
        <w:rPr>
          <w:rFonts w:hint="eastAsia" w:ascii="宋体" w:hAnsi="宋体"/>
          <w:szCs w:val="21"/>
        </w:rPr>
        <w:t>1、合同标的和合同价格</w:t>
      </w:r>
    </w:p>
    <w:tbl>
      <w:tblPr>
        <w:tblStyle w:val="3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582"/>
        <w:gridCol w:w="1236"/>
        <w:gridCol w:w="824"/>
        <w:gridCol w:w="824"/>
        <w:gridCol w:w="1030"/>
        <w:gridCol w:w="927"/>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bottom w:val="single" w:color="auto" w:sz="4" w:space="0"/>
            </w:tcBorders>
          </w:tcPr>
          <w:p>
            <w:pPr>
              <w:spacing w:line="360" w:lineRule="auto"/>
              <w:rPr>
                <w:rFonts w:ascii="宋体" w:hAnsi="宋体"/>
                <w:szCs w:val="21"/>
              </w:rPr>
            </w:pPr>
            <w:r>
              <w:rPr>
                <w:rFonts w:hint="eastAsia" w:ascii="宋体" w:hAnsi="宋体"/>
                <w:szCs w:val="21"/>
              </w:rPr>
              <w:t>产品名称</w:t>
            </w:r>
          </w:p>
        </w:tc>
        <w:tc>
          <w:tcPr>
            <w:tcW w:w="1582" w:type="dxa"/>
            <w:tcBorders>
              <w:bottom w:val="single" w:color="auto" w:sz="4" w:space="0"/>
            </w:tcBorders>
          </w:tcPr>
          <w:p>
            <w:pPr>
              <w:spacing w:line="360" w:lineRule="auto"/>
              <w:rPr>
                <w:rFonts w:ascii="宋体" w:hAnsi="宋体"/>
                <w:szCs w:val="21"/>
              </w:rPr>
            </w:pPr>
            <w:r>
              <w:rPr>
                <w:rFonts w:hint="eastAsia" w:ascii="宋体" w:hAnsi="宋体"/>
                <w:szCs w:val="21"/>
              </w:rPr>
              <w:t>规格型号</w:t>
            </w:r>
          </w:p>
        </w:tc>
        <w:tc>
          <w:tcPr>
            <w:tcW w:w="1236" w:type="dxa"/>
            <w:tcBorders>
              <w:bottom w:val="single" w:color="auto" w:sz="4" w:space="0"/>
            </w:tcBorders>
          </w:tcPr>
          <w:p>
            <w:pPr>
              <w:spacing w:line="360" w:lineRule="auto"/>
              <w:rPr>
                <w:rFonts w:ascii="宋体" w:hAnsi="宋体"/>
                <w:szCs w:val="21"/>
              </w:rPr>
            </w:pPr>
            <w:r>
              <w:rPr>
                <w:rFonts w:hint="eastAsia" w:ascii="宋体" w:hAnsi="宋体"/>
                <w:szCs w:val="21"/>
              </w:rPr>
              <w:t>生产厂家</w:t>
            </w:r>
          </w:p>
        </w:tc>
        <w:tc>
          <w:tcPr>
            <w:tcW w:w="824" w:type="dxa"/>
            <w:tcBorders>
              <w:bottom w:val="single" w:color="auto" w:sz="4" w:space="0"/>
            </w:tcBorders>
          </w:tcPr>
          <w:p>
            <w:pPr>
              <w:spacing w:line="360" w:lineRule="auto"/>
              <w:jc w:val="left"/>
              <w:rPr>
                <w:rFonts w:ascii="宋体" w:hAnsi="宋体"/>
                <w:szCs w:val="21"/>
              </w:rPr>
            </w:pPr>
            <w:r>
              <w:rPr>
                <w:rFonts w:hint="eastAsia" w:ascii="宋体" w:hAnsi="宋体"/>
                <w:szCs w:val="21"/>
              </w:rPr>
              <w:t>数量单价</w:t>
            </w:r>
          </w:p>
        </w:tc>
        <w:tc>
          <w:tcPr>
            <w:tcW w:w="824" w:type="dxa"/>
            <w:tcBorders>
              <w:bottom w:val="single" w:color="auto" w:sz="4" w:space="0"/>
            </w:tcBorders>
          </w:tcPr>
          <w:p>
            <w:pPr>
              <w:spacing w:line="360" w:lineRule="auto"/>
              <w:rPr>
                <w:rFonts w:ascii="宋体" w:hAnsi="宋体"/>
                <w:szCs w:val="21"/>
              </w:rPr>
            </w:pPr>
            <w:r>
              <w:rPr>
                <w:rFonts w:hint="eastAsia" w:ascii="宋体" w:hAnsi="宋体"/>
                <w:szCs w:val="21"/>
              </w:rPr>
              <w:t>数 量</w:t>
            </w:r>
          </w:p>
        </w:tc>
        <w:tc>
          <w:tcPr>
            <w:tcW w:w="1030" w:type="dxa"/>
            <w:tcBorders>
              <w:bottom w:val="single" w:color="auto" w:sz="4" w:space="0"/>
            </w:tcBorders>
          </w:tcPr>
          <w:p>
            <w:pPr>
              <w:spacing w:line="360" w:lineRule="auto"/>
              <w:rPr>
                <w:rFonts w:ascii="宋体" w:hAnsi="宋体"/>
                <w:szCs w:val="21"/>
              </w:rPr>
            </w:pPr>
            <w:r>
              <w:rPr>
                <w:rFonts w:hint="eastAsia" w:ascii="宋体" w:hAnsi="宋体"/>
                <w:szCs w:val="21"/>
              </w:rPr>
              <w:t>单 价</w:t>
            </w:r>
          </w:p>
        </w:tc>
        <w:tc>
          <w:tcPr>
            <w:tcW w:w="927" w:type="dxa"/>
            <w:tcBorders>
              <w:bottom w:val="single" w:color="auto" w:sz="4" w:space="0"/>
            </w:tcBorders>
          </w:tcPr>
          <w:p>
            <w:pPr>
              <w:spacing w:line="360" w:lineRule="auto"/>
              <w:rPr>
                <w:rFonts w:ascii="宋体" w:hAnsi="宋体"/>
                <w:szCs w:val="21"/>
              </w:rPr>
            </w:pPr>
            <w:r>
              <w:rPr>
                <w:rFonts w:hint="eastAsia" w:ascii="宋体" w:hAnsi="宋体"/>
                <w:szCs w:val="21"/>
              </w:rPr>
              <w:t>总 价</w:t>
            </w:r>
          </w:p>
        </w:tc>
        <w:tc>
          <w:tcPr>
            <w:tcW w:w="1236" w:type="dxa"/>
            <w:tcBorders>
              <w:bottom w:val="single" w:color="auto" w:sz="4" w:space="0"/>
            </w:tcBorders>
          </w:tcPr>
          <w:p>
            <w:pPr>
              <w:spacing w:line="360" w:lineRule="auto"/>
              <w:rPr>
                <w:rFonts w:ascii="宋体" w:hAnsi="宋体"/>
                <w:szCs w:val="21"/>
              </w:rPr>
            </w:pPr>
            <w:r>
              <w:rPr>
                <w:rFonts w:hint="eastAsia" w:ascii="宋体" w:hAnsi="宋体"/>
                <w:szCs w:val="21"/>
              </w:rPr>
              <w:t xml:space="preserve"> 交货期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bottom w:val="single" w:color="auto" w:sz="4" w:space="0"/>
            </w:tcBorders>
          </w:tcPr>
          <w:p>
            <w:pPr>
              <w:spacing w:line="360" w:lineRule="auto"/>
              <w:rPr>
                <w:rFonts w:ascii="宋体" w:hAnsi="宋体"/>
                <w:szCs w:val="21"/>
              </w:rPr>
            </w:pPr>
          </w:p>
          <w:p>
            <w:pPr>
              <w:spacing w:line="360" w:lineRule="auto"/>
              <w:rPr>
                <w:rFonts w:ascii="宋体" w:hAnsi="宋体"/>
                <w:szCs w:val="21"/>
              </w:rPr>
            </w:pPr>
          </w:p>
        </w:tc>
        <w:tc>
          <w:tcPr>
            <w:tcW w:w="1582" w:type="dxa"/>
            <w:tcBorders>
              <w:bottom w:val="single" w:color="auto" w:sz="4" w:space="0"/>
            </w:tcBorders>
          </w:tcPr>
          <w:p>
            <w:pPr>
              <w:spacing w:line="360" w:lineRule="auto"/>
              <w:rPr>
                <w:rFonts w:ascii="宋体" w:hAnsi="宋体"/>
                <w:szCs w:val="21"/>
              </w:rPr>
            </w:pPr>
          </w:p>
        </w:tc>
        <w:tc>
          <w:tcPr>
            <w:tcW w:w="1236" w:type="dxa"/>
            <w:tcBorders>
              <w:bottom w:val="single" w:color="auto" w:sz="4" w:space="0"/>
            </w:tcBorders>
          </w:tcPr>
          <w:p>
            <w:pPr>
              <w:spacing w:line="360" w:lineRule="auto"/>
              <w:rPr>
                <w:rFonts w:ascii="宋体" w:hAnsi="宋体"/>
                <w:szCs w:val="21"/>
              </w:rPr>
            </w:pPr>
          </w:p>
        </w:tc>
        <w:tc>
          <w:tcPr>
            <w:tcW w:w="824" w:type="dxa"/>
            <w:tcBorders>
              <w:bottom w:val="single" w:color="auto" w:sz="4" w:space="0"/>
            </w:tcBorders>
          </w:tcPr>
          <w:p>
            <w:pPr>
              <w:spacing w:line="360" w:lineRule="auto"/>
              <w:rPr>
                <w:rFonts w:ascii="宋体" w:hAnsi="宋体"/>
                <w:szCs w:val="21"/>
              </w:rPr>
            </w:pPr>
          </w:p>
        </w:tc>
        <w:tc>
          <w:tcPr>
            <w:tcW w:w="824" w:type="dxa"/>
            <w:tcBorders>
              <w:bottom w:val="single" w:color="auto" w:sz="4" w:space="0"/>
            </w:tcBorders>
          </w:tcPr>
          <w:p>
            <w:pPr>
              <w:spacing w:line="360" w:lineRule="auto"/>
              <w:rPr>
                <w:rFonts w:ascii="宋体" w:hAnsi="宋体"/>
                <w:szCs w:val="21"/>
              </w:rPr>
            </w:pPr>
          </w:p>
        </w:tc>
        <w:tc>
          <w:tcPr>
            <w:tcW w:w="1030" w:type="dxa"/>
            <w:tcBorders>
              <w:bottom w:val="single" w:color="auto" w:sz="4" w:space="0"/>
            </w:tcBorders>
          </w:tcPr>
          <w:p>
            <w:pPr>
              <w:spacing w:line="360" w:lineRule="auto"/>
              <w:rPr>
                <w:rFonts w:ascii="宋体" w:hAnsi="宋体"/>
                <w:szCs w:val="21"/>
              </w:rPr>
            </w:pPr>
          </w:p>
        </w:tc>
        <w:tc>
          <w:tcPr>
            <w:tcW w:w="927" w:type="dxa"/>
            <w:tcBorders>
              <w:bottom w:val="single" w:color="auto" w:sz="4" w:space="0"/>
            </w:tcBorders>
          </w:tcPr>
          <w:p>
            <w:pPr>
              <w:spacing w:line="360" w:lineRule="auto"/>
              <w:rPr>
                <w:rFonts w:ascii="宋体" w:hAnsi="宋体"/>
                <w:szCs w:val="21"/>
              </w:rPr>
            </w:pPr>
          </w:p>
        </w:tc>
        <w:tc>
          <w:tcPr>
            <w:tcW w:w="1236" w:type="dxa"/>
            <w:tcBorders>
              <w:bottom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bottom w:val="single" w:color="auto" w:sz="4" w:space="0"/>
            </w:tcBorders>
          </w:tcPr>
          <w:p>
            <w:pPr>
              <w:spacing w:line="360" w:lineRule="auto"/>
              <w:rPr>
                <w:rFonts w:ascii="宋体" w:hAnsi="宋体"/>
                <w:szCs w:val="21"/>
              </w:rPr>
            </w:pPr>
          </w:p>
          <w:p>
            <w:pPr>
              <w:spacing w:line="360" w:lineRule="auto"/>
              <w:rPr>
                <w:rFonts w:ascii="宋体" w:hAnsi="宋体"/>
                <w:szCs w:val="21"/>
              </w:rPr>
            </w:pPr>
          </w:p>
        </w:tc>
        <w:tc>
          <w:tcPr>
            <w:tcW w:w="1582" w:type="dxa"/>
            <w:tcBorders>
              <w:bottom w:val="single" w:color="auto" w:sz="4" w:space="0"/>
            </w:tcBorders>
          </w:tcPr>
          <w:p>
            <w:pPr>
              <w:spacing w:line="360" w:lineRule="auto"/>
              <w:rPr>
                <w:rFonts w:ascii="宋体" w:hAnsi="宋体"/>
                <w:szCs w:val="21"/>
              </w:rPr>
            </w:pPr>
          </w:p>
        </w:tc>
        <w:tc>
          <w:tcPr>
            <w:tcW w:w="1236" w:type="dxa"/>
            <w:tcBorders>
              <w:bottom w:val="single" w:color="auto" w:sz="4" w:space="0"/>
            </w:tcBorders>
          </w:tcPr>
          <w:p>
            <w:pPr>
              <w:spacing w:line="360" w:lineRule="auto"/>
              <w:rPr>
                <w:rFonts w:ascii="宋体" w:hAnsi="宋体"/>
                <w:szCs w:val="21"/>
              </w:rPr>
            </w:pPr>
          </w:p>
        </w:tc>
        <w:tc>
          <w:tcPr>
            <w:tcW w:w="824" w:type="dxa"/>
            <w:tcBorders>
              <w:bottom w:val="single" w:color="auto" w:sz="4" w:space="0"/>
            </w:tcBorders>
          </w:tcPr>
          <w:p>
            <w:pPr>
              <w:spacing w:line="360" w:lineRule="auto"/>
              <w:rPr>
                <w:rFonts w:ascii="宋体" w:hAnsi="宋体"/>
                <w:szCs w:val="21"/>
              </w:rPr>
            </w:pPr>
          </w:p>
        </w:tc>
        <w:tc>
          <w:tcPr>
            <w:tcW w:w="824" w:type="dxa"/>
            <w:tcBorders>
              <w:bottom w:val="single" w:color="auto" w:sz="4" w:space="0"/>
            </w:tcBorders>
          </w:tcPr>
          <w:p>
            <w:pPr>
              <w:spacing w:line="360" w:lineRule="auto"/>
              <w:rPr>
                <w:rFonts w:ascii="宋体" w:hAnsi="宋体"/>
                <w:szCs w:val="21"/>
              </w:rPr>
            </w:pPr>
          </w:p>
        </w:tc>
        <w:tc>
          <w:tcPr>
            <w:tcW w:w="1030" w:type="dxa"/>
            <w:tcBorders>
              <w:bottom w:val="single" w:color="auto" w:sz="4" w:space="0"/>
            </w:tcBorders>
          </w:tcPr>
          <w:p>
            <w:pPr>
              <w:spacing w:line="360" w:lineRule="auto"/>
              <w:rPr>
                <w:rFonts w:ascii="宋体" w:hAnsi="宋体"/>
                <w:szCs w:val="21"/>
              </w:rPr>
            </w:pPr>
          </w:p>
        </w:tc>
        <w:tc>
          <w:tcPr>
            <w:tcW w:w="927" w:type="dxa"/>
            <w:tcBorders>
              <w:bottom w:val="single" w:color="auto" w:sz="4" w:space="0"/>
            </w:tcBorders>
          </w:tcPr>
          <w:p>
            <w:pPr>
              <w:spacing w:line="360" w:lineRule="auto"/>
              <w:rPr>
                <w:rFonts w:ascii="宋体" w:hAnsi="宋体"/>
                <w:szCs w:val="21"/>
              </w:rPr>
            </w:pPr>
          </w:p>
        </w:tc>
        <w:tc>
          <w:tcPr>
            <w:tcW w:w="1236" w:type="dxa"/>
            <w:tcBorders>
              <w:bottom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bottom w:val="single" w:color="auto" w:sz="4" w:space="0"/>
            </w:tcBorders>
          </w:tcPr>
          <w:p>
            <w:pPr>
              <w:spacing w:line="360" w:lineRule="auto"/>
              <w:rPr>
                <w:rFonts w:ascii="宋体" w:hAnsi="宋体"/>
                <w:szCs w:val="21"/>
              </w:rPr>
            </w:pPr>
          </w:p>
          <w:p>
            <w:pPr>
              <w:spacing w:line="360" w:lineRule="auto"/>
              <w:rPr>
                <w:rFonts w:ascii="宋体" w:hAnsi="宋体"/>
                <w:szCs w:val="21"/>
              </w:rPr>
            </w:pPr>
          </w:p>
        </w:tc>
        <w:tc>
          <w:tcPr>
            <w:tcW w:w="1582" w:type="dxa"/>
            <w:tcBorders>
              <w:bottom w:val="single" w:color="auto" w:sz="4" w:space="0"/>
            </w:tcBorders>
          </w:tcPr>
          <w:p>
            <w:pPr>
              <w:spacing w:line="360" w:lineRule="auto"/>
              <w:rPr>
                <w:rFonts w:ascii="宋体" w:hAnsi="宋体"/>
                <w:szCs w:val="21"/>
              </w:rPr>
            </w:pPr>
          </w:p>
        </w:tc>
        <w:tc>
          <w:tcPr>
            <w:tcW w:w="1236" w:type="dxa"/>
            <w:tcBorders>
              <w:bottom w:val="single" w:color="auto" w:sz="4" w:space="0"/>
            </w:tcBorders>
          </w:tcPr>
          <w:p>
            <w:pPr>
              <w:spacing w:line="360" w:lineRule="auto"/>
              <w:rPr>
                <w:rFonts w:ascii="宋体" w:hAnsi="宋体"/>
                <w:szCs w:val="21"/>
              </w:rPr>
            </w:pPr>
          </w:p>
        </w:tc>
        <w:tc>
          <w:tcPr>
            <w:tcW w:w="824" w:type="dxa"/>
            <w:tcBorders>
              <w:bottom w:val="single" w:color="auto" w:sz="4" w:space="0"/>
            </w:tcBorders>
          </w:tcPr>
          <w:p>
            <w:pPr>
              <w:spacing w:line="360" w:lineRule="auto"/>
              <w:rPr>
                <w:rFonts w:ascii="宋体" w:hAnsi="宋体"/>
                <w:szCs w:val="21"/>
              </w:rPr>
            </w:pPr>
          </w:p>
        </w:tc>
        <w:tc>
          <w:tcPr>
            <w:tcW w:w="824" w:type="dxa"/>
            <w:tcBorders>
              <w:bottom w:val="single" w:color="auto" w:sz="4" w:space="0"/>
            </w:tcBorders>
          </w:tcPr>
          <w:p>
            <w:pPr>
              <w:spacing w:line="360" w:lineRule="auto"/>
              <w:rPr>
                <w:rFonts w:ascii="宋体" w:hAnsi="宋体"/>
                <w:szCs w:val="21"/>
              </w:rPr>
            </w:pPr>
          </w:p>
        </w:tc>
        <w:tc>
          <w:tcPr>
            <w:tcW w:w="1030" w:type="dxa"/>
            <w:tcBorders>
              <w:bottom w:val="single" w:color="auto" w:sz="4" w:space="0"/>
            </w:tcBorders>
          </w:tcPr>
          <w:p>
            <w:pPr>
              <w:spacing w:line="360" w:lineRule="auto"/>
              <w:rPr>
                <w:rFonts w:ascii="宋体" w:hAnsi="宋体"/>
                <w:szCs w:val="21"/>
              </w:rPr>
            </w:pPr>
          </w:p>
        </w:tc>
        <w:tc>
          <w:tcPr>
            <w:tcW w:w="927" w:type="dxa"/>
            <w:tcBorders>
              <w:bottom w:val="single" w:color="auto" w:sz="4" w:space="0"/>
            </w:tcBorders>
          </w:tcPr>
          <w:p>
            <w:pPr>
              <w:spacing w:line="360" w:lineRule="auto"/>
              <w:rPr>
                <w:rFonts w:ascii="宋体" w:hAnsi="宋体"/>
                <w:szCs w:val="21"/>
              </w:rPr>
            </w:pPr>
          </w:p>
        </w:tc>
        <w:tc>
          <w:tcPr>
            <w:tcW w:w="1236" w:type="dxa"/>
            <w:tcBorders>
              <w:bottom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bottom w:val="single" w:color="auto" w:sz="4" w:space="0"/>
            </w:tcBorders>
          </w:tcPr>
          <w:p>
            <w:pPr>
              <w:spacing w:line="360" w:lineRule="auto"/>
              <w:rPr>
                <w:rFonts w:ascii="宋体" w:hAnsi="宋体"/>
                <w:szCs w:val="21"/>
              </w:rPr>
            </w:pPr>
          </w:p>
          <w:p>
            <w:pPr>
              <w:spacing w:line="360" w:lineRule="auto"/>
              <w:rPr>
                <w:rFonts w:ascii="宋体" w:hAnsi="宋体"/>
                <w:szCs w:val="21"/>
              </w:rPr>
            </w:pPr>
          </w:p>
        </w:tc>
        <w:tc>
          <w:tcPr>
            <w:tcW w:w="1582" w:type="dxa"/>
            <w:tcBorders>
              <w:bottom w:val="single" w:color="auto" w:sz="4" w:space="0"/>
            </w:tcBorders>
          </w:tcPr>
          <w:p>
            <w:pPr>
              <w:spacing w:line="360" w:lineRule="auto"/>
              <w:rPr>
                <w:rFonts w:ascii="宋体" w:hAnsi="宋体"/>
                <w:szCs w:val="21"/>
              </w:rPr>
            </w:pPr>
          </w:p>
        </w:tc>
        <w:tc>
          <w:tcPr>
            <w:tcW w:w="1236" w:type="dxa"/>
            <w:tcBorders>
              <w:bottom w:val="single" w:color="auto" w:sz="4" w:space="0"/>
            </w:tcBorders>
          </w:tcPr>
          <w:p>
            <w:pPr>
              <w:spacing w:line="360" w:lineRule="auto"/>
              <w:rPr>
                <w:rFonts w:ascii="宋体" w:hAnsi="宋体"/>
                <w:szCs w:val="21"/>
              </w:rPr>
            </w:pPr>
          </w:p>
        </w:tc>
        <w:tc>
          <w:tcPr>
            <w:tcW w:w="824" w:type="dxa"/>
            <w:tcBorders>
              <w:bottom w:val="single" w:color="auto" w:sz="4" w:space="0"/>
            </w:tcBorders>
          </w:tcPr>
          <w:p>
            <w:pPr>
              <w:spacing w:line="360" w:lineRule="auto"/>
              <w:rPr>
                <w:rFonts w:ascii="宋体" w:hAnsi="宋体"/>
                <w:szCs w:val="21"/>
              </w:rPr>
            </w:pPr>
          </w:p>
        </w:tc>
        <w:tc>
          <w:tcPr>
            <w:tcW w:w="824" w:type="dxa"/>
            <w:tcBorders>
              <w:bottom w:val="single" w:color="auto" w:sz="4" w:space="0"/>
            </w:tcBorders>
          </w:tcPr>
          <w:p>
            <w:pPr>
              <w:spacing w:line="360" w:lineRule="auto"/>
              <w:rPr>
                <w:rFonts w:ascii="宋体" w:hAnsi="宋体"/>
                <w:szCs w:val="21"/>
              </w:rPr>
            </w:pPr>
          </w:p>
        </w:tc>
        <w:tc>
          <w:tcPr>
            <w:tcW w:w="1030" w:type="dxa"/>
            <w:tcBorders>
              <w:bottom w:val="single" w:color="auto" w:sz="4" w:space="0"/>
            </w:tcBorders>
          </w:tcPr>
          <w:p>
            <w:pPr>
              <w:spacing w:line="360" w:lineRule="auto"/>
              <w:rPr>
                <w:rFonts w:ascii="宋体" w:hAnsi="宋体"/>
                <w:szCs w:val="21"/>
              </w:rPr>
            </w:pPr>
          </w:p>
        </w:tc>
        <w:tc>
          <w:tcPr>
            <w:tcW w:w="927" w:type="dxa"/>
            <w:tcBorders>
              <w:bottom w:val="single" w:color="auto" w:sz="4" w:space="0"/>
            </w:tcBorders>
          </w:tcPr>
          <w:p>
            <w:pPr>
              <w:spacing w:line="360" w:lineRule="auto"/>
              <w:rPr>
                <w:rFonts w:ascii="宋体" w:hAnsi="宋体"/>
                <w:szCs w:val="21"/>
              </w:rPr>
            </w:pPr>
          </w:p>
        </w:tc>
        <w:tc>
          <w:tcPr>
            <w:tcW w:w="1236" w:type="dxa"/>
            <w:tcBorders>
              <w:bottom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936" w:type="dxa"/>
            <w:gridSpan w:val="8"/>
          </w:tcPr>
          <w:p>
            <w:pPr>
              <w:spacing w:line="360" w:lineRule="auto"/>
              <w:rPr>
                <w:rFonts w:ascii="宋体" w:hAnsi="宋体"/>
                <w:szCs w:val="21"/>
              </w:rPr>
            </w:pPr>
            <w:r>
              <w:rPr>
                <w:rFonts w:hint="eastAsia" w:ascii="宋体" w:hAnsi="宋体"/>
                <w:szCs w:val="21"/>
              </w:rPr>
              <w:t>合同总金额（大写）（合同总金额包含备件、专用工具、安装、调试、检验、技术培训及技术资料和运输保险等费用）：人民币</w:t>
            </w:r>
            <w:r>
              <w:rPr>
                <w:rFonts w:hint="eastAsia" w:ascii="宋体" w:hAnsi="宋体"/>
                <w:szCs w:val="21"/>
                <w:u w:val="single"/>
              </w:rPr>
              <w:t xml:space="preserve">           </w:t>
            </w:r>
            <w:r>
              <w:rPr>
                <w:rFonts w:hint="eastAsia" w:ascii="宋体" w:hAnsi="宋体"/>
                <w:szCs w:val="21"/>
              </w:rPr>
              <w:t>（</w:t>
            </w:r>
            <w:r>
              <w:rPr>
                <w:rFonts w:ascii="宋体" w:hAnsi="宋体"/>
                <w:szCs w:val="21"/>
              </w:rPr>
              <w:t>¥</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p>
          <w:p>
            <w:pPr>
              <w:spacing w:line="360" w:lineRule="auto"/>
              <w:rPr>
                <w:rFonts w:ascii="宋体" w:hAnsi="宋体"/>
                <w:szCs w:val="21"/>
              </w:rPr>
            </w:pPr>
          </w:p>
        </w:tc>
      </w:tr>
    </w:tbl>
    <w:p>
      <w:pPr>
        <w:spacing w:line="360" w:lineRule="auto"/>
        <w:rPr>
          <w:rFonts w:ascii="宋体" w:hAnsi="宋体"/>
          <w:szCs w:val="21"/>
        </w:rPr>
      </w:pPr>
      <w:r>
        <w:rPr>
          <w:rFonts w:hint="eastAsia" w:ascii="宋体" w:hAnsi="宋体"/>
          <w:szCs w:val="21"/>
        </w:rPr>
        <w:t>2、交货方式和交货地点</w:t>
      </w:r>
    </w:p>
    <w:p>
      <w:pPr>
        <w:spacing w:line="360" w:lineRule="auto"/>
        <w:ind w:firstLine="420" w:firstLineChars="200"/>
        <w:rPr>
          <w:rFonts w:ascii="宋体" w:hAnsi="宋体"/>
          <w:szCs w:val="21"/>
          <w:u w:val="single"/>
        </w:rPr>
      </w:pPr>
      <w:r>
        <w:rPr>
          <w:rFonts w:ascii="宋体" w:hAnsi="宋体"/>
          <w:szCs w:val="21"/>
        </w:rPr>
        <w:t>2.1</w:t>
      </w:r>
      <w:r>
        <w:rPr>
          <w:rFonts w:hint="eastAsia" w:ascii="宋体" w:hAnsi="宋体"/>
          <w:szCs w:val="21"/>
        </w:rPr>
        <w:t>交货方式：乙方送达</w:t>
      </w:r>
    </w:p>
    <w:p>
      <w:pPr>
        <w:spacing w:line="360" w:lineRule="auto"/>
        <w:ind w:firstLine="420" w:firstLineChars="200"/>
        <w:rPr>
          <w:rFonts w:ascii="宋体" w:hAnsi="宋体"/>
          <w:szCs w:val="21"/>
        </w:rPr>
      </w:pPr>
      <w:r>
        <w:rPr>
          <w:rFonts w:ascii="宋体" w:hAnsi="宋体"/>
          <w:szCs w:val="21"/>
        </w:rPr>
        <w:t>2.2</w:t>
      </w:r>
      <w:r>
        <w:rPr>
          <w:rFonts w:hint="eastAsia" w:ascii="宋体" w:hAnsi="宋体"/>
          <w:szCs w:val="21"/>
        </w:rPr>
        <w:t>交货地点：</w:t>
      </w:r>
      <w:r>
        <w:rPr>
          <w:rFonts w:hint="eastAsia" w:ascii="宋体" w:hAnsi="宋体"/>
          <w:szCs w:val="21"/>
          <w:u w:val="single"/>
        </w:rPr>
        <w:t>泉州市丰泽区古道街8号甲方指定场地内</w:t>
      </w:r>
    </w:p>
    <w:p>
      <w:pPr>
        <w:spacing w:line="360" w:lineRule="auto"/>
        <w:rPr>
          <w:rFonts w:ascii="宋体" w:hAnsi="宋体"/>
          <w:szCs w:val="21"/>
        </w:rPr>
      </w:pPr>
      <w:r>
        <w:rPr>
          <w:rFonts w:ascii="宋体" w:hAnsi="宋体"/>
          <w:szCs w:val="21"/>
        </w:rPr>
        <w:t>3</w:t>
      </w:r>
      <w:r>
        <w:rPr>
          <w:rFonts w:hint="eastAsia" w:ascii="宋体" w:hAnsi="宋体"/>
          <w:szCs w:val="21"/>
        </w:rPr>
        <w:t>、供货清单</w:t>
      </w:r>
    </w:p>
    <w:p>
      <w:pPr>
        <w:spacing w:line="360" w:lineRule="auto"/>
        <w:rPr>
          <w:rFonts w:ascii="宋体" w:hAnsi="宋体"/>
          <w:szCs w:val="21"/>
        </w:rPr>
      </w:pPr>
      <w:r>
        <w:rPr>
          <w:rFonts w:ascii="宋体" w:hAnsi="宋体"/>
          <w:szCs w:val="21"/>
        </w:rPr>
        <w:t>3.1</w:t>
      </w:r>
      <w:r>
        <w:rPr>
          <w:rFonts w:hint="eastAsia" w:ascii="宋体" w:hAnsi="宋体"/>
          <w:szCs w:val="21"/>
        </w:rPr>
        <w:t>供货清单：包括产品主机、随机备品备件、专用工具的名称及数量。</w:t>
      </w:r>
    </w:p>
    <w:p>
      <w:pPr>
        <w:spacing w:line="360" w:lineRule="auto"/>
        <w:rPr>
          <w:rFonts w:ascii="宋体" w:hAnsi="宋体"/>
          <w:szCs w:val="21"/>
        </w:rPr>
      </w:pPr>
      <w:r>
        <w:rPr>
          <w:rFonts w:hint="eastAsia" w:ascii="宋体" w:hAnsi="宋体"/>
          <w:szCs w:val="21"/>
        </w:rPr>
        <w:t>4、履约保证金、货款的付款方式与条件</w:t>
      </w:r>
    </w:p>
    <w:p>
      <w:pPr>
        <w:spacing w:line="500" w:lineRule="exact"/>
        <w:rPr>
          <w:rFonts w:ascii="宋体" w:hAnsi="宋体"/>
          <w:szCs w:val="21"/>
        </w:rPr>
      </w:pPr>
      <w:r>
        <w:rPr>
          <w:rFonts w:hint="eastAsia" w:ascii="宋体" w:hAnsi="宋体"/>
          <w:szCs w:val="21"/>
        </w:rPr>
        <w:t>4.1履约保证金：乙方应在合同签订前向甲方支付合同总价5%款项，作为履约保证金。</w:t>
      </w:r>
    </w:p>
    <w:p>
      <w:pPr>
        <w:spacing w:line="500" w:lineRule="exact"/>
        <w:rPr>
          <w:rFonts w:ascii="宋体" w:hAnsi="宋体"/>
          <w:szCs w:val="21"/>
        </w:rPr>
      </w:pPr>
      <w:r>
        <w:rPr>
          <w:rFonts w:hint="eastAsia" w:ascii="宋体" w:hAnsi="宋体"/>
          <w:szCs w:val="21"/>
        </w:rPr>
        <w:t>待货物安装调试完毕交付甲方试用后，甲方根据招投标文件及合同要求组织验收合格情况下，乙方凭收讫货物的凭证和货物自检记录文件等材料交付甲方，甲方经审签程序后20个工作日内向乙方无息全额退回履约保证金。</w:t>
      </w:r>
    </w:p>
    <w:p>
      <w:pPr>
        <w:spacing w:line="500" w:lineRule="exact"/>
        <w:rPr>
          <w:rFonts w:ascii="宋体" w:hAnsi="宋体"/>
          <w:szCs w:val="21"/>
        </w:rPr>
      </w:pPr>
      <w:r>
        <w:rPr>
          <w:rFonts w:hint="eastAsia" w:ascii="宋体" w:hAnsi="宋体"/>
          <w:szCs w:val="21"/>
        </w:rPr>
        <w:t>4.2货款：待货物安装调试完毕交付甲方试用后，甲方根据招投标文件及合同要求组织验收合格情况下，乙方凭收讫货物的凭证和货物自检记录文件、全额增值税专用发票等材料交付甲方，甲方经审签程序后20个工作日内向乙方支付合同总价款的90%，余款10%作为质量保证金待质保期（即整机保修期）结束后双方无纠纷情况下无息支付。</w:t>
      </w:r>
    </w:p>
    <w:p>
      <w:pPr>
        <w:spacing w:line="360" w:lineRule="auto"/>
        <w:rPr>
          <w:rFonts w:ascii="宋体" w:hAnsi="宋体"/>
          <w:szCs w:val="21"/>
        </w:rPr>
      </w:pPr>
      <w:r>
        <w:rPr>
          <w:rFonts w:hint="eastAsia" w:ascii="宋体" w:hAnsi="宋体"/>
          <w:szCs w:val="21"/>
        </w:rPr>
        <w:t>5、质量要求和技术标准：按招投标文件要求执行。</w:t>
      </w:r>
    </w:p>
    <w:p>
      <w:pPr>
        <w:spacing w:line="360" w:lineRule="auto"/>
        <w:rPr>
          <w:rFonts w:ascii="宋体" w:hAnsi="宋体"/>
          <w:szCs w:val="21"/>
        </w:rPr>
      </w:pPr>
      <w:r>
        <w:rPr>
          <w:rFonts w:ascii="宋体" w:hAnsi="宋体"/>
          <w:szCs w:val="21"/>
        </w:rPr>
        <w:t>6</w:t>
      </w:r>
      <w:r>
        <w:rPr>
          <w:rFonts w:hint="eastAsia" w:ascii="宋体" w:hAnsi="宋体"/>
          <w:szCs w:val="21"/>
        </w:rPr>
        <w:t>、安装调试、技术服务、人员培训及技术资料：按招投标文件要求执行。</w:t>
      </w:r>
    </w:p>
    <w:p>
      <w:pPr>
        <w:spacing w:line="360" w:lineRule="auto"/>
        <w:rPr>
          <w:rFonts w:ascii="宋体" w:hAnsi="宋体"/>
          <w:szCs w:val="21"/>
        </w:rPr>
      </w:pPr>
      <w:r>
        <w:rPr>
          <w:rFonts w:ascii="宋体" w:hAnsi="宋体"/>
          <w:szCs w:val="21"/>
        </w:rPr>
        <w:t>7</w:t>
      </w:r>
      <w:r>
        <w:rPr>
          <w:rFonts w:hint="eastAsia" w:ascii="宋体" w:hAnsi="宋体"/>
          <w:szCs w:val="21"/>
        </w:rPr>
        <w:t>、验收：按招投标文件要求执行。</w:t>
      </w:r>
    </w:p>
    <w:p>
      <w:pPr>
        <w:spacing w:line="360" w:lineRule="auto"/>
        <w:rPr>
          <w:rFonts w:ascii="宋体" w:hAnsi="宋体"/>
          <w:szCs w:val="21"/>
        </w:rPr>
      </w:pPr>
      <w:r>
        <w:rPr>
          <w:rFonts w:hint="eastAsia" w:ascii="宋体" w:hAnsi="宋体"/>
          <w:szCs w:val="21"/>
        </w:rPr>
        <w:t>8、质量保证</w:t>
      </w:r>
    </w:p>
    <w:p>
      <w:pPr>
        <w:spacing w:line="360" w:lineRule="auto"/>
        <w:ind w:firstLine="420" w:firstLineChars="200"/>
        <w:rPr>
          <w:rFonts w:ascii="宋体" w:hAnsi="宋体"/>
          <w:szCs w:val="21"/>
        </w:rPr>
      </w:pPr>
      <w:r>
        <w:rPr>
          <w:rFonts w:hint="eastAsia" w:ascii="宋体" w:hAnsi="宋体"/>
          <w:szCs w:val="21"/>
        </w:rPr>
        <w:t xml:space="preserve">各合同包货物质保期要求均为货物经最终验收合格后 </w:t>
      </w:r>
      <w:r>
        <w:rPr>
          <w:rFonts w:hint="eastAsia" w:ascii="宋体" w:hAnsi="宋体"/>
          <w:szCs w:val="21"/>
          <w:u w:val="single"/>
        </w:rPr>
        <w:t xml:space="preserve">    </w:t>
      </w:r>
      <w:r>
        <w:rPr>
          <w:rFonts w:hint="eastAsia" w:ascii="宋体" w:hAnsi="宋体"/>
          <w:szCs w:val="21"/>
        </w:rPr>
        <w:t>个月，在质量保证期内设备运行发生故障时，乙方在接到甲方故障通知后</w:t>
      </w:r>
      <w:r>
        <w:rPr>
          <w:rFonts w:hint="eastAsia" w:ascii="宋体" w:hAnsi="宋体"/>
          <w:szCs w:val="21"/>
          <w:u w:val="single"/>
        </w:rPr>
        <w:t>2</w:t>
      </w:r>
      <w:r>
        <w:rPr>
          <w:rFonts w:hint="eastAsia" w:ascii="宋体" w:hAnsi="宋体"/>
          <w:szCs w:val="21"/>
        </w:rPr>
        <w:t>小时内应委派专业技术人员到现场免费提供咨询、维修和更换零部件等服务，并及时填写维修报告（包括故障原因、处理情况及甲方意见等）报甲方备案，若</w:t>
      </w:r>
      <w:r>
        <w:rPr>
          <w:rFonts w:hint="eastAsia" w:ascii="宋体" w:hAnsi="宋体"/>
          <w:szCs w:val="21"/>
          <w:u w:val="single"/>
        </w:rPr>
        <w:t>24</w:t>
      </w:r>
      <w:r>
        <w:rPr>
          <w:rFonts w:hint="eastAsia" w:ascii="宋体" w:hAnsi="宋体"/>
          <w:szCs w:val="21"/>
        </w:rPr>
        <w:t>小时内无法排除故障，则应先提供同档次备用机供甲方使用。其中发生一切费用由乙方承担。质量保证期内乙方有责任对设备进行不定期的巡查检修。投标供应商视自身能力在投标文件中提供更优、更合理的维修服务承诺。</w:t>
      </w:r>
    </w:p>
    <w:p>
      <w:pPr>
        <w:spacing w:line="360" w:lineRule="auto"/>
        <w:rPr>
          <w:rFonts w:ascii="宋体" w:hAnsi="宋体"/>
          <w:szCs w:val="21"/>
        </w:rPr>
      </w:pPr>
      <w:r>
        <w:rPr>
          <w:rFonts w:hint="eastAsia" w:ascii="宋体" w:hAnsi="宋体"/>
          <w:szCs w:val="21"/>
        </w:rPr>
        <w:t>9、知识产权：</w:t>
      </w:r>
    </w:p>
    <w:p>
      <w:pPr>
        <w:spacing w:line="360" w:lineRule="auto"/>
        <w:ind w:firstLine="420" w:firstLineChars="200"/>
        <w:rPr>
          <w:rFonts w:ascii="宋体" w:hAnsi="宋体"/>
          <w:szCs w:val="21"/>
        </w:rPr>
      </w:pPr>
      <w:r>
        <w:rPr>
          <w:rFonts w:hint="eastAsia" w:ascii="宋体" w:hAnsi="宋体"/>
          <w:szCs w:val="21"/>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rPr>
          <w:rFonts w:ascii="宋体" w:hAnsi="宋体"/>
          <w:szCs w:val="21"/>
        </w:rPr>
      </w:pPr>
      <w:r>
        <w:rPr>
          <w:rFonts w:hint="eastAsia" w:ascii="宋体" w:hAnsi="宋体"/>
          <w:szCs w:val="21"/>
        </w:rPr>
        <w:t>10、违约责任</w:t>
      </w:r>
    </w:p>
    <w:p>
      <w:pPr>
        <w:spacing w:line="360" w:lineRule="auto"/>
        <w:rPr>
          <w:rFonts w:ascii="宋体" w:hAnsi="宋体"/>
          <w:szCs w:val="21"/>
        </w:rPr>
      </w:pPr>
      <w:r>
        <w:rPr>
          <w:rFonts w:hint="eastAsia" w:ascii="宋体" w:hAnsi="宋体"/>
          <w:szCs w:val="21"/>
        </w:rPr>
        <w:t xml:space="preserve">    10.1未按期交货的违约责任</w:t>
      </w:r>
    </w:p>
    <w:p>
      <w:pPr>
        <w:spacing w:line="360" w:lineRule="auto"/>
        <w:rPr>
          <w:rFonts w:ascii="宋体" w:hAnsi="宋体"/>
          <w:szCs w:val="21"/>
        </w:rPr>
      </w:pPr>
      <w:r>
        <w:rPr>
          <w:rFonts w:hint="eastAsia" w:ascii="宋体" w:hAnsi="宋体"/>
          <w:szCs w:val="21"/>
        </w:rPr>
        <w:t xml:space="preserve">    </w:t>
      </w:r>
      <w:r>
        <w:rPr>
          <w:rFonts w:ascii="宋体" w:hAnsi="宋体"/>
          <w:szCs w:val="21"/>
        </w:rPr>
        <w:t>10.</w:t>
      </w:r>
      <w:r>
        <w:rPr>
          <w:rFonts w:hint="eastAsia" w:ascii="宋体" w:hAnsi="宋体"/>
          <w:szCs w:val="21"/>
        </w:rPr>
        <w:t>1.1如果乙方未能按合同规定的时间按时足额交货和的（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为每迟交</w:t>
      </w:r>
      <w:r>
        <w:rPr>
          <w:rFonts w:hint="eastAsia" w:ascii="宋体" w:hAnsi="宋体"/>
          <w:szCs w:val="21"/>
          <w:u w:val="single"/>
        </w:rPr>
        <w:t>1</w:t>
      </w:r>
      <w:r>
        <w:rPr>
          <w:rFonts w:hint="eastAsia" w:ascii="宋体" w:hAnsi="宋体"/>
          <w:szCs w:val="21"/>
        </w:rPr>
        <w:t>天，按500元/天核算。</w:t>
      </w:r>
    </w:p>
    <w:p>
      <w:pPr>
        <w:spacing w:line="360" w:lineRule="auto"/>
        <w:ind w:firstLine="525" w:firstLineChars="250"/>
        <w:rPr>
          <w:rFonts w:ascii="宋体" w:hAnsi="宋体"/>
          <w:szCs w:val="21"/>
        </w:rPr>
      </w:pPr>
      <w:r>
        <w:rPr>
          <w:rFonts w:hint="eastAsia" w:ascii="宋体" w:hAnsi="宋体"/>
          <w:szCs w:val="21"/>
        </w:rPr>
        <w:t>10.1.2如果乙方未能按合同规定的时间或双方另行确定的延期交货期按时足额交货的（不可抗力除外），每逾期1天，乙方应按500元/天标准向甲方支付逾期交货的违约金。逾期交货违约金的支付甲方有权从未付的合同货款中予以扣除。若乙方逾期交货达30天（含30天）以上的，甲方有权单方解除本合同，乙方仍应按上述约定支付延期交货违约金。若因此给甲方造成损失的，还应赔偿甲方所受的损失。</w:t>
      </w:r>
    </w:p>
    <w:p>
      <w:pPr>
        <w:spacing w:line="360" w:lineRule="auto"/>
        <w:ind w:firstLine="525" w:firstLineChars="250"/>
        <w:rPr>
          <w:rFonts w:ascii="宋体" w:hAnsi="宋体"/>
          <w:szCs w:val="21"/>
        </w:rPr>
      </w:pPr>
      <w:r>
        <w:rPr>
          <w:rFonts w:hint="eastAsia" w:ascii="宋体" w:hAnsi="宋体"/>
          <w:szCs w:val="21"/>
        </w:rPr>
        <w:t>10.2若乙方不能交货的（逾期15个工作日视为不能交货，因不可抗拒的因素除外）或交货不合格从而影响甲方正常使用的，乙方应向甲方偿付不能交货部分货款的</w:t>
      </w:r>
      <w:r>
        <w:rPr>
          <w:rFonts w:hint="eastAsia" w:ascii="宋体" w:hAnsi="宋体"/>
          <w:szCs w:val="21"/>
          <w:u w:val="single"/>
        </w:rPr>
        <w:t xml:space="preserve">30 </w:t>
      </w:r>
      <w:r>
        <w:rPr>
          <w:rFonts w:hint="eastAsia" w:ascii="宋体" w:hAnsi="宋体"/>
          <w:szCs w:val="21"/>
        </w:rPr>
        <w:t>％的违约金。违约金不足以补偿损失的，甲方有权要求乙方赔偿损失。</w:t>
      </w:r>
    </w:p>
    <w:p>
      <w:pPr>
        <w:spacing w:line="360" w:lineRule="auto"/>
        <w:ind w:firstLine="525" w:firstLineChars="250"/>
        <w:rPr>
          <w:rFonts w:ascii="宋体" w:hAnsi="宋体"/>
          <w:szCs w:val="21"/>
        </w:rPr>
      </w:pPr>
      <w:r>
        <w:rPr>
          <w:rFonts w:hint="eastAsia" w:ascii="宋体" w:hAnsi="宋体"/>
          <w:szCs w:val="21"/>
        </w:rPr>
        <w:t>10.3如果乙方未能按照合同约定的时间提供服务的，每逾期</w:t>
      </w:r>
      <w:r>
        <w:rPr>
          <w:rFonts w:hint="eastAsia" w:ascii="宋体" w:hAnsi="宋体"/>
          <w:szCs w:val="21"/>
          <w:u w:val="single"/>
        </w:rPr>
        <w:t xml:space="preserve"> 1</w:t>
      </w:r>
      <w:r>
        <w:rPr>
          <w:rFonts w:hint="eastAsia" w:ascii="宋体" w:hAnsi="宋体"/>
          <w:szCs w:val="21"/>
        </w:rPr>
        <w:t>天的，乙方应向甲方支付</w:t>
      </w:r>
      <w:r>
        <w:rPr>
          <w:rFonts w:hint="eastAsia" w:ascii="宋体" w:hAnsi="宋体"/>
          <w:szCs w:val="21"/>
          <w:u w:val="single"/>
        </w:rPr>
        <w:t>300</w:t>
      </w:r>
      <w:r>
        <w:rPr>
          <w:rFonts w:hint="eastAsia" w:ascii="宋体" w:hAnsi="宋体"/>
          <w:szCs w:val="21"/>
        </w:rPr>
        <w:t>元违约金，若因此给甲方造成损失的，乙方还应赔偿甲方所受的损失。</w:t>
      </w:r>
    </w:p>
    <w:p>
      <w:pPr>
        <w:spacing w:line="360" w:lineRule="auto"/>
        <w:rPr>
          <w:rFonts w:ascii="宋体" w:hAnsi="宋体"/>
          <w:szCs w:val="21"/>
        </w:rPr>
      </w:pPr>
      <w:r>
        <w:rPr>
          <w:rFonts w:ascii="宋体" w:hAnsi="宋体"/>
          <w:szCs w:val="21"/>
        </w:rPr>
        <w:t>1</w:t>
      </w:r>
      <w:r>
        <w:rPr>
          <w:rFonts w:hint="eastAsia" w:ascii="宋体" w:hAnsi="宋体"/>
          <w:szCs w:val="21"/>
        </w:rPr>
        <w:t>1、违约终止合同</w:t>
      </w:r>
    </w:p>
    <w:p>
      <w:pPr>
        <w:spacing w:line="360" w:lineRule="auto"/>
        <w:rPr>
          <w:rFonts w:ascii="宋体" w:hAnsi="宋体"/>
          <w:szCs w:val="21"/>
        </w:rPr>
      </w:pPr>
      <w:r>
        <w:rPr>
          <w:rFonts w:hint="eastAsia" w:ascii="宋体" w:hAnsi="宋体"/>
          <w:szCs w:val="21"/>
        </w:rPr>
        <w:t xml:space="preserve">    </w:t>
      </w:r>
      <w:r>
        <w:rPr>
          <w:rFonts w:ascii="宋体" w:hAnsi="宋体"/>
          <w:szCs w:val="21"/>
        </w:rPr>
        <w:t>11.</w:t>
      </w:r>
      <w:r>
        <w:rPr>
          <w:rFonts w:hint="eastAsia" w:ascii="宋体" w:hAnsi="宋体"/>
          <w:szCs w:val="21"/>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rPr>
          <w:rFonts w:ascii="宋体" w:hAnsi="宋体"/>
          <w:szCs w:val="21"/>
        </w:rPr>
      </w:pPr>
      <w:r>
        <w:rPr>
          <w:rFonts w:hint="eastAsia" w:ascii="宋体" w:hAnsi="宋体"/>
          <w:szCs w:val="21"/>
        </w:rPr>
        <w:t xml:space="preserve">    </w:t>
      </w:r>
      <w:r>
        <w:rPr>
          <w:rFonts w:ascii="宋体" w:hAnsi="宋体"/>
          <w:szCs w:val="21"/>
        </w:rPr>
        <w:t>11.1.1</w:t>
      </w:r>
      <w:r>
        <w:rPr>
          <w:rFonts w:hint="eastAsia" w:ascii="宋体" w:hAnsi="宋体"/>
          <w:szCs w:val="21"/>
        </w:rPr>
        <w:t>如果乙方未能在合同规定的期限内或双方另行确定的延期交货时间内交付合同约定的货物。</w:t>
      </w:r>
    </w:p>
    <w:p>
      <w:pPr>
        <w:spacing w:line="360" w:lineRule="auto"/>
        <w:rPr>
          <w:rFonts w:ascii="宋体" w:hAnsi="宋体"/>
          <w:szCs w:val="21"/>
        </w:rPr>
      </w:pPr>
      <w:r>
        <w:rPr>
          <w:rFonts w:hint="eastAsia" w:ascii="宋体" w:hAnsi="宋体"/>
          <w:szCs w:val="21"/>
        </w:rPr>
        <w:t xml:space="preserve">    </w:t>
      </w:r>
      <w:r>
        <w:rPr>
          <w:rFonts w:ascii="宋体" w:hAnsi="宋体"/>
          <w:szCs w:val="21"/>
        </w:rPr>
        <w:t>11.1.2</w:t>
      </w:r>
      <w:r>
        <w:rPr>
          <w:rFonts w:hint="eastAsia" w:ascii="宋体" w:hAnsi="宋体"/>
          <w:szCs w:val="21"/>
        </w:rPr>
        <w:t>乙方未能履行合同项下的任何其它义务。</w:t>
      </w:r>
    </w:p>
    <w:p>
      <w:pPr>
        <w:spacing w:line="360" w:lineRule="auto"/>
        <w:ind w:firstLine="105" w:firstLineChars="50"/>
        <w:rPr>
          <w:rFonts w:ascii="宋体" w:hAnsi="宋体"/>
          <w:szCs w:val="21"/>
        </w:rPr>
      </w:pPr>
      <w:r>
        <w:rPr>
          <w:rFonts w:hint="eastAsia" w:ascii="宋体" w:hAnsi="宋体"/>
          <w:szCs w:val="21"/>
        </w:rPr>
        <w:t>12、不可抗力</w:t>
      </w:r>
    </w:p>
    <w:p>
      <w:pPr>
        <w:spacing w:line="360" w:lineRule="auto"/>
        <w:ind w:firstLine="420" w:firstLineChars="200"/>
        <w:rPr>
          <w:rFonts w:ascii="宋体" w:hAnsi="宋体"/>
          <w:szCs w:val="21"/>
        </w:rPr>
      </w:pPr>
      <w:r>
        <w:rPr>
          <w:rFonts w:hint="eastAsia" w:ascii="宋体" w:hAnsi="宋体"/>
          <w:szCs w:val="21"/>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spacing w:line="360" w:lineRule="auto"/>
        <w:ind w:firstLine="525" w:firstLineChars="250"/>
        <w:rPr>
          <w:rFonts w:ascii="宋体" w:hAnsi="宋体"/>
          <w:szCs w:val="21"/>
        </w:rPr>
      </w:pPr>
      <w:r>
        <w:rPr>
          <w:rFonts w:hint="eastAsia" w:ascii="宋体" w:hAnsi="宋体"/>
          <w:szCs w:val="21"/>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105" w:firstLineChars="50"/>
        <w:rPr>
          <w:rFonts w:ascii="宋体" w:hAnsi="宋体"/>
          <w:szCs w:val="21"/>
        </w:rPr>
      </w:pPr>
      <w:r>
        <w:rPr>
          <w:rFonts w:hint="eastAsia" w:ascii="宋体" w:hAnsi="宋体"/>
          <w:szCs w:val="21"/>
        </w:rPr>
        <w:t>13、安全与保密</w:t>
      </w:r>
    </w:p>
    <w:p>
      <w:pPr>
        <w:spacing w:line="360" w:lineRule="auto"/>
        <w:ind w:firstLine="525" w:firstLineChars="250"/>
        <w:rPr>
          <w:rFonts w:ascii="宋体" w:hAnsi="宋体"/>
          <w:szCs w:val="21"/>
        </w:rPr>
      </w:pPr>
      <w:r>
        <w:rPr>
          <w:rFonts w:hint="eastAsia" w:ascii="宋体" w:hAnsi="宋体"/>
          <w:szCs w:val="21"/>
        </w:rPr>
        <w:t>乙方应保证其公司人员在甲方服务期间所接触的甲方各种文件、数据、系统资料、系统操作等严格遵守乙方保密制度，不得向第三方透露。</w:t>
      </w:r>
    </w:p>
    <w:p>
      <w:pPr>
        <w:spacing w:line="360" w:lineRule="auto"/>
        <w:ind w:firstLine="105" w:firstLineChars="50"/>
        <w:rPr>
          <w:rFonts w:ascii="宋体" w:hAnsi="宋体"/>
          <w:szCs w:val="21"/>
        </w:rPr>
      </w:pPr>
      <w:r>
        <w:rPr>
          <w:rFonts w:hint="eastAsia" w:ascii="宋体" w:hAnsi="宋体"/>
          <w:szCs w:val="21"/>
        </w:rPr>
        <w:t>14、合同纠纷处理方式：因本合同或与本合同有关的一切事项发生争议，由双方友好协商解决。协商不成的，任何一方均可选择以下方式解决：</w:t>
      </w:r>
    </w:p>
    <w:p>
      <w:pPr>
        <w:spacing w:line="360" w:lineRule="auto"/>
        <w:rPr>
          <w:rFonts w:ascii="宋体" w:hAnsi="宋体"/>
          <w:szCs w:val="21"/>
        </w:rPr>
      </w:pPr>
      <w:r>
        <w:rPr>
          <w:rFonts w:hint="eastAsia" w:ascii="宋体" w:hAnsi="宋体"/>
          <w:szCs w:val="21"/>
        </w:rPr>
        <w:t xml:space="preserve">（1）向 </w:t>
      </w:r>
      <w:r>
        <w:rPr>
          <w:rFonts w:hint="eastAsia" w:ascii="宋体" w:hAnsi="宋体"/>
          <w:szCs w:val="21"/>
          <w:u w:val="single"/>
        </w:rPr>
        <w:t>甲方所在地</w:t>
      </w:r>
      <w:r>
        <w:rPr>
          <w:rFonts w:hint="eastAsia" w:ascii="宋体" w:hAnsi="宋体"/>
          <w:szCs w:val="21"/>
        </w:rPr>
        <w:t>仲裁委员会申请仲裁；</w:t>
      </w:r>
    </w:p>
    <w:p>
      <w:pPr>
        <w:spacing w:line="360" w:lineRule="auto"/>
        <w:rPr>
          <w:rFonts w:ascii="宋体" w:hAnsi="宋体"/>
          <w:szCs w:val="21"/>
        </w:rPr>
      </w:pPr>
      <w:r>
        <w:rPr>
          <w:rFonts w:hint="eastAsia" w:ascii="宋体" w:hAnsi="宋体"/>
          <w:szCs w:val="21"/>
        </w:rPr>
        <w:t>（2）向</w:t>
      </w:r>
      <w:r>
        <w:rPr>
          <w:rFonts w:hint="eastAsia" w:ascii="宋体" w:hAnsi="宋体"/>
          <w:szCs w:val="21"/>
          <w:u w:val="single"/>
        </w:rPr>
        <w:t>甲方所在地</w:t>
      </w:r>
      <w:r>
        <w:rPr>
          <w:rFonts w:hint="eastAsia" w:ascii="宋体" w:hAnsi="宋体"/>
          <w:szCs w:val="21"/>
        </w:rPr>
        <w:t>的人民法院提起诉讼。</w:t>
      </w:r>
    </w:p>
    <w:p>
      <w:pPr>
        <w:spacing w:line="360" w:lineRule="auto"/>
        <w:ind w:firstLine="105" w:firstLineChars="50"/>
        <w:rPr>
          <w:rFonts w:ascii="宋体" w:hAnsi="宋体"/>
          <w:szCs w:val="21"/>
        </w:rPr>
      </w:pPr>
      <w:r>
        <w:rPr>
          <w:rFonts w:hint="eastAsia" w:ascii="宋体" w:hAnsi="宋体"/>
          <w:szCs w:val="21"/>
        </w:rPr>
        <w:t>15、其他约定</w:t>
      </w:r>
    </w:p>
    <w:p>
      <w:pPr>
        <w:spacing w:line="360" w:lineRule="auto"/>
        <w:ind w:firstLine="525" w:firstLineChars="250"/>
        <w:rPr>
          <w:rFonts w:ascii="宋体" w:hAnsi="宋体"/>
          <w:szCs w:val="21"/>
        </w:rPr>
      </w:pPr>
      <w:r>
        <w:rPr>
          <w:rFonts w:hint="eastAsia" w:ascii="宋体" w:hAnsi="宋体"/>
          <w:szCs w:val="21"/>
        </w:rPr>
        <w:t>15.1本采购项目的招标文件、中标人的投标文件以及相关的澄清确认函（如果有的话）均为本合同不可分割的一部分，与本合同具有同等法律效力。</w:t>
      </w:r>
    </w:p>
    <w:p>
      <w:pPr>
        <w:spacing w:line="360" w:lineRule="auto"/>
        <w:rPr>
          <w:rFonts w:ascii="宋体" w:hAnsi="宋体"/>
          <w:szCs w:val="21"/>
        </w:rPr>
      </w:pPr>
      <w:r>
        <w:rPr>
          <w:rFonts w:hint="eastAsia" w:ascii="宋体" w:hAnsi="宋体"/>
          <w:szCs w:val="21"/>
        </w:rPr>
        <w:t xml:space="preserve">     15.2本合同未尽事宜，双方另行补充。</w:t>
      </w:r>
    </w:p>
    <w:p>
      <w:pPr>
        <w:spacing w:line="360" w:lineRule="auto"/>
        <w:rPr>
          <w:rFonts w:ascii="宋体" w:hAnsi="宋体"/>
          <w:szCs w:val="21"/>
        </w:rPr>
      </w:pPr>
      <w:r>
        <w:rPr>
          <w:rFonts w:hint="eastAsia" w:ascii="宋体" w:hAnsi="宋体"/>
          <w:szCs w:val="21"/>
        </w:rPr>
        <w:t xml:space="preserve">     15.3本合同一式五份，经双方授权代表签字并盖章后生效。甲方执三份，乙方执一份，送代理机构备案一份，具有同等效力。</w:t>
      </w:r>
    </w:p>
    <w:p>
      <w:pPr>
        <w:spacing w:line="360" w:lineRule="auto"/>
        <w:rPr>
          <w:rFonts w:ascii="宋体" w:hAnsi="宋体"/>
          <w:szCs w:val="21"/>
        </w:rPr>
      </w:pPr>
      <w:r>
        <w:rPr>
          <w:rFonts w:hint="eastAsia" w:ascii="宋体" w:hAnsi="宋体"/>
          <w:szCs w:val="21"/>
        </w:rPr>
        <w:t>甲    方：                            乙    方：</w:t>
      </w:r>
    </w:p>
    <w:p>
      <w:pPr>
        <w:spacing w:line="360" w:lineRule="auto"/>
        <w:rPr>
          <w:rFonts w:ascii="宋体" w:hAnsi="宋体"/>
          <w:szCs w:val="21"/>
        </w:rPr>
      </w:pPr>
      <w:r>
        <w:rPr>
          <w:rFonts w:hint="eastAsia" w:ascii="宋体" w:hAnsi="宋体"/>
          <w:szCs w:val="21"/>
        </w:rPr>
        <w:t>单位地址：                            单位地址：</w:t>
      </w:r>
    </w:p>
    <w:p>
      <w:pPr>
        <w:spacing w:line="360" w:lineRule="auto"/>
        <w:rPr>
          <w:rFonts w:ascii="宋体" w:hAnsi="宋体"/>
          <w:szCs w:val="21"/>
        </w:rPr>
      </w:pPr>
      <w:r>
        <w:rPr>
          <w:rFonts w:hint="eastAsia" w:ascii="宋体" w:hAnsi="宋体"/>
          <w:szCs w:val="21"/>
        </w:rPr>
        <w:t>法定代表人：                          法定代表人：</w:t>
      </w:r>
    </w:p>
    <w:p>
      <w:pPr>
        <w:spacing w:line="360" w:lineRule="auto"/>
        <w:rPr>
          <w:rFonts w:ascii="宋体" w:hAnsi="宋体"/>
          <w:szCs w:val="21"/>
        </w:rPr>
      </w:pPr>
      <w:r>
        <w:rPr>
          <w:rFonts w:hint="eastAsia" w:ascii="宋体" w:hAnsi="宋体"/>
          <w:szCs w:val="21"/>
        </w:rPr>
        <w:t>委托代理人：                          委托代理人：</w:t>
      </w:r>
    </w:p>
    <w:p>
      <w:pPr>
        <w:spacing w:line="360" w:lineRule="auto"/>
        <w:rPr>
          <w:rFonts w:ascii="宋体" w:hAnsi="宋体"/>
          <w:szCs w:val="21"/>
        </w:rPr>
      </w:pPr>
      <w:r>
        <w:rPr>
          <w:rFonts w:hint="eastAsia" w:ascii="宋体" w:hAnsi="宋体"/>
          <w:szCs w:val="21"/>
        </w:rPr>
        <w:t>电    话：                            电    话：</w:t>
      </w:r>
    </w:p>
    <w:p>
      <w:pPr>
        <w:spacing w:line="360" w:lineRule="auto"/>
        <w:rPr>
          <w:rFonts w:ascii="宋体" w:hAnsi="宋体"/>
          <w:szCs w:val="21"/>
        </w:rPr>
      </w:pPr>
      <w:r>
        <w:rPr>
          <w:rFonts w:hint="eastAsia" w:ascii="宋体" w:hAnsi="宋体"/>
          <w:szCs w:val="21"/>
        </w:rPr>
        <w:t>开户银行：                            开户银行：</w:t>
      </w:r>
    </w:p>
    <w:p>
      <w:pPr>
        <w:spacing w:line="360" w:lineRule="auto"/>
        <w:rPr>
          <w:rFonts w:ascii="宋体" w:hAnsi="宋体"/>
          <w:b/>
          <w:szCs w:val="21"/>
        </w:rPr>
      </w:pPr>
      <w:r>
        <w:rPr>
          <w:rFonts w:hint="eastAsia" w:ascii="宋体" w:hAnsi="宋体"/>
          <w:szCs w:val="21"/>
        </w:rPr>
        <w:t>账    号：                            账    号：</w:t>
      </w:r>
    </w:p>
    <w:p>
      <w:pPr>
        <w:spacing w:line="500" w:lineRule="exact"/>
        <w:ind w:firstLine="420" w:firstLineChars="200"/>
        <w:rPr>
          <w:szCs w:val="21"/>
        </w:rPr>
      </w:pPr>
    </w:p>
    <w:p>
      <w:pPr>
        <w:jc w:val="center"/>
        <w:outlineLvl w:val="0"/>
        <w:rPr>
          <w:rFonts w:ascii="宋体" w:hAnsi="宋体" w:cs="仿宋_GB2312"/>
          <w:szCs w:val="21"/>
        </w:rPr>
      </w:pPr>
    </w:p>
    <w:p>
      <w:pPr>
        <w:widowControl/>
        <w:spacing w:before="75" w:after="75"/>
        <w:jc w:val="center"/>
        <w:rPr>
          <w:rFonts w:ascii="宋体" w:hAnsi="宋体" w:cs="宋体"/>
          <w:kern w:val="0"/>
          <w:sz w:val="24"/>
          <w:szCs w:val="24"/>
        </w:rPr>
      </w:pPr>
    </w:p>
    <w:p>
      <w:pPr>
        <w:outlineLvl w:val="0"/>
        <w:rPr>
          <w:rFonts w:ascii="宋体" w:hAnsi="宋体"/>
          <w:b/>
          <w:sz w:val="36"/>
        </w:rPr>
      </w:pPr>
    </w:p>
    <w:p>
      <w:pPr>
        <w:jc w:val="center"/>
        <w:outlineLvl w:val="0"/>
        <w:rPr>
          <w:rFonts w:ascii="宋体" w:hAnsi="宋体"/>
          <w:b/>
          <w:sz w:val="36"/>
        </w:rPr>
      </w:pPr>
      <w:r>
        <w:rPr>
          <w:rFonts w:ascii="宋体" w:hAnsi="宋体"/>
          <w:b/>
          <w:sz w:val="36"/>
        </w:rPr>
        <w:br w:type="page"/>
      </w:r>
      <w:bookmarkStart w:id="108" w:name="_Toc74326540"/>
      <w:r>
        <w:rPr>
          <w:rFonts w:hint="eastAsia" w:ascii="宋体" w:hAnsi="宋体"/>
          <w:b/>
          <w:sz w:val="36"/>
        </w:rPr>
        <w:t>第六章    投标文件格式</w:t>
      </w:r>
      <w:bookmarkEnd w:id="107"/>
      <w:bookmarkEnd w:id="108"/>
    </w:p>
    <w:tbl>
      <w:tblPr>
        <w:tblStyle w:val="36"/>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pPr>
              <w:spacing w:before="120"/>
              <w:rPr>
                <w:rFonts w:ascii="宋体" w:hAnsi="宋体"/>
                <w:szCs w:val="21"/>
              </w:rPr>
            </w:pPr>
            <w:r>
              <w:rPr>
                <w:rFonts w:hint="eastAsia" w:ascii="宋体" w:hAnsi="宋体"/>
                <w:szCs w:val="21"/>
              </w:rPr>
              <w:t>注释：</w:t>
            </w:r>
            <w:r>
              <w:rPr>
                <w:rFonts w:ascii="宋体" w:hAnsi="宋体"/>
                <w:szCs w:val="21"/>
              </w:rPr>
              <w:t xml:space="preserve"> </w:t>
            </w:r>
            <w:r>
              <w:rPr>
                <w:rFonts w:hint="eastAsia" w:ascii="宋体" w:hAnsi="宋体"/>
                <w:szCs w:val="21"/>
              </w:rPr>
              <w:t>《投标文件格式》是投标人的部分投标文件格式和签订合同时所需文件的格式。投标人应参照这些格式文件制作投标文件。</w:t>
            </w:r>
          </w:p>
        </w:tc>
      </w:tr>
    </w:tbl>
    <w:p>
      <w:pPr>
        <w:jc w:val="center"/>
        <w:rPr>
          <w:rFonts w:ascii="宋体" w:hAnsi="宋体"/>
          <w:b/>
          <w:sz w:val="36"/>
          <w:szCs w:val="36"/>
        </w:rPr>
      </w:pPr>
      <w:r>
        <w:rPr>
          <w:rFonts w:hint="eastAsia" w:ascii="宋体" w:hAnsi="宋体"/>
          <w:b/>
          <w:bCs/>
          <w:sz w:val="36"/>
          <w:szCs w:val="36"/>
        </w:rPr>
        <w:t>2021年度建阳兴欣织造有限责任公司缝纫设备采购项目</w:t>
      </w:r>
    </w:p>
    <w:p>
      <w:pPr>
        <w:pStyle w:val="14"/>
        <w:ind w:left="0" w:leftChars="0"/>
        <w:rPr>
          <w:rFonts w:ascii="宋体" w:hAnsi="宋体"/>
          <w:sz w:val="30"/>
          <w:szCs w:val="30"/>
        </w:rPr>
      </w:pPr>
    </w:p>
    <w:p>
      <w:pPr>
        <w:jc w:val="center"/>
        <w:rPr>
          <w:rFonts w:ascii="宋体" w:hAnsi="宋体"/>
          <w:b/>
          <w:sz w:val="48"/>
          <w:szCs w:val="48"/>
        </w:rPr>
      </w:pPr>
      <w:r>
        <w:rPr>
          <w:rFonts w:hint="eastAsia" w:ascii="宋体" w:hAnsi="宋体"/>
          <w:b/>
          <w:sz w:val="48"/>
          <w:szCs w:val="48"/>
        </w:rPr>
        <w:t>投  标  文  件</w:t>
      </w:r>
    </w:p>
    <w:p>
      <w:pPr>
        <w:jc w:val="center"/>
        <w:rPr>
          <w:rFonts w:ascii="宋体" w:hAnsi="宋体"/>
          <w:b/>
          <w:sz w:val="36"/>
        </w:rPr>
      </w:pPr>
    </w:p>
    <w:p>
      <w:pPr>
        <w:jc w:val="center"/>
        <w:rPr>
          <w:rFonts w:ascii="宋体" w:hAnsi="宋体"/>
          <w:b/>
          <w:sz w:val="36"/>
        </w:rPr>
      </w:pPr>
      <w:r>
        <w:rPr>
          <w:rFonts w:hint="eastAsia" w:ascii="宋体" w:hAnsi="宋体"/>
          <w:b/>
          <w:sz w:val="36"/>
        </w:rPr>
        <w:t>（</w:t>
      </w:r>
      <w:r>
        <w:rPr>
          <w:rFonts w:hint="eastAsia" w:ascii="宋体" w:hAnsi="宋体"/>
          <w:b/>
          <w:sz w:val="36"/>
          <w:u w:val="single"/>
        </w:rPr>
        <w:t xml:space="preserve">       </w:t>
      </w:r>
      <w:r>
        <w:rPr>
          <w:rFonts w:hint="eastAsia" w:ascii="宋体" w:hAnsi="宋体"/>
          <w:b/>
          <w:sz w:val="36"/>
        </w:rPr>
        <w:t>本）</w:t>
      </w:r>
    </w:p>
    <w:p>
      <w:pPr>
        <w:jc w:val="center"/>
        <w:rPr>
          <w:rFonts w:ascii="宋体" w:hAnsi="宋体"/>
          <w:b/>
          <w:sz w:val="36"/>
        </w:rPr>
      </w:pPr>
    </w:p>
    <w:p>
      <w:pPr>
        <w:ind w:firstLine="1970" w:firstLineChars="545"/>
        <w:rPr>
          <w:rFonts w:ascii="宋体" w:hAnsi="宋体"/>
          <w:b/>
          <w:sz w:val="36"/>
          <w:u w:val="single"/>
        </w:rPr>
      </w:pPr>
      <w:r>
        <w:rPr>
          <w:rFonts w:hint="eastAsia" w:ascii="宋体" w:hAnsi="宋体"/>
          <w:b/>
          <w:sz w:val="36"/>
        </w:rPr>
        <w:t>项目名称：</w:t>
      </w:r>
      <w:r>
        <w:rPr>
          <w:rFonts w:hint="eastAsia" w:ascii="宋体" w:hAnsi="宋体"/>
          <w:b/>
          <w:sz w:val="36"/>
          <w:u w:val="single"/>
        </w:rPr>
        <w:t xml:space="preserve">               </w:t>
      </w:r>
    </w:p>
    <w:p>
      <w:pPr>
        <w:ind w:firstLine="1970" w:firstLineChars="545"/>
        <w:rPr>
          <w:rFonts w:ascii="宋体" w:hAnsi="宋体"/>
          <w:b/>
          <w:sz w:val="36"/>
          <w:u w:val="single"/>
        </w:rPr>
      </w:pPr>
      <w:r>
        <w:rPr>
          <w:rFonts w:hint="eastAsia" w:ascii="宋体" w:hAnsi="宋体"/>
          <w:b/>
          <w:sz w:val="36"/>
        </w:rPr>
        <w:t>招标编号：</w:t>
      </w:r>
      <w:r>
        <w:rPr>
          <w:rFonts w:hint="eastAsia" w:ascii="宋体" w:hAnsi="宋体"/>
          <w:b/>
          <w:sz w:val="36"/>
          <w:u w:val="single"/>
        </w:rPr>
        <w:t xml:space="preserve">               </w:t>
      </w:r>
    </w:p>
    <w:p>
      <w:pPr>
        <w:spacing w:line="360" w:lineRule="auto"/>
        <w:ind w:firstLine="1970" w:firstLineChars="545"/>
        <w:rPr>
          <w:rFonts w:ascii="宋体" w:hAnsi="宋体"/>
          <w:b/>
          <w:sz w:val="36"/>
        </w:rPr>
      </w:pPr>
      <w:r>
        <w:rPr>
          <w:rFonts w:hint="eastAsia" w:ascii="宋体" w:hAnsi="宋体"/>
          <w:b/>
          <w:sz w:val="36"/>
        </w:rPr>
        <w:t>合同包号：</w:t>
      </w:r>
      <w:r>
        <w:rPr>
          <w:rFonts w:hint="eastAsia" w:ascii="宋体" w:hAnsi="宋体"/>
          <w:b/>
          <w:sz w:val="36"/>
          <w:u w:val="single"/>
        </w:rPr>
        <w:t xml:space="preserve">               </w:t>
      </w:r>
    </w:p>
    <w:p>
      <w:pPr>
        <w:spacing w:line="360" w:lineRule="auto"/>
        <w:rPr>
          <w:rFonts w:ascii="宋体" w:hAnsi="宋体"/>
          <w:b/>
          <w:sz w:val="36"/>
        </w:rPr>
      </w:pPr>
    </w:p>
    <w:p>
      <w:pPr>
        <w:jc w:val="center"/>
        <w:rPr>
          <w:rFonts w:ascii="宋体" w:hAnsi="宋体"/>
          <w:b/>
          <w:sz w:val="36"/>
        </w:rPr>
      </w:pPr>
      <w:r>
        <w:rPr>
          <w:rFonts w:hint="eastAsia" w:ascii="宋体" w:hAnsi="宋体"/>
          <w:b/>
          <w:sz w:val="36"/>
        </w:rPr>
        <w:t>（报价部分）</w:t>
      </w:r>
    </w:p>
    <w:p>
      <w:pPr>
        <w:rPr>
          <w:rFonts w:ascii="宋体" w:hAnsi="宋体"/>
          <w:b/>
          <w:sz w:val="36"/>
        </w:rPr>
      </w:pPr>
    </w:p>
    <w:p>
      <w:pPr>
        <w:rPr>
          <w:rFonts w:ascii="宋体" w:hAnsi="宋体"/>
          <w:b/>
          <w:sz w:val="36"/>
        </w:rPr>
      </w:pPr>
    </w:p>
    <w:p>
      <w:pPr>
        <w:spacing w:line="500" w:lineRule="exact"/>
        <w:rPr>
          <w:rFonts w:ascii="宋体" w:hAnsi="宋体"/>
          <w:b/>
          <w:sz w:val="32"/>
          <w:u w:val="single"/>
        </w:rPr>
      </w:pPr>
      <w:r>
        <w:rPr>
          <w:rFonts w:hint="eastAsia" w:ascii="宋体" w:hAnsi="宋体"/>
          <w:b/>
          <w:sz w:val="32"/>
        </w:rPr>
        <w:t xml:space="preserve">     投标人名称 ：</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法定代表人姓名：</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pPr>
        <w:spacing w:line="500" w:lineRule="exact"/>
        <w:ind w:firstLine="315" w:firstLineChars="98"/>
        <w:rPr>
          <w:rFonts w:ascii="宋体" w:hAnsi="宋体"/>
          <w:b/>
          <w:sz w:val="32"/>
          <w:u w:val="single"/>
        </w:rPr>
      </w:pPr>
      <w:r>
        <w:rPr>
          <w:rFonts w:hint="eastAsia" w:ascii="宋体" w:hAnsi="宋体"/>
          <w:b/>
          <w:sz w:val="32"/>
        </w:rPr>
        <w:t xml:space="preserve">   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pPr>
        <w:spacing w:line="500" w:lineRule="exact"/>
        <w:ind w:firstLine="790" w:firstLineChars="246"/>
        <w:rPr>
          <w:rFonts w:ascii="宋体" w:hAnsi="宋体"/>
          <w:b/>
          <w:sz w:val="32"/>
        </w:rPr>
      </w:pPr>
      <w:r>
        <w:rPr>
          <w:rFonts w:hint="eastAsia" w:ascii="宋体" w:hAnsi="宋体"/>
          <w:b/>
          <w:sz w:val="32"/>
        </w:rPr>
        <w:t>网址：</w:t>
      </w:r>
      <w:r>
        <w:rPr>
          <w:rFonts w:hint="eastAsia" w:ascii="宋体" w:hAnsi="宋体"/>
          <w:b/>
          <w:sz w:val="32"/>
          <w:u w:val="single"/>
        </w:rPr>
        <w:t xml:space="preserve">                                       </w:t>
      </w:r>
    </w:p>
    <w:p>
      <w:pPr>
        <w:spacing w:line="500" w:lineRule="exact"/>
        <w:ind w:firstLine="790" w:firstLineChars="246"/>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pPr>
        <w:spacing w:line="500" w:lineRule="exact"/>
        <w:ind w:firstLine="790" w:firstLineChars="246"/>
        <w:rPr>
          <w:rFonts w:ascii="宋体" w:hAnsi="宋体"/>
          <w:b/>
          <w:sz w:val="32"/>
          <w:u w:val="single"/>
        </w:rPr>
      </w:pPr>
      <w:r>
        <w:rPr>
          <w:rFonts w:hint="eastAsia" w:ascii="宋体" w:hAnsi="宋体"/>
          <w:b/>
          <w:sz w:val="32"/>
        </w:rPr>
        <w:t>投标代表（印刷体）：</w:t>
      </w:r>
      <w:r>
        <w:rPr>
          <w:rFonts w:hint="eastAsia" w:ascii="宋体" w:hAnsi="宋体"/>
          <w:b/>
          <w:sz w:val="32"/>
          <w:u w:val="single"/>
        </w:rPr>
        <w:t xml:space="preserve">         </w:t>
      </w:r>
      <w:r>
        <w:rPr>
          <w:rFonts w:hint="eastAsia" w:ascii="宋体" w:hAnsi="宋体"/>
          <w:b/>
          <w:sz w:val="32"/>
        </w:rPr>
        <w:t xml:space="preserve"> 签字：</w:t>
      </w:r>
      <w:r>
        <w:rPr>
          <w:rFonts w:hint="eastAsia" w:ascii="宋体" w:hAnsi="宋体"/>
          <w:b/>
          <w:sz w:val="32"/>
          <w:u w:val="single"/>
        </w:rPr>
        <w:t xml:space="preserve">          </w:t>
      </w:r>
    </w:p>
    <w:p>
      <w:pPr>
        <w:spacing w:line="500" w:lineRule="exact"/>
        <w:ind w:firstLine="790" w:firstLineChars="246"/>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：202</w:t>
      </w:r>
      <w:r>
        <w:rPr>
          <w:rFonts w:hint="eastAsia" w:ascii="宋体" w:hAnsi="宋体"/>
          <w:b/>
          <w:sz w:val="32"/>
          <w:u w:val="single"/>
        </w:rPr>
        <w:t xml:space="preserve">  </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pPr>
        <w:jc w:val="center"/>
        <w:rPr>
          <w:rFonts w:ascii="宋体" w:hAnsi="宋体"/>
          <w:b/>
          <w:bCs/>
          <w:sz w:val="36"/>
        </w:rPr>
      </w:pPr>
      <w:r>
        <w:rPr>
          <w:rFonts w:ascii="宋体" w:hAnsi="宋体"/>
          <w:b/>
          <w:sz w:val="36"/>
        </w:rPr>
        <w:br w:type="page"/>
      </w:r>
      <w:r>
        <w:rPr>
          <w:rFonts w:hint="eastAsia" w:ascii="宋体" w:hAnsi="宋体"/>
          <w:b/>
          <w:bCs/>
          <w:sz w:val="36"/>
        </w:rPr>
        <w:t>目    录</w:t>
      </w:r>
    </w:p>
    <w:p>
      <w:pPr>
        <w:pStyle w:val="9"/>
        <w:snapToGrid w:val="0"/>
        <w:spacing w:line="500" w:lineRule="atLeast"/>
        <w:ind w:firstLine="883" w:firstLineChars="275"/>
        <w:jc w:val="center"/>
        <w:rPr>
          <w:rFonts w:ascii="宋体" w:hAnsi="宋体"/>
          <w:b/>
          <w:bCs/>
          <w:sz w:val="32"/>
        </w:rPr>
      </w:pPr>
    </w:p>
    <w:p>
      <w:pPr>
        <w:pStyle w:val="9"/>
        <w:snapToGrid w:val="0"/>
        <w:spacing w:line="500" w:lineRule="atLeast"/>
        <w:ind w:firstLine="883" w:firstLineChars="275"/>
        <w:jc w:val="center"/>
        <w:rPr>
          <w:rFonts w:ascii="宋体" w:hAnsi="宋体"/>
          <w:b/>
          <w:bCs/>
          <w:sz w:val="32"/>
        </w:rPr>
      </w:pPr>
    </w:p>
    <w:p>
      <w:pPr>
        <w:spacing w:line="600" w:lineRule="atLeast"/>
        <w:rPr>
          <w:rFonts w:ascii="宋体" w:hAnsi="宋体"/>
          <w:szCs w:val="21"/>
        </w:rPr>
      </w:pPr>
      <w:r>
        <w:rPr>
          <w:rFonts w:hint="eastAsia" w:ascii="宋体" w:hAnsi="宋体"/>
          <w:szCs w:val="21"/>
        </w:rPr>
        <w:t>1. 开标一览表</w:t>
      </w:r>
    </w:p>
    <w:p>
      <w:pPr>
        <w:spacing w:line="600" w:lineRule="atLeast"/>
        <w:rPr>
          <w:rFonts w:ascii="宋体" w:hAnsi="宋体"/>
          <w:szCs w:val="21"/>
        </w:rPr>
      </w:pPr>
      <w:r>
        <w:rPr>
          <w:rFonts w:hint="eastAsia" w:ascii="宋体" w:hAnsi="宋体"/>
          <w:szCs w:val="21"/>
        </w:rPr>
        <w:t>2. 投标分项报价表</w:t>
      </w:r>
    </w:p>
    <w:p>
      <w:pPr>
        <w:pStyle w:val="133"/>
        <w:keepNext w:val="0"/>
        <w:keepLines w:val="0"/>
        <w:spacing w:before="0" w:after="0" w:line="500" w:lineRule="atLeast"/>
        <w:ind w:left="0" w:firstLine="0"/>
        <w:jc w:val="both"/>
        <w:outlineLvl w:val="9"/>
        <w:rPr>
          <w:rFonts w:ascii="宋体" w:hAnsi="宋体" w:eastAsia="宋体"/>
          <w:kern w:val="2"/>
          <w:sz w:val="21"/>
          <w:szCs w:val="21"/>
        </w:rPr>
      </w:pPr>
      <w:bookmarkStart w:id="109" w:name="_Toc74326541"/>
      <w:bookmarkStart w:id="110" w:name="_Toc489736848"/>
      <w:bookmarkStart w:id="111" w:name="_Toc489736819"/>
      <w:r>
        <w:rPr>
          <w:rFonts w:hint="eastAsia" w:ascii="宋体" w:hAnsi="宋体" w:eastAsia="宋体"/>
          <w:kern w:val="2"/>
          <w:sz w:val="21"/>
          <w:szCs w:val="21"/>
        </w:rPr>
        <w:t>3.申请退还投标保证金函</w:t>
      </w:r>
      <w:bookmarkEnd w:id="109"/>
      <w:bookmarkEnd w:id="110"/>
      <w:bookmarkEnd w:id="111"/>
    </w:p>
    <w:p>
      <w:pPr>
        <w:pStyle w:val="133"/>
        <w:keepNext w:val="0"/>
        <w:keepLines w:val="0"/>
        <w:spacing w:before="0" w:after="0" w:line="500" w:lineRule="atLeast"/>
        <w:ind w:left="0" w:firstLine="0"/>
        <w:jc w:val="both"/>
        <w:outlineLvl w:val="9"/>
        <w:rPr>
          <w:rFonts w:ascii="宋体" w:hAnsi="宋体" w:eastAsia="宋体"/>
          <w:kern w:val="2"/>
          <w:sz w:val="24"/>
        </w:rPr>
      </w:pPr>
    </w:p>
    <w:p>
      <w:pPr>
        <w:pStyle w:val="151"/>
        <w:spacing w:line="500" w:lineRule="atLeast"/>
        <w:jc w:val="center"/>
        <w:outlineLvl w:val="9"/>
        <w:rPr>
          <w:rFonts w:hint="default" w:hAnsi="宋体"/>
          <w:b/>
          <w:sz w:val="36"/>
        </w:rPr>
      </w:pPr>
    </w:p>
    <w:p>
      <w:pPr>
        <w:pStyle w:val="151"/>
        <w:spacing w:line="500" w:lineRule="atLeast"/>
        <w:jc w:val="center"/>
        <w:outlineLvl w:val="9"/>
        <w:rPr>
          <w:rFonts w:hint="default" w:hAnsi="宋体"/>
          <w:b/>
          <w:sz w:val="36"/>
        </w:rPr>
      </w:pPr>
    </w:p>
    <w:p>
      <w:pPr>
        <w:pStyle w:val="151"/>
        <w:spacing w:line="500" w:lineRule="atLeast"/>
        <w:jc w:val="center"/>
        <w:outlineLvl w:val="9"/>
        <w:rPr>
          <w:rFonts w:hint="default" w:hAnsi="宋体"/>
          <w:b/>
          <w:sz w:val="36"/>
        </w:rPr>
      </w:pPr>
    </w:p>
    <w:p>
      <w:pPr>
        <w:pStyle w:val="151"/>
        <w:spacing w:line="500" w:lineRule="atLeast"/>
        <w:jc w:val="center"/>
        <w:outlineLvl w:val="9"/>
        <w:rPr>
          <w:rFonts w:hint="default" w:hAnsi="宋体"/>
          <w:b/>
          <w:sz w:val="36"/>
        </w:rPr>
      </w:pPr>
    </w:p>
    <w:p>
      <w:pPr>
        <w:pStyle w:val="151"/>
        <w:spacing w:line="500" w:lineRule="atLeast"/>
        <w:jc w:val="center"/>
        <w:outlineLvl w:val="9"/>
        <w:rPr>
          <w:rFonts w:hint="default" w:hAnsi="宋体"/>
          <w:b/>
          <w:sz w:val="36"/>
        </w:rPr>
      </w:pPr>
    </w:p>
    <w:p>
      <w:pPr>
        <w:pStyle w:val="151"/>
        <w:spacing w:line="500" w:lineRule="atLeast"/>
        <w:jc w:val="center"/>
        <w:outlineLvl w:val="9"/>
        <w:rPr>
          <w:rFonts w:hint="default" w:hAnsi="宋体"/>
          <w:b/>
          <w:sz w:val="36"/>
        </w:rPr>
      </w:pPr>
    </w:p>
    <w:p>
      <w:pPr>
        <w:pStyle w:val="151"/>
        <w:spacing w:line="500" w:lineRule="atLeast"/>
        <w:jc w:val="center"/>
        <w:outlineLvl w:val="9"/>
        <w:rPr>
          <w:rFonts w:hint="default" w:hAnsi="宋体"/>
          <w:b/>
          <w:sz w:val="36"/>
        </w:rPr>
      </w:pPr>
    </w:p>
    <w:p>
      <w:pPr>
        <w:pStyle w:val="151"/>
        <w:spacing w:line="500" w:lineRule="atLeast"/>
        <w:outlineLvl w:val="9"/>
        <w:rPr>
          <w:rFonts w:hint="default" w:hAnsi="宋体"/>
          <w:b/>
          <w:sz w:val="36"/>
        </w:rPr>
      </w:pPr>
    </w:p>
    <w:p>
      <w:pPr>
        <w:pStyle w:val="151"/>
        <w:spacing w:line="500" w:lineRule="atLeast"/>
        <w:jc w:val="center"/>
        <w:outlineLvl w:val="9"/>
        <w:rPr>
          <w:rFonts w:hint="default" w:hAnsi="宋体"/>
          <w:b/>
          <w:sz w:val="36"/>
        </w:rPr>
        <w:sectPr>
          <w:pgSz w:w="11906" w:h="16838"/>
          <w:pgMar w:top="1361" w:right="1304" w:bottom="1440" w:left="1474" w:header="851" w:footer="992" w:gutter="0"/>
          <w:cols w:space="720" w:num="1"/>
          <w:titlePg/>
          <w:docGrid w:linePitch="312" w:charSpace="0"/>
        </w:sectPr>
      </w:pPr>
    </w:p>
    <w:p>
      <w:pPr>
        <w:jc w:val="center"/>
        <w:rPr>
          <w:rFonts w:ascii="宋体" w:hAnsi="宋体"/>
          <w:b/>
          <w:bCs/>
          <w:sz w:val="36"/>
        </w:rPr>
      </w:pPr>
      <w:bookmarkStart w:id="112" w:name="_Toc287002968"/>
      <w:r>
        <w:rPr>
          <w:rFonts w:hint="eastAsia" w:ascii="宋体" w:hAnsi="宋体"/>
          <w:b/>
          <w:bCs/>
          <w:sz w:val="36"/>
        </w:rPr>
        <w:t>开标一览表</w:t>
      </w:r>
      <w:bookmarkEnd w:id="112"/>
    </w:p>
    <w:p>
      <w:pPr>
        <w:rPr>
          <w:rFonts w:ascii="宋体" w:hAnsi="宋体"/>
          <w:szCs w:val="21"/>
        </w:rPr>
      </w:pPr>
      <w:r>
        <w:rPr>
          <w:rFonts w:hint="eastAsia" w:ascii="宋体" w:hAnsi="宋体"/>
          <w:szCs w:val="21"/>
        </w:rPr>
        <w:t>投标人：                 招标编号∶                        货币单位：</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483"/>
        <w:gridCol w:w="1559"/>
        <w:gridCol w:w="770"/>
        <w:gridCol w:w="1708"/>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911" w:type="dxa"/>
            <w:vAlign w:val="center"/>
          </w:tcPr>
          <w:p>
            <w:pPr>
              <w:spacing w:line="440" w:lineRule="exact"/>
              <w:jc w:val="center"/>
              <w:rPr>
                <w:rFonts w:ascii="宋体" w:hAnsi="宋体" w:cs="宋体"/>
                <w:szCs w:val="21"/>
              </w:rPr>
            </w:pPr>
            <w:r>
              <w:rPr>
                <w:rFonts w:hint="eastAsia" w:ascii="宋体" w:hAnsi="宋体" w:cs="宋体"/>
                <w:szCs w:val="21"/>
              </w:rPr>
              <w:t>序号</w:t>
            </w:r>
          </w:p>
        </w:tc>
        <w:tc>
          <w:tcPr>
            <w:tcW w:w="2483" w:type="dxa"/>
            <w:vAlign w:val="center"/>
          </w:tcPr>
          <w:p>
            <w:pPr>
              <w:spacing w:line="440" w:lineRule="exact"/>
              <w:jc w:val="center"/>
              <w:rPr>
                <w:rFonts w:ascii="宋体" w:hAnsi="宋体" w:cs="宋体"/>
                <w:szCs w:val="21"/>
              </w:rPr>
            </w:pPr>
            <w:r>
              <w:rPr>
                <w:rFonts w:hint="eastAsia" w:ascii="宋体" w:hAnsi="宋体" w:cs="宋体"/>
                <w:szCs w:val="21"/>
              </w:rPr>
              <w:t>项目名称</w:t>
            </w:r>
          </w:p>
        </w:tc>
        <w:tc>
          <w:tcPr>
            <w:tcW w:w="1559" w:type="dxa"/>
            <w:vAlign w:val="center"/>
          </w:tcPr>
          <w:p>
            <w:pPr>
              <w:spacing w:line="440" w:lineRule="exact"/>
              <w:jc w:val="center"/>
              <w:rPr>
                <w:rFonts w:ascii="宋体" w:hAnsi="宋体" w:cs="宋体"/>
                <w:szCs w:val="21"/>
              </w:rPr>
            </w:pPr>
            <w:r>
              <w:rPr>
                <w:rFonts w:hint="eastAsia" w:ascii="宋体" w:hAnsi="宋体" w:cs="宋体"/>
                <w:szCs w:val="21"/>
              </w:rPr>
              <w:t>数量</w:t>
            </w:r>
          </w:p>
        </w:tc>
        <w:tc>
          <w:tcPr>
            <w:tcW w:w="770" w:type="dxa"/>
            <w:vAlign w:val="center"/>
          </w:tcPr>
          <w:p>
            <w:pPr>
              <w:spacing w:line="440" w:lineRule="exact"/>
              <w:rPr>
                <w:rFonts w:ascii="宋体" w:hAnsi="宋体" w:cs="宋体"/>
                <w:szCs w:val="21"/>
              </w:rPr>
            </w:pPr>
            <w:r>
              <w:rPr>
                <w:rFonts w:ascii="宋体" w:hAnsi="宋体" w:cs="宋体"/>
                <w:szCs w:val="21"/>
              </w:rPr>
              <w:t>品牌</w:t>
            </w:r>
          </w:p>
        </w:tc>
        <w:tc>
          <w:tcPr>
            <w:tcW w:w="1708" w:type="dxa"/>
            <w:vAlign w:val="center"/>
          </w:tcPr>
          <w:p>
            <w:pPr>
              <w:spacing w:line="440" w:lineRule="exact"/>
              <w:jc w:val="center"/>
              <w:rPr>
                <w:rFonts w:ascii="宋体" w:hAnsi="宋体" w:cs="宋体"/>
                <w:szCs w:val="21"/>
              </w:rPr>
            </w:pPr>
            <w:r>
              <w:rPr>
                <w:rFonts w:hint="eastAsia" w:ascii="宋体" w:hAnsi="宋体" w:cs="宋体"/>
                <w:szCs w:val="21"/>
              </w:rPr>
              <w:t>投标报价</w:t>
            </w:r>
          </w:p>
          <w:p>
            <w:pPr>
              <w:spacing w:line="440" w:lineRule="exact"/>
              <w:jc w:val="center"/>
              <w:rPr>
                <w:rFonts w:ascii="宋体" w:hAnsi="宋体" w:cs="宋体"/>
                <w:szCs w:val="21"/>
              </w:rPr>
            </w:pPr>
            <w:r>
              <w:rPr>
                <w:rFonts w:hint="eastAsia" w:ascii="宋体" w:hAnsi="宋体" w:cs="宋体"/>
                <w:szCs w:val="21"/>
              </w:rPr>
              <w:t>(元)</w:t>
            </w:r>
          </w:p>
        </w:tc>
        <w:tc>
          <w:tcPr>
            <w:tcW w:w="999" w:type="dxa"/>
            <w:vAlign w:val="center"/>
          </w:tcPr>
          <w:p>
            <w:pPr>
              <w:spacing w:line="44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911" w:type="dxa"/>
            <w:vAlign w:val="center"/>
          </w:tcPr>
          <w:p>
            <w:pPr>
              <w:spacing w:line="440" w:lineRule="exact"/>
              <w:jc w:val="center"/>
              <w:rPr>
                <w:rFonts w:ascii="宋体" w:hAnsi="宋体" w:cs="宋体"/>
                <w:bCs/>
                <w:szCs w:val="21"/>
              </w:rPr>
            </w:pPr>
            <w:r>
              <w:rPr>
                <w:rFonts w:hint="eastAsia" w:ascii="宋体" w:hAnsi="宋体" w:cs="宋体"/>
                <w:bCs/>
                <w:szCs w:val="21"/>
              </w:rPr>
              <w:t>1</w:t>
            </w:r>
          </w:p>
        </w:tc>
        <w:tc>
          <w:tcPr>
            <w:tcW w:w="2483" w:type="dxa"/>
            <w:vAlign w:val="center"/>
          </w:tcPr>
          <w:p>
            <w:pPr>
              <w:spacing w:line="440" w:lineRule="exact"/>
              <w:jc w:val="center"/>
              <w:rPr>
                <w:rFonts w:ascii="宋体" w:hAnsi="宋体" w:cs="宋体"/>
                <w:szCs w:val="21"/>
              </w:rPr>
            </w:pPr>
          </w:p>
        </w:tc>
        <w:tc>
          <w:tcPr>
            <w:tcW w:w="1559" w:type="dxa"/>
            <w:vAlign w:val="center"/>
          </w:tcPr>
          <w:p>
            <w:pPr>
              <w:spacing w:line="440" w:lineRule="exact"/>
              <w:jc w:val="center"/>
              <w:rPr>
                <w:rFonts w:ascii="宋体" w:hAnsi="宋体" w:cs="宋体"/>
                <w:bCs/>
                <w:szCs w:val="21"/>
              </w:rPr>
            </w:pPr>
          </w:p>
        </w:tc>
        <w:tc>
          <w:tcPr>
            <w:tcW w:w="770" w:type="dxa"/>
            <w:vAlign w:val="center"/>
          </w:tcPr>
          <w:p>
            <w:pPr>
              <w:pStyle w:val="32"/>
              <w:spacing w:line="440" w:lineRule="exact"/>
              <w:rPr>
                <w:rFonts w:cs="宋体"/>
                <w:bCs/>
                <w:sz w:val="21"/>
                <w:szCs w:val="21"/>
              </w:rPr>
            </w:pPr>
          </w:p>
        </w:tc>
        <w:tc>
          <w:tcPr>
            <w:tcW w:w="1708" w:type="dxa"/>
            <w:vAlign w:val="center"/>
          </w:tcPr>
          <w:p>
            <w:pPr>
              <w:pStyle w:val="32"/>
              <w:spacing w:line="440" w:lineRule="exact"/>
              <w:rPr>
                <w:rFonts w:cs="宋体"/>
                <w:bCs/>
                <w:sz w:val="21"/>
                <w:szCs w:val="21"/>
              </w:rPr>
            </w:pPr>
          </w:p>
        </w:tc>
        <w:tc>
          <w:tcPr>
            <w:tcW w:w="999" w:type="dxa"/>
            <w:vAlign w:val="center"/>
          </w:tcPr>
          <w:p>
            <w:pPr>
              <w:pStyle w:val="32"/>
              <w:rPr>
                <w:rFonts w:cs="宋体"/>
                <w:bCs/>
                <w:sz w:val="21"/>
                <w:szCs w:val="21"/>
              </w:rPr>
            </w:pPr>
          </w:p>
        </w:tc>
      </w:tr>
    </w:tbl>
    <w:p>
      <w:pPr>
        <w:spacing w:line="340" w:lineRule="exact"/>
        <w:ind w:firstLine="420"/>
        <w:rPr>
          <w:rFonts w:ascii="宋体" w:hAnsi="宋体" w:cs="宋体"/>
          <w:szCs w:val="21"/>
        </w:rPr>
      </w:pPr>
    </w:p>
    <w:p>
      <w:pPr>
        <w:tabs>
          <w:tab w:val="left" w:pos="5355"/>
        </w:tabs>
        <w:snapToGrid w:val="0"/>
        <w:spacing w:before="120" w:beforeLines="50"/>
        <w:ind w:firstLine="525" w:firstLineChars="250"/>
        <w:rPr>
          <w:rFonts w:ascii="宋体" w:hAnsi="宋体" w:cs="宋体"/>
          <w:szCs w:val="21"/>
        </w:rPr>
      </w:pPr>
    </w:p>
    <w:p>
      <w:pPr>
        <w:tabs>
          <w:tab w:val="left" w:pos="5355"/>
        </w:tabs>
        <w:snapToGrid w:val="0"/>
        <w:spacing w:before="120" w:beforeLines="50"/>
        <w:ind w:firstLine="525" w:firstLineChars="250"/>
        <w:rPr>
          <w:rFonts w:ascii="宋体" w:hAnsi="宋体" w:cs="宋体"/>
          <w:szCs w:val="21"/>
        </w:rPr>
      </w:pPr>
      <w:r>
        <w:rPr>
          <w:rFonts w:hint="eastAsia" w:ascii="宋体" w:hAnsi="宋体" w:cs="宋体"/>
          <w:szCs w:val="21"/>
        </w:rPr>
        <w:t>投标人名称：</w:t>
      </w:r>
      <w:r>
        <w:rPr>
          <w:rFonts w:hint="eastAsia" w:ascii="宋体" w:hAnsi="宋体" w:cs="宋体"/>
          <w:b/>
          <w:bCs/>
          <w:szCs w:val="21"/>
        </w:rPr>
        <w:t>（全称并加公章）</w:t>
      </w:r>
    </w:p>
    <w:p>
      <w:pPr>
        <w:tabs>
          <w:tab w:val="left" w:pos="5355"/>
        </w:tabs>
        <w:snapToGrid w:val="0"/>
        <w:spacing w:before="120" w:beforeLines="50"/>
        <w:ind w:firstLine="525" w:firstLineChars="250"/>
        <w:rPr>
          <w:rFonts w:ascii="宋体" w:hAnsi="宋体" w:cs="宋体"/>
          <w:szCs w:val="21"/>
        </w:rPr>
      </w:pPr>
      <w:r>
        <w:rPr>
          <w:rFonts w:hint="eastAsia" w:ascii="宋体" w:hAnsi="宋体" w:cs="宋体"/>
          <w:szCs w:val="21"/>
        </w:rPr>
        <w:t xml:space="preserve">投标人代表签字： </w:t>
      </w:r>
    </w:p>
    <w:p>
      <w:pPr>
        <w:tabs>
          <w:tab w:val="left" w:pos="5355"/>
        </w:tabs>
        <w:snapToGrid w:val="0"/>
        <w:spacing w:before="120" w:beforeLines="50"/>
        <w:ind w:firstLine="525" w:firstLineChars="250"/>
        <w:rPr>
          <w:rFonts w:ascii="宋体" w:hAnsi="宋体" w:cs="宋体"/>
          <w:szCs w:val="21"/>
        </w:rPr>
      </w:pPr>
      <w:r>
        <w:rPr>
          <w:rFonts w:hint="eastAsia" w:ascii="宋体" w:hAnsi="宋体" w:cs="宋体"/>
          <w:szCs w:val="21"/>
        </w:rPr>
        <w:t>日期：     年   月   日</w:t>
      </w:r>
    </w:p>
    <w:p>
      <w:pPr>
        <w:spacing w:line="360" w:lineRule="auto"/>
        <w:jc w:val="center"/>
        <w:rPr>
          <w:rFonts w:ascii="宋体" w:hAnsi="宋体" w:cs="宋体"/>
          <w:spacing w:val="20"/>
          <w:sz w:val="28"/>
        </w:rPr>
      </w:pPr>
    </w:p>
    <w:p>
      <w:pPr>
        <w:pStyle w:val="138"/>
        <w:adjustRightInd w:val="0"/>
        <w:snapToGrid w:val="0"/>
        <w:spacing w:line="320" w:lineRule="atLeast"/>
        <w:ind w:firstLine="0" w:firstLineChars="0"/>
        <w:rPr>
          <w:rFonts w:ascii="宋体" w:hAnsi="宋体"/>
          <w:szCs w:val="21"/>
        </w:rPr>
        <w:sectPr>
          <w:pgSz w:w="11906" w:h="16838"/>
          <w:pgMar w:top="1418" w:right="1418" w:bottom="964" w:left="1474" w:header="851" w:footer="992" w:gutter="0"/>
          <w:cols w:space="720" w:num="1"/>
          <w:docGrid w:linePitch="312" w:charSpace="0"/>
        </w:sectPr>
      </w:pPr>
    </w:p>
    <w:p>
      <w:pPr>
        <w:rPr>
          <w:rFonts w:ascii="宋体" w:hAnsi="宋体"/>
          <w:szCs w:val="21"/>
          <w:u w:val="single"/>
        </w:rPr>
      </w:pPr>
    </w:p>
    <w:p>
      <w:pPr>
        <w:jc w:val="center"/>
        <w:rPr>
          <w:rFonts w:ascii="宋体" w:hAnsi="宋体"/>
          <w:b/>
          <w:bCs/>
          <w:szCs w:val="21"/>
        </w:rPr>
      </w:pPr>
      <w:r>
        <w:rPr>
          <w:rFonts w:hint="eastAsia" w:ascii="宋体" w:hAnsi="宋体"/>
          <w:b/>
          <w:bCs/>
          <w:szCs w:val="21"/>
        </w:rPr>
        <w:t>投标分项报价表</w:t>
      </w:r>
    </w:p>
    <w:p>
      <w:pPr>
        <w:pStyle w:val="133"/>
        <w:keepNext w:val="0"/>
        <w:keepLines w:val="0"/>
        <w:spacing w:before="0" w:after="0" w:line="500" w:lineRule="atLeast"/>
        <w:ind w:left="0" w:firstLine="480"/>
        <w:jc w:val="both"/>
        <w:outlineLvl w:val="9"/>
        <w:rPr>
          <w:rFonts w:ascii="宋体" w:hAnsi="宋体" w:eastAsia="宋体"/>
          <w:sz w:val="21"/>
          <w:szCs w:val="21"/>
        </w:rPr>
      </w:pPr>
      <w:bookmarkStart w:id="113" w:name="_Toc489736849"/>
      <w:bookmarkStart w:id="114" w:name="_Toc74326542"/>
      <w:bookmarkStart w:id="115" w:name="_Toc492830289"/>
      <w:bookmarkStart w:id="116" w:name="_Toc489736820"/>
      <w:r>
        <w:rPr>
          <w:rFonts w:hint="eastAsia" w:ascii="宋体" w:hAnsi="宋体" w:eastAsia="宋体"/>
          <w:sz w:val="21"/>
          <w:szCs w:val="21"/>
        </w:rPr>
        <w:t>投标人名称：             招标编号：     货币单位：</w:t>
      </w:r>
      <w:bookmarkEnd w:id="113"/>
      <w:bookmarkEnd w:id="114"/>
      <w:bookmarkEnd w:id="115"/>
      <w:bookmarkEnd w:id="116"/>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20"/>
        <w:gridCol w:w="2508"/>
        <w:gridCol w:w="1110"/>
        <w:gridCol w:w="1135"/>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vAlign w:val="center"/>
          </w:tcPr>
          <w:p>
            <w:pPr>
              <w:spacing w:line="500" w:lineRule="atLeast"/>
              <w:jc w:val="center"/>
              <w:rPr>
                <w:rFonts w:ascii="宋体" w:hAnsi="宋体"/>
                <w:szCs w:val="21"/>
              </w:rPr>
            </w:pPr>
          </w:p>
        </w:tc>
        <w:tc>
          <w:tcPr>
            <w:tcW w:w="2508" w:type="dxa"/>
            <w:vAlign w:val="center"/>
          </w:tcPr>
          <w:p>
            <w:pPr>
              <w:spacing w:line="500" w:lineRule="atLeast"/>
              <w:rPr>
                <w:rFonts w:ascii="宋体" w:hAnsi="宋体"/>
                <w:szCs w:val="21"/>
              </w:rPr>
            </w:pPr>
          </w:p>
        </w:tc>
        <w:tc>
          <w:tcPr>
            <w:tcW w:w="1110" w:type="dxa"/>
            <w:vAlign w:val="center"/>
          </w:tcPr>
          <w:p>
            <w:pPr>
              <w:spacing w:line="500" w:lineRule="atLeast"/>
              <w:rPr>
                <w:rFonts w:ascii="宋体" w:hAnsi="宋体"/>
                <w:szCs w:val="21"/>
              </w:rPr>
            </w:pPr>
          </w:p>
        </w:tc>
        <w:tc>
          <w:tcPr>
            <w:tcW w:w="1135" w:type="dxa"/>
            <w:vAlign w:val="center"/>
          </w:tcPr>
          <w:p>
            <w:pPr>
              <w:spacing w:line="500" w:lineRule="atLeast"/>
              <w:rPr>
                <w:rFonts w:ascii="宋体" w:hAnsi="宋体"/>
                <w:szCs w:val="21"/>
              </w:rPr>
            </w:pPr>
          </w:p>
        </w:tc>
        <w:tc>
          <w:tcPr>
            <w:tcW w:w="1276" w:type="dxa"/>
            <w:vAlign w:val="center"/>
          </w:tcPr>
          <w:p>
            <w:pPr>
              <w:spacing w:line="500" w:lineRule="atLeast"/>
              <w:rPr>
                <w:rFonts w:ascii="宋体" w:hAnsi="宋体"/>
                <w:szCs w:val="21"/>
              </w:rPr>
            </w:pPr>
          </w:p>
        </w:tc>
        <w:tc>
          <w:tcPr>
            <w:tcW w:w="1701" w:type="dxa"/>
            <w:vAlign w:val="center"/>
          </w:tcPr>
          <w:p>
            <w:pPr>
              <w:spacing w:line="5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vAlign w:val="center"/>
          </w:tcPr>
          <w:p>
            <w:pPr>
              <w:spacing w:line="500" w:lineRule="atLeast"/>
              <w:jc w:val="center"/>
              <w:rPr>
                <w:rFonts w:ascii="宋体" w:hAnsi="宋体"/>
                <w:szCs w:val="21"/>
              </w:rPr>
            </w:pPr>
          </w:p>
        </w:tc>
        <w:tc>
          <w:tcPr>
            <w:tcW w:w="2508" w:type="dxa"/>
            <w:vAlign w:val="center"/>
          </w:tcPr>
          <w:p>
            <w:pPr>
              <w:spacing w:line="500" w:lineRule="atLeast"/>
              <w:rPr>
                <w:rFonts w:ascii="宋体" w:hAnsi="宋体"/>
                <w:szCs w:val="21"/>
              </w:rPr>
            </w:pPr>
          </w:p>
        </w:tc>
        <w:tc>
          <w:tcPr>
            <w:tcW w:w="1110" w:type="dxa"/>
            <w:vAlign w:val="center"/>
          </w:tcPr>
          <w:p>
            <w:pPr>
              <w:spacing w:line="500" w:lineRule="atLeast"/>
              <w:rPr>
                <w:rFonts w:ascii="宋体" w:hAnsi="宋体"/>
                <w:szCs w:val="21"/>
              </w:rPr>
            </w:pPr>
          </w:p>
        </w:tc>
        <w:tc>
          <w:tcPr>
            <w:tcW w:w="1135" w:type="dxa"/>
            <w:vAlign w:val="center"/>
          </w:tcPr>
          <w:p>
            <w:pPr>
              <w:spacing w:line="500" w:lineRule="atLeast"/>
              <w:rPr>
                <w:rFonts w:ascii="宋体" w:hAnsi="宋体"/>
                <w:szCs w:val="21"/>
              </w:rPr>
            </w:pPr>
          </w:p>
        </w:tc>
        <w:tc>
          <w:tcPr>
            <w:tcW w:w="1276" w:type="dxa"/>
            <w:vAlign w:val="center"/>
          </w:tcPr>
          <w:p>
            <w:pPr>
              <w:spacing w:line="500" w:lineRule="atLeast"/>
              <w:rPr>
                <w:rFonts w:ascii="宋体" w:hAnsi="宋体"/>
                <w:szCs w:val="21"/>
              </w:rPr>
            </w:pPr>
          </w:p>
        </w:tc>
        <w:tc>
          <w:tcPr>
            <w:tcW w:w="1701" w:type="dxa"/>
            <w:vAlign w:val="center"/>
          </w:tcPr>
          <w:p>
            <w:pPr>
              <w:spacing w:line="5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vAlign w:val="center"/>
          </w:tcPr>
          <w:p>
            <w:pPr>
              <w:spacing w:line="500" w:lineRule="atLeast"/>
              <w:jc w:val="center"/>
              <w:rPr>
                <w:rFonts w:ascii="宋体" w:hAnsi="宋体"/>
                <w:szCs w:val="21"/>
              </w:rPr>
            </w:pPr>
          </w:p>
        </w:tc>
        <w:tc>
          <w:tcPr>
            <w:tcW w:w="2508" w:type="dxa"/>
            <w:vAlign w:val="center"/>
          </w:tcPr>
          <w:p>
            <w:pPr>
              <w:spacing w:line="500" w:lineRule="atLeast"/>
              <w:rPr>
                <w:rFonts w:ascii="宋体" w:hAnsi="宋体"/>
                <w:szCs w:val="21"/>
              </w:rPr>
            </w:pPr>
          </w:p>
        </w:tc>
        <w:tc>
          <w:tcPr>
            <w:tcW w:w="1110" w:type="dxa"/>
            <w:vAlign w:val="center"/>
          </w:tcPr>
          <w:p>
            <w:pPr>
              <w:spacing w:line="500" w:lineRule="atLeast"/>
              <w:rPr>
                <w:rFonts w:ascii="宋体" w:hAnsi="宋体"/>
                <w:szCs w:val="21"/>
              </w:rPr>
            </w:pPr>
          </w:p>
        </w:tc>
        <w:tc>
          <w:tcPr>
            <w:tcW w:w="1135" w:type="dxa"/>
            <w:vAlign w:val="center"/>
          </w:tcPr>
          <w:p>
            <w:pPr>
              <w:spacing w:line="500" w:lineRule="atLeast"/>
              <w:rPr>
                <w:rFonts w:ascii="宋体" w:hAnsi="宋体"/>
                <w:szCs w:val="21"/>
              </w:rPr>
            </w:pPr>
          </w:p>
        </w:tc>
        <w:tc>
          <w:tcPr>
            <w:tcW w:w="1276" w:type="dxa"/>
            <w:vAlign w:val="center"/>
          </w:tcPr>
          <w:p>
            <w:pPr>
              <w:spacing w:line="500" w:lineRule="atLeast"/>
              <w:rPr>
                <w:rFonts w:ascii="宋体" w:hAnsi="宋体"/>
                <w:szCs w:val="21"/>
              </w:rPr>
            </w:pPr>
          </w:p>
        </w:tc>
        <w:tc>
          <w:tcPr>
            <w:tcW w:w="1701" w:type="dxa"/>
            <w:vAlign w:val="center"/>
          </w:tcPr>
          <w:p>
            <w:pPr>
              <w:spacing w:line="5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vAlign w:val="center"/>
          </w:tcPr>
          <w:p>
            <w:pPr>
              <w:spacing w:line="500" w:lineRule="atLeast"/>
              <w:jc w:val="center"/>
              <w:rPr>
                <w:rFonts w:ascii="宋体" w:hAnsi="宋体"/>
                <w:szCs w:val="21"/>
              </w:rPr>
            </w:pPr>
          </w:p>
        </w:tc>
        <w:tc>
          <w:tcPr>
            <w:tcW w:w="2508" w:type="dxa"/>
            <w:vAlign w:val="center"/>
          </w:tcPr>
          <w:p>
            <w:pPr>
              <w:spacing w:line="500" w:lineRule="atLeast"/>
              <w:rPr>
                <w:rFonts w:ascii="宋体" w:hAnsi="宋体"/>
                <w:szCs w:val="21"/>
              </w:rPr>
            </w:pPr>
          </w:p>
        </w:tc>
        <w:tc>
          <w:tcPr>
            <w:tcW w:w="1110" w:type="dxa"/>
            <w:vAlign w:val="center"/>
          </w:tcPr>
          <w:p>
            <w:pPr>
              <w:spacing w:line="500" w:lineRule="atLeast"/>
              <w:rPr>
                <w:rFonts w:ascii="宋体" w:hAnsi="宋体"/>
                <w:szCs w:val="21"/>
              </w:rPr>
            </w:pPr>
          </w:p>
        </w:tc>
        <w:tc>
          <w:tcPr>
            <w:tcW w:w="1135" w:type="dxa"/>
            <w:vAlign w:val="center"/>
          </w:tcPr>
          <w:p>
            <w:pPr>
              <w:spacing w:line="500" w:lineRule="atLeast"/>
              <w:rPr>
                <w:rFonts w:ascii="宋体" w:hAnsi="宋体"/>
                <w:szCs w:val="21"/>
              </w:rPr>
            </w:pPr>
          </w:p>
        </w:tc>
        <w:tc>
          <w:tcPr>
            <w:tcW w:w="1276" w:type="dxa"/>
            <w:vAlign w:val="center"/>
          </w:tcPr>
          <w:p>
            <w:pPr>
              <w:spacing w:line="500" w:lineRule="atLeast"/>
              <w:rPr>
                <w:rFonts w:ascii="宋体" w:hAnsi="宋体"/>
                <w:szCs w:val="21"/>
              </w:rPr>
            </w:pPr>
          </w:p>
        </w:tc>
        <w:tc>
          <w:tcPr>
            <w:tcW w:w="1701" w:type="dxa"/>
            <w:vAlign w:val="center"/>
          </w:tcPr>
          <w:p>
            <w:pPr>
              <w:spacing w:line="5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vAlign w:val="center"/>
          </w:tcPr>
          <w:p>
            <w:pPr>
              <w:spacing w:line="500" w:lineRule="atLeast"/>
              <w:jc w:val="center"/>
              <w:rPr>
                <w:rFonts w:ascii="宋体" w:hAnsi="宋体"/>
                <w:szCs w:val="21"/>
              </w:rPr>
            </w:pPr>
          </w:p>
        </w:tc>
        <w:tc>
          <w:tcPr>
            <w:tcW w:w="2508" w:type="dxa"/>
            <w:vAlign w:val="center"/>
          </w:tcPr>
          <w:p>
            <w:pPr>
              <w:spacing w:line="500" w:lineRule="atLeast"/>
              <w:rPr>
                <w:rFonts w:ascii="宋体" w:hAnsi="宋体"/>
                <w:szCs w:val="21"/>
              </w:rPr>
            </w:pPr>
          </w:p>
        </w:tc>
        <w:tc>
          <w:tcPr>
            <w:tcW w:w="1110" w:type="dxa"/>
            <w:vAlign w:val="center"/>
          </w:tcPr>
          <w:p>
            <w:pPr>
              <w:spacing w:line="500" w:lineRule="atLeast"/>
              <w:rPr>
                <w:rFonts w:ascii="宋体" w:hAnsi="宋体"/>
                <w:szCs w:val="21"/>
              </w:rPr>
            </w:pPr>
          </w:p>
        </w:tc>
        <w:tc>
          <w:tcPr>
            <w:tcW w:w="1135" w:type="dxa"/>
            <w:vAlign w:val="center"/>
          </w:tcPr>
          <w:p>
            <w:pPr>
              <w:spacing w:line="500" w:lineRule="atLeast"/>
              <w:rPr>
                <w:rFonts w:ascii="宋体" w:hAnsi="宋体"/>
                <w:szCs w:val="21"/>
              </w:rPr>
            </w:pPr>
          </w:p>
        </w:tc>
        <w:tc>
          <w:tcPr>
            <w:tcW w:w="1276" w:type="dxa"/>
            <w:vAlign w:val="center"/>
          </w:tcPr>
          <w:p>
            <w:pPr>
              <w:spacing w:line="500" w:lineRule="atLeast"/>
              <w:rPr>
                <w:rFonts w:ascii="宋体" w:hAnsi="宋体"/>
                <w:szCs w:val="21"/>
              </w:rPr>
            </w:pPr>
          </w:p>
        </w:tc>
        <w:tc>
          <w:tcPr>
            <w:tcW w:w="1701" w:type="dxa"/>
            <w:vAlign w:val="center"/>
          </w:tcPr>
          <w:p>
            <w:pPr>
              <w:spacing w:line="5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vAlign w:val="center"/>
          </w:tcPr>
          <w:p>
            <w:pPr>
              <w:spacing w:line="500" w:lineRule="atLeast"/>
              <w:jc w:val="center"/>
              <w:rPr>
                <w:rFonts w:ascii="宋体" w:hAnsi="宋体"/>
                <w:szCs w:val="21"/>
              </w:rPr>
            </w:pPr>
          </w:p>
        </w:tc>
        <w:tc>
          <w:tcPr>
            <w:tcW w:w="2508" w:type="dxa"/>
            <w:vAlign w:val="center"/>
          </w:tcPr>
          <w:p>
            <w:pPr>
              <w:spacing w:line="500" w:lineRule="atLeast"/>
              <w:rPr>
                <w:rFonts w:ascii="宋体" w:hAnsi="宋体"/>
                <w:szCs w:val="21"/>
              </w:rPr>
            </w:pPr>
          </w:p>
        </w:tc>
        <w:tc>
          <w:tcPr>
            <w:tcW w:w="1110" w:type="dxa"/>
            <w:vAlign w:val="center"/>
          </w:tcPr>
          <w:p>
            <w:pPr>
              <w:spacing w:line="500" w:lineRule="atLeast"/>
              <w:rPr>
                <w:rFonts w:ascii="宋体" w:hAnsi="宋体"/>
                <w:szCs w:val="21"/>
              </w:rPr>
            </w:pPr>
          </w:p>
        </w:tc>
        <w:tc>
          <w:tcPr>
            <w:tcW w:w="1135" w:type="dxa"/>
            <w:vAlign w:val="center"/>
          </w:tcPr>
          <w:p>
            <w:pPr>
              <w:spacing w:line="500" w:lineRule="atLeast"/>
              <w:rPr>
                <w:rFonts w:ascii="宋体" w:hAnsi="宋体"/>
                <w:szCs w:val="21"/>
              </w:rPr>
            </w:pPr>
          </w:p>
        </w:tc>
        <w:tc>
          <w:tcPr>
            <w:tcW w:w="1276" w:type="dxa"/>
            <w:vAlign w:val="center"/>
          </w:tcPr>
          <w:p>
            <w:pPr>
              <w:spacing w:line="500" w:lineRule="atLeast"/>
              <w:rPr>
                <w:rFonts w:ascii="宋体" w:hAnsi="宋体"/>
                <w:szCs w:val="21"/>
              </w:rPr>
            </w:pPr>
          </w:p>
        </w:tc>
        <w:tc>
          <w:tcPr>
            <w:tcW w:w="1701" w:type="dxa"/>
            <w:vAlign w:val="center"/>
          </w:tcPr>
          <w:p>
            <w:pPr>
              <w:spacing w:line="5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vAlign w:val="center"/>
          </w:tcPr>
          <w:p>
            <w:pPr>
              <w:spacing w:line="500" w:lineRule="atLeast"/>
              <w:jc w:val="center"/>
              <w:rPr>
                <w:rFonts w:ascii="宋体" w:hAnsi="宋体"/>
                <w:szCs w:val="21"/>
              </w:rPr>
            </w:pPr>
          </w:p>
        </w:tc>
        <w:tc>
          <w:tcPr>
            <w:tcW w:w="2508" w:type="dxa"/>
            <w:vAlign w:val="center"/>
          </w:tcPr>
          <w:p>
            <w:pPr>
              <w:spacing w:line="500" w:lineRule="atLeast"/>
              <w:rPr>
                <w:rFonts w:ascii="宋体" w:hAnsi="宋体"/>
                <w:szCs w:val="21"/>
              </w:rPr>
            </w:pPr>
          </w:p>
        </w:tc>
        <w:tc>
          <w:tcPr>
            <w:tcW w:w="1110" w:type="dxa"/>
            <w:vAlign w:val="center"/>
          </w:tcPr>
          <w:p>
            <w:pPr>
              <w:spacing w:line="500" w:lineRule="atLeast"/>
              <w:rPr>
                <w:rFonts w:ascii="宋体" w:hAnsi="宋体"/>
                <w:szCs w:val="21"/>
              </w:rPr>
            </w:pPr>
          </w:p>
        </w:tc>
        <w:tc>
          <w:tcPr>
            <w:tcW w:w="1135" w:type="dxa"/>
            <w:vAlign w:val="center"/>
          </w:tcPr>
          <w:p>
            <w:pPr>
              <w:spacing w:line="500" w:lineRule="atLeast"/>
              <w:rPr>
                <w:rFonts w:ascii="宋体" w:hAnsi="宋体"/>
                <w:szCs w:val="21"/>
              </w:rPr>
            </w:pPr>
          </w:p>
        </w:tc>
        <w:tc>
          <w:tcPr>
            <w:tcW w:w="1276" w:type="dxa"/>
            <w:vAlign w:val="center"/>
          </w:tcPr>
          <w:p>
            <w:pPr>
              <w:spacing w:line="500" w:lineRule="atLeast"/>
              <w:rPr>
                <w:rFonts w:ascii="宋体" w:hAnsi="宋体"/>
                <w:szCs w:val="21"/>
              </w:rPr>
            </w:pPr>
          </w:p>
        </w:tc>
        <w:tc>
          <w:tcPr>
            <w:tcW w:w="1701" w:type="dxa"/>
            <w:vAlign w:val="center"/>
          </w:tcPr>
          <w:p>
            <w:pPr>
              <w:spacing w:line="5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4" w:hRule="atLeast"/>
        </w:trPr>
        <w:tc>
          <w:tcPr>
            <w:tcW w:w="520" w:type="dxa"/>
            <w:vAlign w:val="center"/>
          </w:tcPr>
          <w:p>
            <w:pPr>
              <w:spacing w:line="500" w:lineRule="atLeast"/>
              <w:jc w:val="center"/>
              <w:rPr>
                <w:rFonts w:ascii="宋体" w:hAnsi="宋体"/>
                <w:szCs w:val="21"/>
              </w:rPr>
            </w:pPr>
          </w:p>
        </w:tc>
        <w:tc>
          <w:tcPr>
            <w:tcW w:w="2508" w:type="dxa"/>
            <w:vAlign w:val="center"/>
          </w:tcPr>
          <w:p>
            <w:pPr>
              <w:spacing w:line="500" w:lineRule="atLeast"/>
              <w:rPr>
                <w:rFonts w:ascii="宋体" w:hAnsi="宋体"/>
                <w:szCs w:val="21"/>
              </w:rPr>
            </w:pPr>
          </w:p>
        </w:tc>
        <w:tc>
          <w:tcPr>
            <w:tcW w:w="1110" w:type="dxa"/>
            <w:vAlign w:val="center"/>
          </w:tcPr>
          <w:p>
            <w:pPr>
              <w:spacing w:line="500" w:lineRule="atLeast"/>
              <w:rPr>
                <w:rFonts w:ascii="宋体" w:hAnsi="宋体"/>
                <w:szCs w:val="21"/>
              </w:rPr>
            </w:pPr>
          </w:p>
        </w:tc>
        <w:tc>
          <w:tcPr>
            <w:tcW w:w="1135" w:type="dxa"/>
            <w:vAlign w:val="center"/>
          </w:tcPr>
          <w:p>
            <w:pPr>
              <w:spacing w:line="500" w:lineRule="atLeast"/>
              <w:rPr>
                <w:rFonts w:ascii="宋体" w:hAnsi="宋体"/>
                <w:szCs w:val="21"/>
              </w:rPr>
            </w:pPr>
          </w:p>
        </w:tc>
        <w:tc>
          <w:tcPr>
            <w:tcW w:w="1276" w:type="dxa"/>
            <w:vAlign w:val="center"/>
          </w:tcPr>
          <w:p>
            <w:pPr>
              <w:spacing w:line="500" w:lineRule="atLeast"/>
              <w:rPr>
                <w:rFonts w:ascii="宋体" w:hAnsi="宋体"/>
                <w:szCs w:val="21"/>
              </w:rPr>
            </w:pPr>
          </w:p>
        </w:tc>
        <w:tc>
          <w:tcPr>
            <w:tcW w:w="1701" w:type="dxa"/>
            <w:vAlign w:val="center"/>
          </w:tcPr>
          <w:p>
            <w:pPr>
              <w:spacing w:line="5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vAlign w:val="center"/>
          </w:tcPr>
          <w:p>
            <w:pPr>
              <w:spacing w:line="500" w:lineRule="atLeast"/>
              <w:jc w:val="center"/>
              <w:rPr>
                <w:rFonts w:ascii="宋体" w:hAnsi="宋体"/>
                <w:szCs w:val="21"/>
              </w:rPr>
            </w:pPr>
          </w:p>
        </w:tc>
        <w:tc>
          <w:tcPr>
            <w:tcW w:w="2508" w:type="dxa"/>
            <w:vAlign w:val="center"/>
          </w:tcPr>
          <w:p>
            <w:pPr>
              <w:spacing w:line="500" w:lineRule="atLeast"/>
              <w:rPr>
                <w:rFonts w:ascii="宋体" w:hAnsi="宋体"/>
                <w:szCs w:val="21"/>
              </w:rPr>
            </w:pPr>
          </w:p>
        </w:tc>
        <w:tc>
          <w:tcPr>
            <w:tcW w:w="1110" w:type="dxa"/>
            <w:vAlign w:val="center"/>
          </w:tcPr>
          <w:p>
            <w:pPr>
              <w:spacing w:line="500" w:lineRule="atLeast"/>
              <w:rPr>
                <w:rFonts w:ascii="宋体" w:hAnsi="宋体"/>
                <w:szCs w:val="21"/>
              </w:rPr>
            </w:pPr>
          </w:p>
        </w:tc>
        <w:tc>
          <w:tcPr>
            <w:tcW w:w="1135" w:type="dxa"/>
            <w:vAlign w:val="center"/>
          </w:tcPr>
          <w:p>
            <w:pPr>
              <w:spacing w:line="500" w:lineRule="atLeast"/>
              <w:rPr>
                <w:rFonts w:ascii="宋体" w:hAnsi="宋体"/>
                <w:szCs w:val="21"/>
              </w:rPr>
            </w:pPr>
          </w:p>
        </w:tc>
        <w:tc>
          <w:tcPr>
            <w:tcW w:w="1276" w:type="dxa"/>
            <w:vAlign w:val="center"/>
          </w:tcPr>
          <w:p>
            <w:pPr>
              <w:spacing w:line="500" w:lineRule="atLeast"/>
              <w:rPr>
                <w:rFonts w:ascii="宋体" w:hAnsi="宋体"/>
                <w:szCs w:val="21"/>
              </w:rPr>
            </w:pPr>
          </w:p>
        </w:tc>
        <w:tc>
          <w:tcPr>
            <w:tcW w:w="1701" w:type="dxa"/>
            <w:vAlign w:val="center"/>
          </w:tcPr>
          <w:p>
            <w:pPr>
              <w:spacing w:line="5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vAlign w:val="center"/>
          </w:tcPr>
          <w:p>
            <w:pPr>
              <w:spacing w:line="500" w:lineRule="atLeast"/>
              <w:jc w:val="center"/>
              <w:rPr>
                <w:rFonts w:ascii="宋体" w:hAnsi="宋体"/>
                <w:szCs w:val="21"/>
              </w:rPr>
            </w:pPr>
          </w:p>
        </w:tc>
        <w:tc>
          <w:tcPr>
            <w:tcW w:w="2508" w:type="dxa"/>
            <w:vAlign w:val="center"/>
          </w:tcPr>
          <w:p>
            <w:pPr>
              <w:spacing w:line="500" w:lineRule="atLeast"/>
              <w:rPr>
                <w:rFonts w:ascii="宋体" w:hAnsi="宋体"/>
                <w:szCs w:val="21"/>
              </w:rPr>
            </w:pPr>
          </w:p>
        </w:tc>
        <w:tc>
          <w:tcPr>
            <w:tcW w:w="1110" w:type="dxa"/>
            <w:vAlign w:val="center"/>
          </w:tcPr>
          <w:p>
            <w:pPr>
              <w:spacing w:line="500" w:lineRule="atLeast"/>
              <w:rPr>
                <w:rFonts w:ascii="宋体" w:hAnsi="宋体"/>
                <w:szCs w:val="21"/>
              </w:rPr>
            </w:pPr>
          </w:p>
        </w:tc>
        <w:tc>
          <w:tcPr>
            <w:tcW w:w="1135" w:type="dxa"/>
            <w:vAlign w:val="center"/>
          </w:tcPr>
          <w:p>
            <w:pPr>
              <w:spacing w:line="500" w:lineRule="atLeast"/>
              <w:rPr>
                <w:rFonts w:ascii="宋体" w:hAnsi="宋体"/>
                <w:szCs w:val="21"/>
              </w:rPr>
            </w:pPr>
          </w:p>
        </w:tc>
        <w:tc>
          <w:tcPr>
            <w:tcW w:w="1276" w:type="dxa"/>
            <w:vAlign w:val="center"/>
          </w:tcPr>
          <w:p>
            <w:pPr>
              <w:spacing w:line="500" w:lineRule="atLeast"/>
              <w:rPr>
                <w:rFonts w:ascii="宋体" w:hAnsi="宋体"/>
                <w:szCs w:val="21"/>
              </w:rPr>
            </w:pPr>
          </w:p>
        </w:tc>
        <w:tc>
          <w:tcPr>
            <w:tcW w:w="1701" w:type="dxa"/>
            <w:vAlign w:val="center"/>
          </w:tcPr>
          <w:p>
            <w:pPr>
              <w:spacing w:line="5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vAlign w:val="center"/>
          </w:tcPr>
          <w:p>
            <w:pPr>
              <w:spacing w:line="500" w:lineRule="atLeast"/>
              <w:jc w:val="center"/>
              <w:rPr>
                <w:rFonts w:ascii="宋体" w:hAnsi="宋体"/>
                <w:szCs w:val="21"/>
              </w:rPr>
            </w:pPr>
          </w:p>
        </w:tc>
        <w:tc>
          <w:tcPr>
            <w:tcW w:w="2508" w:type="dxa"/>
            <w:vAlign w:val="center"/>
          </w:tcPr>
          <w:p>
            <w:pPr>
              <w:spacing w:line="500" w:lineRule="atLeast"/>
              <w:rPr>
                <w:rFonts w:ascii="宋体" w:hAnsi="宋体"/>
                <w:szCs w:val="21"/>
              </w:rPr>
            </w:pPr>
          </w:p>
        </w:tc>
        <w:tc>
          <w:tcPr>
            <w:tcW w:w="1110" w:type="dxa"/>
            <w:vAlign w:val="center"/>
          </w:tcPr>
          <w:p>
            <w:pPr>
              <w:spacing w:line="500" w:lineRule="atLeast"/>
              <w:rPr>
                <w:rFonts w:ascii="宋体" w:hAnsi="宋体"/>
                <w:szCs w:val="21"/>
              </w:rPr>
            </w:pPr>
          </w:p>
        </w:tc>
        <w:tc>
          <w:tcPr>
            <w:tcW w:w="1135" w:type="dxa"/>
            <w:vAlign w:val="center"/>
          </w:tcPr>
          <w:p>
            <w:pPr>
              <w:spacing w:line="500" w:lineRule="atLeast"/>
              <w:rPr>
                <w:rFonts w:ascii="宋体" w:hAnsi="宋体"/>
                <w:szCs w:val="21"/>
              </w:rPr>
            </w:pPr>
          </w:p>
        </w:tc>
        <w:tc>
          <w:tcPr>
            <w:tcW w:w="1276" w:type="dxa"/>
            <w:vAlign w:val="center"/>
          </w:tcPr>
          <w:p>
            <w:pPr>
              <w:spacing w:line="500" w:lineRule="atLeast"/>
              <w:rPr>
                <w:rFonts w:ascii="宋体" w:hAnsi="宋体"/>
                <w:szCs w:val="21"/>
              </w:rPr>
            </w:pPr>
          </w:p>
        </w:tc>
        <w:tc>
          <w:tcPr>
            <w:tcW w:w="1701" w:type="dxa"/>
            <w:vAlign w:val="center"/>
          </w:tcPr>
          <w:p>
            <w:pPr>
              <w:spacing w:line="5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vAlign w:val="center"/>
          </w:tcPr>
          <w:p>
            <w:pPr>
              <w:spacing w:line="500" w:lineRule="atLeast"/>
              <w:jc w:val="center"/>
              <w:rPr>
                <w:rFonts w:ascii="宋体" w:hAnsi="宋体"/>
                <w:szCs w:val="21"/>
              </w:rPr>
            </w:pPr>
          </w:p>
        </w:tc>
        <w:tc>
          <w:tcPr>
            <w:tcW w:w="2508" w:type="dxa"/>
            <w:vAlign w:val="center"/>
          </w:tcPr>
          <w:p>
            <w:pPr>
              <w:spacing w:line="500" w:lineRule="atLeast"/>
              <w:rPr>
                <w:rFonts w:ascii="宋体" w:hAnsi="宋体"/>
                <w:szCs w:val="21"/>
              </w:rPr>
            </w:pPr>
          </w:p>
        </w:tc>
        <w:tc>
          <w:tcPr>
            <w:tcW w:w="1110" w:type="dxa"/>
            <w:vAlign w:val="center"/>
          </w:tcPr>
          <w:p>
            <w:pPr>
              <w:spacing w:line="500" w:lineRule="atLeast"/>
              <w:rPr>
                <w:rFonts w:ascii="宋体" w:hAnsi="宋体"/>
                <w:szCs w:val="21"/>
              </w:rPr>
            </w:pPr>
          </w:p>
        </w:tc>
        <w:tc>
          <w:tcPr>
            <w:tcW w:w="1135" w:type="dxa"/>
            <w:vAlign w:val="center"/>
          </w:tcPr>
          <w:p>
            <w:pPr>
              <w:spacing w:line="500" w:lineRule="atLeast"/>
              <w:rPr>
                <w:rFonts w:ascii="宋体" w:hAnsi="宋体"/>
                <w:szCs w:val="21"/>
              </w:rPr>
            </w:pPr>
          </w:p>
        </w:tc>
        <w:tc>
          <w:tcPr>
            <w:tcW w:w="1276" w:type="dxa"/>
            <w:vAlign w:val="center"/>
          </w:tcPr>
          <w:p>
            <w:pPr>
              <w:spacing w:line="500" w:lineRule="atLeast"/>
              <w:rPr>
                <w:rFonts w:ascii="宋体" w:hAnsi="宋体"/>
                <w:szCs w:val="21"/>
              </w:rPr>
            </w:pPr>
          </w:p>
        </w:tc>
        <w:tc>
          <w:tcPr>
            <w:tcW w:w="1701" w:type="dxa"/>
            <w:vAlign w:val="center"/>
          </w:tcPr>
          <w:p>
            <w:pPr>
              <w:spacing w:line="500" w:lineRule="atLeast"/>
              <w:rPr>
                <w:rFonts w:ascii="宋体" w:hAnsi="宋体"/>
                <w:szCs w:val="21"/>
              </w:rPr>
            </w:pPr>
          </w:p>
        </w:tc>
      </w:tr>
    </w:tbl>
    <w:p>
      <w:pPr>
        <w:pStyle w:val="133"/>
        <w:keepNext w:val="0"/>
        <w:keepLines w:val="0"/>
        <w:spacing w:before="0" w:after="0" w:line="500" w:lineRule="atLeast"/>
        <w:jc w:val="both"/>
        <w:outlineLvl w:val="9"/>
        <w:rPr>
          <w:rFonts w:ascii="宋体" w:hAnsi="宋体" w:eastAsia="宋体"/>
          <w:sz w:val="21"/>
          <w:szCs w:val="21"/>
        </w:rPr>
      </w:pPr>
    </w:p>
    <w:p>
      <w:pPr>
        <w:tabs>
          <w:tab w:val="left" w:pos="5355"/>
        </w:tabs>
        <w:snapToGrid w:val="0"/>
        <w:spacing w:before="120" w:beforeLines="50"/>
        <w:ind w:firstLine="525" w:firstLineChars="250"/>
        <w:rPr>
          <w:rFonts w:ascii="宋体" w:hAnsi="宋体" w:cs="宋体"/>
          <w:szCs w:val="21"/>
        </w:rPr>
      </w:pPr>
      <w:r>
        <w:rPr>
          <w:rFonts w:hint="eastAsia" w:ascii="宋体" w:hAnsi="宋体" w:cs="宋体"/>
          <w:szCs w:val="21"/>
        </w:rPr>
        <w:t>投标人名称：</w:t>
      </w:r>
      <w:r>
        <w:rPr>
          <w:rFonts w:hint="eastAsia" w:ascii="宋体" w:hAnsi="宋体" w:cs="宋体"/>
          <w:b/>
          <w:bCs/>
          <w:szCs w:val="21"/>
        </w:rPr>
        <w:t>（全称并加公章）</w:t>
      </w:r>
    </w:p>
    <w:p>
      <w:pPr>
        <w:tabs>
          <w:tab w:val="left" w:pos="5355"/>
        </w:tabs>
        <w:snapToGrid w:val="0"/>
        <w:spacing w:before="120" w:beforeLines="50"/>
        <w:ind w:firstLine="525" w:firstLineChars="250"/>
        <w:rPr>
          <w:rFonts w:ascii="宋体" w:hAnsi="宋体" w:cs="宋体"/>
          <w:szCs w:val="21"/>
        </w:rPr>
      </w:pPr>
      <w:r>
        <w:rPr>
          <w:rFonts w:hint="eastAsia" w:ascii="宋体" w:hAnsi="宋体" w:cs="宋体"/>
          <w:szCs w:val="21"/>
        </w:rPr>
        <w:t xml:space="preserve">投标人代表签字： </w:t>
      </w:r>
    </w:p>
    <w:p>
      <w:pPr>
        <w:tabs>
          <w:tab w:val="left" w:pos="5355"/>
        </w:tabs>
        <w:snapToGrid w:val="0"/>
        <w:spacing w:before="120" w:beforeLines="50"/>
        <w:ind w:firstLine="525" w:firstLineChars="250"/>
        <w:rPr>
          <w:rFonts w:ascii="宋体" w:hAnsi="宋体" w:cs="宋体"/>
          <w:szCs w:val="21"/>
        </w:rPr>
      </w:pPr>
      <w:r>
        <w:rPr>
          <w:rFonts w:hint="eastAsia" w:ascii="宋体" w:hAnsi="宋体" w:cs="宋体"/>
          <w:szCs w:val="21"/>
        </w:rPr>
        <w:t>日期：     年   月   日</w:t>
      </w:r>
    </w:p>
    <w:p>
      <w:pPr>
        <w:rPr>
          <w:rFonts w:ascii="宋体" w:hAnsi="宋体"/>
          <w:szCs w:val="21"/>
          <w:u w:val="single"/>
        </w:rPr>
      </w:pPr>
    </w:p>
    <w:p>
      <w:pPr>
        <w:rPr>
          <w:rFonts w:ascii="宋体" w:hAnsi="宋体"/>
          <w:szCs w:val="21"/>
          <w:u w:val="single"/>
        </w:rPr>
      </w:pPr>
    </w:p>
    <w:p>
      <w:pPr>
        <w:rPr>
          <w:rFonts w:ascii="宋体" w:hAnsi="宋体"/>
          <w:szCs w:val="21"/>
          <w:u w:val="single"/>
        </w:rPr>
      </w:pPr>
    </w:p>
    <w:p>
      <w:pPr>
        <w:spacing w:line="440" w:lineRule="atLeast"/>
        <w:jc w:val="center"/>
        <w:rPr>
          <w:rFonts w:ascii="黑体" w:eastAsia="黑体"/>
          <w:sz w:val="36"/>
          <w:szCs w:val="36"/>
        </w:rPr>
      </w:pPr>
      <w:bookmarkStart w:id="117" w:name="_Toc423683391"/>
    </w:p>
    <w:p>
      <w:pPr>
        <w:spacing w:line="440" w:lineRule="atLeast"/>
        <w:jc w:val="center"/>
        <w:rPr>
          <w:rFonts w:ascii="黑体" w:eastAsia="黑体"/>
          <w:sz w:val="36"/>
          <w:szCs w:val="36"/>
        </w:rPr>
      </w:pPr>
    </w:p>
    <w:p>
      <w:pPr>
        <w:spacing w:line="440" w:lineRule="atLeast"/>
        <w:rPr>
          <w:rFonts w:ascii="黑体" w:eastAsia="黑体"/>
          <w:sz w:val="36"/>
          <w:szCs w:val="36"/>
        </w:rPr>
      </w:pPr>
    </w:p>
    <w:p>
      <w:pPr>
        <w:rPr>
          <w:rFonts w:ascii="黑体" w:eastAsia="黑体"/>
          <w:sz w:val="36"/>
          <w:szCs w:val="36"/>
        </w:rPr>
      </w:pPr>
      <w:r>
        <w:rPr>
          <w:rFonts w:hint="eastAsia" w:ascii="黑体" w:eastAsia="黑体"/>
          <w:sz w:val="36"/>
          <w:szCs w:val="36"/>
        </w:rPr>
        <w:t xml:space="preserve"> </w:t>
      </w:r>
    </w:p>
    <w:p>
      <w:pPr>
        <w:jc w:val="center"/>
        <w:rPr>
          <w:rFonts w:ascii="黑体" w:eastAsia="黑体"/>
          <w:sz w:val="36"/>
          <w:szCs w:val="36"/>
        </w:rPr>
      </w:pPr>
      <w:r>
        <w:rPr>
          <w:rFonts w:ascii="黑体" w:eastAsia="黑体"/>
          <w:sz w:val="36"/>
          <w:szCs w:val="36"/>
        </w:rPr>
        <w:br w:type="page"/>
      </w:r>
    </w:p>
    <w:p>
      <w:pPr>
        <w:spacing w:line="440" w:lineRule="atLeast"/>
        <w:jc w:val="center"/>
        <w:rPr>
          <w:rFonts w:ascii="黑体" w:eastAsia="黑体"/>
          <w:sz w:val="36"/>
          <w:szCs w:val="36"/>
        </w:rPr>
      </w:pPr>
      <w:r>
        <w:rPr>
          <w:rFonts w:hint="eastAsia" w:ascii="黑体" w:eastAsia="黑体"/>
          <w:sz w:val="36"/>
          <w:szCs w:val="36"/>
        </w:rPr>
        <w:t>退还投标保证金函</w:t>
      </w:r>
      <w:bookmarkEnd w:id="117"/>
    </w:p>
    <w:p>
      <w:pPr>
        <w:spacing w:line="480" w:lineRule="auto"/>
        <w:rPr>
          <w:rFonts w:ascii="宋体" w:hAnsi="宋体"/>
          <w:b/>
          <w:szCs w:val="21"/>
        </w:rPr>
      </w:pPr>
      <w:r>
        <w:rPr>
          <w:rFonts w:hint="eastAsia" w:ascii="宋体" w:hAnsi="宋体"/>
          <w:b/>
          <w:szCs w:val="21"/>
        </w:rPr>
        <w:t>致：福建优胜招标项目管理集团有限公司：</w:t>
      </w:r>
    </w:p>
    <w:p>
      <w:pPr>
        <w:tabs>
          <w:tab w:val="left" w:pos="978"/>
        </w:tabs>
        <w:spacing w:line="360" w:lineRule="auto"/>
        <w:ind w:firstLine="413" w:firstLineChars="196"/>
        <w:rPr>
          <w:rFonts w:ascii="仿宋_GB2312" w:hAnsi="宋体" w:eastAsia="仿宋_GB2312"/>
          <w:b/>
          <w:szCs w:val="21"/>
        </w:rPr>
      </w:pPr>
      <w:r>
        <w:rPr>
          <w:rFonts w:hint="eastAsia" w:ascii="宋体" w:hAnsi="宋体"/>
          <w:b/>
          <w:szCs w:val="21"/>
        </w:rPr>
        <w:t>我司于</w:t>
      </w:r>
      <w:r>
        <w:rPr>
          <w:rFonts w:hint="eastAsia" w:ascii="宋体" w:hAnsi="宋体"/>
          <w:b/>
          <w:szCs w:val="21"/>
          <w:u w:val="single"/>
        </w:rPr>
        <w:t xml:space="preserve">      </w:t>
      </w:r>
      <w:r>
        <w:rPr>
          <w:rFonts w:hint="eastAsia" w:ascii="宋体" w:hAnsi="宋体"/>
          <w:b/>
          <w:szCs w:val="21"/>
        </w:rPr>
        <w:t>年</w:t>
      </w:r>
      <w:r>
        <w:rPr>
          <w:rFonts w:hint="eastAsia" w:ascii="宋体" w:hAnsi="宋体"/>
          <w:b/>
          <w:szCs w:val="21"/>
          <w:u w:val="single"/>
        </w:rPr>
        <w:t xml:space="preserve">      </w:t>
      </w:r>
      <w:r>
        <w:rPr>
          <w:rFonts w:hint="eastAsia" w:ascii="宋体" w:hAnsi="宋体"/>
          <w:b/>
          <w:szCs w:val="21"/>
        </w:rPr>
        <w:t>月</w:t>
      </w:r>
      <w:r>
        <w:rPr>
          <w:rFonts w:hint="eastAsia" w:ascii="宋体" w:hAnsi="宋体"/>
          <w:b/>
          <w:szCs w:val="21"/>
          <w:u w:val="single"/>
        </w:rPr>
        <w:t xml:space="preserve">     </w:t>
      </w:r>
      <w:r>
        <w:rPr>
          <w:rFonts w:hint="eastAsia" w:ascii="宋体" w:hAnsi="宋体"/>
          <w:b/>
          <w:szCs w:val="21"/>
        </w:rPr>
        <w:t>日参与贵司组织开标的项目编号为：</w:t>
      </w:r>
      <w:r>
        <w:rPr>
          <w:rFonts w:hint="eastAsia" w:ascii="宋体" w:hAnsi="宋体"/>
          <w:b/>
          <w:szCs w:val="21"/>
          <w:u w:val="single"/>
        </w:rPr>
        <w:t xml:space="preserve">   </w:t>
      </w:r>
      <w:r>
        <w:rPr>
          <w:rFonts w:hint="eastAsia" w:ascii="宋体" w:hAnsi="宋体"/>
          <w:b/>
          <w:szCs w:val="21"/>
        </w:rPr>
        <w:t>的（项目名称：</w:t>
      </w:r>
      <w:r>
        <w:rPr>
          <w:rFonts w:hint="eastAsia" w:ascii="宋体" w:hAnsi="宋体"/>
          <w:b/>
          <w:szCs w:val="21"/>
          <w:u w:val="single"/>
        </w:rPr>
        <w:t xml:space="preserve">                  </w:t>
      </w:r>
      <w:r>
        <w:rPr>
          <w:rFonts w:hint="eastAsia" w:ascii="宋体" w:hAnsi="宋体"/>
          <w:b/>
          <w:szCs w:val="21"/>
        </w:rPr>
        <w:t>）投标，我司于</w:t>
      </w:r>
      <w:r>
        <w:rPr>
          <w:rFonts w:hint="eastAsia" w:ascii="宋体" w:hAnsi="宋体"/>
          <w:b/>
          <w:szCs w:val="21"/>
          <w:u w:val="single"/>
        </w:rPr>
        <w:t xml:space="preserve">      </w:t>
      </w:r>
      <w:r>
        <w:rPr>
          <w:rFonts w:hint="eastAsia" w:ascii="宋体" w:hAnsi="宋体"/>
          <w:b/>
          <w:szCs w:val="21"/>
        </w:rPr>
        <w:t>年</w:t>
      </w:r>
      <w:r>
        <w:rPr>
          <w:rFonts w:hint="eastAsia" w:ascii="宋体" w:hAnsi="宋体"/>
          <w:b/>
          <w:szCs w:val="21"/>
          <w:u w:val="single"/>
        </w:rPr>
        <w:t xml:space="preserve">      </w:t>
      </w:r>
      <w:r>
        <w:rPr>
          <w:rFonts w:hint="eastAsia" w:ascii="宋体" w:hAnsi="宋体"/>
          <w:b/>
          <w:szCs w:val="21"/>
        </w:rPr>
        <w:t xml:space="preserve">月 </w:t>
      </w:r>
      <w:r>
        <w:rPr>
          <w:rFonts w:hint="eastAsia" w:ascii="宋体" w:hAnsi="宋体"/>
          <w:b/>
          <w:szCs w:val="21"/>
          <w:u w:val="single"/>
        </w:rPr>
        <w:t xml:space="preserve">    </w:t>
      </w:r>
      <w:r>
        <w:rPr>
          <w:rFonts w:hint="eastAsia" w:ascii="宋体" w:hAnsi="宋体"/>
          <w:b/>
          <w:szCs w:val="21"/>
        </w:rPr>
        <w:t>日 以</w:t>
      </w:r>
      <w:r>
        <w:rPr>
          <w:rFonts w:hint="eastAsia" w:ascii="宋体" w:hAnsi="宋体"/>
          <w:b/>
          <w:szCs w:val="21"/>
          <w:u w:val="single"/>
        </w:rPr>
        <w:t xml:space="preserve">         </w:t>
      </w:r>
      <w:r>
        <w:rPr>
          <w:rFonts w:hint="eastAsia" w:ascii="宋体" w:hAnsi="宋体"/>
          <w:b/>
          <w:szCs w:val="21"/>
        </w:rPr>
        <w:t>(同城转帐、异城电汇)形式向贵司账户缴纳投标保证金（大写</w:t>
      </w:r>
      <w:r>
        <w:rPr>
          <w:rFonts w:hint="eastAsia" w:ascii="宋体" w:hAnsi="宋体"/>
          <w:b/>
          <w:szCs w:val="21"/>
          <w:u w:val="single"/>
        </w:rPr>
        <w:t xml:space="preserve">        </w:t>
      </w:r>
      <w:r>
        <w:rPr>
          <w:rFonts w:hint="eastAsia" w:ascii="宋体" w:hAnsi="宋体"/>
          <w:b/>
          <w:szCs w:val="21"/>
        </w:rPr>
        <w:t>元）（小写￥</w:t>
      </w:r>
      <w:r>
        <w:rPr>
          <w:rFonts w:hint="eastAsia" w:ascii="宋体" w:hAnsi="宋体"/>
          <w:b/>
          <w:szCs w:val="21"/>
          <w:u w:val="single"/>
        </w:rPr>
        <w:t xml:space="preserve">      </w:t>
      </w:r>
      <w:r>
        <w:rPr>
          <w:rFonts w:hint="eastAsia" w:ascii="宋体" w:hAnsi="宋体"/>
          <w:b/>
          <w:szCs w:val="21"/>
        </w:rPr>
        <w:t>元），当可退回时，请退回到我司以下账户：</w:t>
      </w:r>
    </w:p>
    <w:p>
      <w:pPr>
        <w:spacing w:line="400" w:lineRule="exact"/>
        <w:ind w:firstLine="420"/>
        <w:rPr>
          <w:rFonts w:ascii="宋体" w:hAnsi="宋体"/>
          <w:b/>
          <w:szCs w:val="21"/>
        </w:rPr>
      </w:pPr>
    </w:p>
    <w:p>
      <w:pPr>
        <w:spacing w:line="500" w:lineRule="exact"/>
        <w:ind w:firstLine="420"/>
        <w:rPr>
          <w:rFonts w:ascii="宋体" w:hAnsi="宋体"/>
          <w:b/>
          <w:szCs w:val="21"/>
        </w:rPr>
      </w:pPr>
      <w:r>
        <w:rPr>
          <w:rFonts w:hint="eastAsia" w:ascii="宋体" w:hAnsi="宋体"/>
          <w:b/>
          <w:szCs w:val="21"/>
        </w:rPr>
        <w:t>开户名：</w:t>
      </w:r>
      <w:r>
        <w:rPr>
          <w:rFonts w:hint="eastAsia" w:ascii="宋体" w:hAnsi="宋体"/>
          <w:b/>
          <w:szCs w:val="21"/>
          <w:u w:val="single"/>
        </w:rPr>
        <w:t xml:space="preserve">                              </w:t>
      </w:r>
      <w:r>
        <w:rPr>
          <w:rFonts w:hint="eastAsia" w:ascii="宋体" w:hAnsi="宋体"/>
          <w:b/>
          <w:szCs w:val="21"/>
        </w:rPr>
        <w:t xml:space="preserve">     </w:t>
      </w:r>
    </w:p>
    <w:p>
      <w:pPr>
        <w:spacing w:line="500" w:lineRule="exact"/>
        <w:ind w:firstLine="420"/>
        <w:rPr>
          <w:rFonts w:ascii="宋体" w:hAnsi="宋体"/>
          <w:b/>
          <w:szCs w:val="21"/>
          <w:u w:val="single"/>
        </w:rPr>
      </w:pPr>
      <w:r>
        <w:rPr>
          <w:rFonts w:hint="eastAsia" w:ascii="宋体" w:hAnsi="宋体"/>
          <w:b/>
          <w:szCs w:val="21"/>
        </w:rPr>
        <w:t>开户行：</w:t>
      </w:r>
      <w:r>
        <w:rPr>
          <w:rFonts w:hint="eastAsia" w:ascii="宋体" w:hAnsi="宋体"/>
          <w:b/>
          <w:szCs w:val="21"/>
          <w:u w:val="single"/>
        </w:rPr>
        <w:t xml:space="preserve">                              </w:t>
      </w:r>
    </w:p>
    <w:p>
      <w:pPr>
        <w:spacing w:line="500" w:lineRule="exact"/>
        <w:ind w:firstLine="420"/>
        <w:rPr>
          <w:rFonts w:ascii="宋体" w:hAnsi="宋体"/>
          <w:b/>
          <w:szCs w:val="21"/>
          <w:u w:val="single"/>
        </w:rPr>
      </w:pPr>
      <w:r>
        <w:rPr>
          <w:rFonts w:hint="eastAsia" w:ascii="宋体" w:hAnsi="宋体"/>
          <w:b/>
          <w:szCs w:val="21"/>
        </w:rPr>
        <w:t xml:space="preserve">账 号： </w:t>
      </w:r>
      <w:r>
        <w:rPr>
          <w:rFonts w:hint="eastAsia" w:ascii="宋体" w:hAnsi="宋体"/>
          <w:b/>
          <w:szCs w:val="21"/>
          <w:u w:val="single"/>
        </w:rPr>
        <w:t xml:space="preserve">                              </w:t>
      </w:r>
    </w:p>
    <w:p>
      <w:pPr>
        <w:spacing w:line="500" w:lineRule="exact"/>
        <w:ind w:firstLine="420"/>
        <w:rPr>
          <w:rFonts w:ascii="宋体" w:hAnsi="宋体"/>
          <w:b/>
          <w:szCs w:val="21"/>
          <w:u w:val="single"/>
        </w:rPr>
      </w:pPr>
      <w:r>
        <w:rPr>
          <w:rFonts w:hint="eastAsia" w:ascii="宋体" w:hAnsi="宋体"/>
          <w:b/>
          <w:szCs w:val="21"/>
        </w:rPr>
        <w:t>公司所在地：</w:t>
      </w:r>
      <w:r>
        <w:rPr>
          <w:rFonts w:hint="eastAsia" w:ascii="宋体" w:hAnsi="宋体"/>
          <w:b/>
          <w:szCs w:val="21"/>
          <w:u w:val="single"/>
        </w:rPr>
        <w:t xml:space="preserve">      省       市       县 </w:t>
      </w:r>
    </w:p>
    <w:p>
      <w:pPr>
        <w:spacing w:line="500" w:lineRule="exact"/>
        <w:ind w:firstLine="420"/>
        <w:rPr>
          <w:rFonts w:ascii="宋体" w:hAnsi="宋体"/>
          <w:b/>
          <w:szCs w:val="21"/>
        </w:rPr>
      </w:pPr>
      <w:r>
        <w:rPr>
          <w:rFonts w:hint="eastAsia" w:ascii="宋体" w:hAnsi="宋体"/>
          <w:b/>
          <w:szCs w:val="21"/>
        </w:rPr>
        <w:t>投标人 代表：</w:t>
      </w:r>
      <w:r>
        <w:rPr>
          <w:rFonts w:hint="eastAsia" w:ascii="宋体" w:hAnsi="宋体"/>
          <w:b/>
          <w:szCs w:val="21"/>
          <w:u w:val="single"/>
        </w:rPr>
        <w:t xml:space="preserve">           </w:t>
      </w:r>
      <w:r>
        <w:rPr>
          <w:rFonts w:hint="eastAsia" w:ascii="宋体" w:hAnsi="宋体"/>
          <w:b/>
          <w:szCs w:val="21"/>
        </w:rPr>
        <w:t>联系电话：</w:t>
      </w:r>
      <w:r>
        <w:rPr>
          <w:rFonts w:hint="eastAsia" w:ascii="宋体" w:hAnsi="宋体"/>
          <w:b/>
          <w:szCs w:val="21"/>
          <w:u w:val="single"/>
        </w:rPr>
        <w:t xml:space="preserve">          </w:t>
      </w:r>
      <w:r>
        <w:rPr>
          <w:rFonts w:hint="eastAsia" w:ascii="宋体" w:hAnsi="宋体"/>
          <w:b/>
          <w:szCs w:val="21"/>
        </w:rPr>
        <w:t>（手机）</w:t>
      </w:r>
      <w:r>
        <w:rPr>
          <w:rFonts w:hint="eastAsia" w:ascii="宋体" w:hAnsi="宋体"/>
          <w:b/>
          <w:szCs w:val="21"/>
          <w:u w:val="single"/>
        </w:rPr>
        <w:t xml:space="preserve">         </w:t>
      </w:r>
      <w:r>
        <w:rPr>
          <w:rFonts w:hint="eastAsia" w:ascii="宋体" w:hAnsi="宋体"/>
          <w:b/>
          <w:szCs w:val="21"/>
        </w:rPr>
        <w:t>（固话）</w:t>
      </w:r>
    </w:p>
    <w:p>
      <w:pPr>
        <w:spacing w:line="500" w:lineRule="exact"/>
        <w:ind w:firstLine="420"/>
        <w:rPr>
          <w:rFonts w:ascii="宋体" w:hAnsi="宋体"/>
          <w:b/>
          <w:szCs w:val="21"/>
          <w:u w:val="single"/>
        </w:rPr>
      </w:pPr>
      <w:r>
        <w:rPr>
          <w:rFonts w:hint="eastAsia" w:ascii="宋体" w:hAnsi="宋体"/>
          <w:b/>
          <w:szCs w:val="21"/>
        </w:rPr>
        <w:t>投标人 名称（盖公司公章）：</w:t>
      </w:r>
      <w:r>
        <w:rPr>
          <w:rFonts w:hint="eastAsia" w:ascii="宋体" w:hAnsi="宋体"/>
          <w:b/>
          <w:szCs w:val="21"/>
          <w:u w:val="single"/>
        </w:rPr>
        <w:t xml:space="preserve">                  </w:t>
      </w:r>
    </w:p>
    <w:p>
      <w:pPr>
        <w:spacing w:line="500" w:lineRule="exact"/>
        <w:ind w:firstLine="420"/>
        <w:rPr>
          <w:rFonts w:ascii="宋体" w:hAnsi="宋体"/>
          <w:b/>
          <w:szCs w:val="21"/>
          <w:u w:val="single"/>
        </w:rPr>
      </w:pPr>
    </w:p>
    <w:p>
      <w:pPr>
        <w:spacing w:line="400" w:lineRule="exact"/>
        <w:ind w:firstLine="420"/>
        <w:rPr>
          <w:rFonts w:ascii="宋体" w:hAnsi="宋体"/>
          <w:b/>
          <w:szCs w:val="21"/>
          <w:u w:val="single"/>
        </w:rPr>
      </w:pPr>
      <w:r>
        <w:rPr>
          <w:rFonts w:hint="eastAsia" w:ascii="宋体" w:hAnsi="宋体"/>
          <w:b/>
          <w:szCs w:val="21"/>
          <w:u w:val="single"/>
        </w:rPr>
        <w:t>附：汇款凭证</w:t>
      </w:r>
    </w:p>
    <w:p>
      <w:pPr>
        <w:spacing w:line="400" w:lineRule="exact"/>
        <w:ind w:firstLine="420"/>
        <w:rPr>
          <w:rFonts w:ascii="宋体" w:hAnsi="宋体"/>
          <w:b/>
          <w:szCs w:val="21"/>
          <w:u w:val="single"/>
        </w:rPr>
      </w:pPr>
    </w:p>
    <w:p>
      <w:pPr>
        <w:spacing w:line="400" w:lineRule="exact"/>
        <w:ind w:firstLine="420"/>
        <w:rPr>
          <w:rFonts w:ascii="宋体" w:hAnsi="宋体"/>
          <w:b/>
          <w:szCs w:val="21"/>
          <w:u w:val="single"/>
        </w:rPr>
      </w:pPr>
    </w:p>
    <w:p>
      <w:pPr>
        <w:spacing w:line="400" w:lineRule="exact"/>
        <w:ind w:firstLine="420"/>
        <w:rPr>
          <w:rFonts w:ascii="宋体" w:hAnsi="宋体"/>
          <w:b/>
          <w:szCs w:val="21"/>
          <w:u w:val="single"/>
        </w:rPr>
      </w:pPr>
    </w:p>
    <w:p>
      <w:pPr>
        <w:widowControl/>
        <w:spacing w:line="360" w:lineRule="auto"/>
        <w:jc w:val="left"/>
        <w:rPr>
          <w:rFonts w:ascii="宋体" w:hAnsi="宋体"/>
          <w:b/>
          <w:szCs w:val="21"/>
        </w:rPr>
      </w:pPr>
      <w:r>
        <w:rPr>
          <w:rFonts w:hint="eastAsia" w:ascii="宋体" w:hAnsi="宋体"/>
          <w:b/>
          <w:szCs w:val="21"/>
        </w:rPr>
        <w:t>注意事项：</w:t>
      </w:r>
    </w:p>
    <w:p>
      <w:pPr>
        <w:tabs>
          <w:tab w:val="left" w:pos="978"/>
        </w:tabs>
        <w:spacing w:line="360" w:lineRule="auto"/>
        <w:rPr>
          <w:rFonts w:ascii="宋体" w:hAnsi="宋体"/>
          <w:b/>
          <w:szCs w:val="21"/>
        </w:rPr>
      </w:pPr>
      <w:r>
        <w:rPr>
          <w:rFonts w:hint="eastAsia" w:ascii="宋体" w:hAnsi="宋体"/>
          <w:b/>
          <w:szCs w:val="21"/>
        </w:rPr>
        <w:t>1、以上内容应详细填写，不可简化；</w:t>
      </w:r>
    </w:p>
    <w:p>
      <w:pPr>
        <w:tabs>
          <w:tab w:val="left" w:pos="978"/>
        </w:tabs>
        <w:spacing w:line="360" w:lineRule="auto"/>
        <w:rPr>
          <w:rFonts w:ascii="宋体" w:hAnsi="宋体"/>
          <w:b/>
          <w:szCs w:val="21"/>
        </w:rPr>
      </w:pPr>
      <w:r>
        <w:rPr>
          <w:rFonts w:hint="eastAsia" w:ascii="宋体" w:hAnsi="宋体"/>
          <w:b/>
          <w:szCs w:val="21"/>
        </w:rPr>
        <w:t>2、未能及时缴交本表以及填写相关信息而致未能及时退还投标保证金的，福建优胜招标项目管理集团有限公司将不负法律与经济责任。</w:t>
      </w:r>
    </w:p>
    <w:p>
      <w:pPr>
        <w:tabs>
          <w:tab w:val="left" w:pos="978"/>
        </w:tabs>
        <w:spacing w:line="360" w:lineRule="auto"/>
        <w:rPr>
          <w:rFonts w:ascii="宋体" w:hAnsi="宋体"/>
          <w:b/>
          <w:szCs w:val="21"/>
        </w:rPr>
      </w:pPr>
      <w:r>
        <w:rPr>
          <w:rFonts w:hint="eastAsia" w:ascii="宋体" w:hAnsi="宋体"/>
          <w:b/>
          <w:szCs w:val="21"/>
        </w:rPr>
        <w:t>3、投标人 若中标的，须将合同和《退还投标保证金函》送至或传真至本公司财务部后方可退回投标保证金，若因材料不齐全未能及时退还投标保证金的，福建优胜招标项目管理集团有限公司将不负法律与经济责任。</w:t>
      </w:r>
    </w:p>
    <w:p>
      <w:pPr>
        <w:tabs>
          <w:tab w:val="left" w:pos="930"/>
        </w:tabs>
        <w:spacing w:line="440" w:lineRule="atLeast"/>
        <w:rPr>
          <w:b/>
          <w:sz w:val="28"/>
          <w:szCs w:val="28"/>
        </w:rPr>
      </w:pPr>
      <w:r>
        <w:rPr>
          <w:rFonts w:hint="eastAsia" w:ascii="宋体" w:hAnsi="宋体"/>
          <w:b/>
          <w:szCs w:val="21"/>
        </w:rPr>
        <w:t>4、退还投标保证金联系人：财务部林小姐，电话：0591-87679372转606、传真号码：0591-87610660。</w:t>
      </w:r>
    </w:p>
    <w:p>
      <w:pPr>
        <w:spacing w:line="400" w:lineRule="exact"/>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jc w:val="center"/>
        <w:rPr>
          <w:rFonts w:ascii="宋体" w:hAnsi="宋体"/>
          <w:b/>
          <w:sz w:val="36"/>
          <w:szCs w:val="36"/>
        </w:rPr>
      </w:pPr>
      <w:r>
        <w:rPr>
          <w:rFonts w:hint="eastAsia" w:ascii="宋体" w:hAnsi="宋体"/>
          <w:b/>
          <w:bCs/>
          <w:sz w:val="36"/>
          <w:szCs w:val="36"/>
        </w:rPr>
        <w:t>2021年度建阳兴欣织造有限责任公司缝纫设备采购项目（投标单位）</w:t>
      </w:r>
    </w:p>
    <w:p>
      <w:pPr>
        <w:jc w:val="center"/>
        <w:rPr>
          <w:rFonts w:ascii="宋体" w:hAnsi="宋体"/>
          <w:b/>
          <w:sz w:val="48"/>
          <w:szCs w:val="48"/>
        </w:rPr>
      </w:pPr>
    </w:p>
    <w:p>
      <w:pPr>
        <w:jc w:val="center"/>
        <w:rPr>
          <w:rFonts w:ascii="宋体" w:hAnsi="宋体"/>
          <w:b/>
          <w:sz w:val="48"/>
          <w:szCs w:val="48"/>
        </w:rPr>
      </w:pPr>
      <w:r>
        <w:rPr>
          <w:rFonts w:hint="eastAsia" w:ascii="宋体" w:hAnsi="宋体"/>
          <w:b/>
          <w:sz w:val="48"/>
          <w:szCs w:val="48"/>
        </w:rPr>
        <w:t>投  标  文  件</w:t>
      </w:r>
    </w:p>
    <w:p>
      <w:pPr>
        <w:jc w:val="center"/>
        <w:rPr>
          <w:rFonts w:ascii="宋体" w:hAnsi="宋体"/>
          <w:b/>
          <w:sz w:val="36"/>
        </w:rPr>
      </w:pPr>
    </w:p>
    <w:p>
      <w:pPr>
        <w:jc w:val="center"/>
        <w:rPr>
          <w:rFonts w:ascii="宋体" w:hAnsi="宋体"/>
          <w:b/>
          <w:sz w:val="36"/>
        </w:rPr>
      </w:pPr>
      <w:r>
        <w:rPr>
          <w:rFonts w:hint="eastAsia" w:ascii="宋体" w:hAnsi="宋体"/>
          <w:b/>
          <w:sz w:val="36"/>
        </w:rPr>
        <w:t>（</w:t>
      </w:r>
      <w:r>
        <w:rPr>
          <w:rFonts w:hint="eastAsia" w:ascii="宋体" w:hAnsi="宋体"/>
          <w:b/>
          <w:sz w:val="36"/>
          <w:u w:val="single"/>
        </w:rPr>
        <w:t xml:space="preserve">       </w:t>
      </w:r>
      <w:r>
        <w:rPr>
          <w:rFonts w:hint="eastAsia" w:ascii="宋体" w:hAnsi="宋体"/>
          <w:b/>
          <w:sz w:val="36"/>
        </w:rPr>
        <w:t>本）</w:t>
      </w:r>
    </w:p>
    <w:p>
      <w:pPr>
        <w:jc w:val="center"/>
        <w:rPr>
          <w:rFonts w:ascii="宋体" w:hAnsi="宋体"/>
          <w:b/>
          <w:sz w:val="36"/>
        </w:rPr>
      </w:pPr>
    </w:p>
    <w:p>
      <w:pPr>
        <w:ind w:firstLine="1970" w:firstLineChars="545"/>
        <w:rPr>
          <w:rFonts w:ascii="宋体" w:hAnsi="宋体"/>
          <w:b/>
          <w:sz w:val="36"/>
          <w:u w:val="single"/>
        </w:rPr>
      </w:pPr>
      <w:r>
        <w:rPr>
          <w:rFonts w:hint="eastAsia" w:ascii="宋体" w:hAnsi="宋体"/>
          <w:b/>
          <w:sz w:val="36"/>
        </w:rPr>
        <w:t>项目名称：</w:t>
      </w:r>
      <w:r>
        <w:rPr>
          <w:rFonts w:hint="eastAsia" w:ascii="宋体" w:hAnsi="宋体"/>
          <w:b/>
          <w:sz w:val="36"/>
          <w:u w:val="single"/>
        </w:rPr>
        <w:t xml:space="preserve">               </w:t>
      </w:r>
    </w:p>
    <w:p>
      <w:pPr>
        <w:ind w:firstLine="1970" w:firstLineChars="545"/>
        <w:rPr>
          <w:rFonts w:ascii="宋体" w:hAnsi="宋体"/>
          <w:b/>
          <w:sz w:val="36"/>
          <w:u w:val="single"/>
        </w:rPr>
      </w:pPr>
      <w:r>
        <w:rPr>
          <w:rFonts w:hint="eastAsia" w:ascii="宋体" w:hAnsi="宋体"/>
          <w:b/>
          <w:sz w:val="36"/>
        </w:rPr>
        <w:t>招标编号：</w:t>
      </w:r>
      <w:r>
        <w:rPr>
          <w:rFonts w:hint="eastAsia" w:ascii="宋体" w:hAnsi="宋体"/>
          <w:b/>
          <w:sz w:val="36"/>
          <w:u w:val="single"/>
        </w:rPr>
        <w:t xml:space="preserve">               </w:t>
      </w:r>
    </w:p>
    <w:p>
      <w:pPr>
        <w:spacing w:line="360" w:lineRule="auto"/>
        <w:ind w:firstLine="1970" w:firstLineChars="545"/>
        <w:rPr>
          <w:rFonts w:ascii="宋体" w:hAnsi="宋体"/>
          <w:b/>
          <w:sz w:val="36"/>
        </w:rPr>
      </w:pPr>
      <w:r>
        <w:rPr>
          <w:rFonts w:hint="eastAsia" w:ascii="宋体" w:hAnsi="宋体"/>
          <w:b/>
          <w:sz w:val="36"/>
        </w:rPr>
        <w:t>合同包号：</w:t>
      </w:r>
      <w:r>
        <w:rPr>
          <w:rFonts w:hint="eastAsia" w:ascii="宋体" w:hAnsi="宋体"/>
          <w:b/>
          <w:sz w:val="36"/>
          <w:u w:val="single"/>
        </w:rPr>
        <w:t xml:space="preserve">               </w:t>
      </w:r>
    </w:p>
    <w:p>
      <w:pPr>
        <w:spacing w:line="360" w:lineRule="auto"/>
        <w:rPr>
          <w:rFonts w:ascii="宋体" w:hAnsi="宋体"/>
          <w:b/>
          <w:sz w:val="36"/>
        </w:rPr>
      </w:pPr>
    </w:p>
    <w:p>
      <w:pPr>
        <w:jc w:val="center"/>
        <w:rPr>
          <w:rFonts w:ascii="宋体" w:hAnsi="宋体"/>
          <w:b/>
          <w:sz w:val="36"/>
        </w:rPr>
      </w:pPr>
      <w:r>
        <w:rPr>
          <w:rFonts w:hint="eastAsia" w:ascii="宋体" w:hAnsi="宋体"/>
          <w:b/>
          <w:sz w:val="36"/>
        </w:rPr>
        <w:t>（技术商务部分）</w:t>
      </w:r>
    </w:p>
    <w:p>
      <w:pPr>
        <w:rPr>
          <w:rFonts w:ascii="宋体" w:hAnsi="宋体"/>
          <w:b/>
          <w:sz w:val="36"/>
        </w:rPr>
      </w:pPr>
    </w:p>
    <w:p>
      <w:pPr>
        <w:rPr>
          <w:rFonts w:ascii="宋体" w:hAnsi="宋体"/>
          <w:b/>
          <w:sz w:val="36"/>
        </w:rPr>
      </w:pPr>
    </w:p>
    <w:p>
      <w:pPr>
        <w:spacing w:line="500" w:lineRule="exact"/>
        <w:rPr>
          <w:rFonts w:ascii="宋体" w:hAnsi="宋体"/>
          <w:b/>
          <w:sz w:val="32"/>
          <w:u w:val="single"/>
        </w:rPr>
      </w:pPr>
      <w:r>
        <w:rPr>
          <w:rFonts w:hint="eastAsia" w:ascii="宋体" w:hAnsi="宋体"/>
          <w:b/>
          <w:sz w:val="32"/>
        </w:rPr>
        <w:t xml:space="preserve">     投标人名称 ：</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法定代表人姓名：</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pPr>
        <w:spacing w:line="500" w:lineRule="exact"/>
        <w:ind w:firstLine="315" w:firstLineChars="98"/>
        <w:rPr>
          <w:rFonts w:ascii="宋体" w:hAnsi="宋体"/>
          <w:b/>
          <w:sz w:val="32"/>
          <w:u w:val="single"/>
        </w:rPr>
      </w:pPr>
      <w:r>
        <w:rPr>
          <w:rFonts w:hint="eastAsia" w:ascii="宋体" w:hAnsi="宋体"/>
          <w:b/>
          <w:sz w:val="32"/>
        </w:rPr>
        <w:t xml:space="preserve">   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pPr>
        <w:spacing w:line="500" w:lineRule="exact"/>
        <w:ind w:firstLine="790" w:firstLineChars="246"/>
        <w:rPr>
          <w:rFonts w:ascii="宋体" w:hAnsi="宋体"/>
          <w:b/>
          <w:sz w:val="32"/>
        </w:rPr>
      </w:pPr>
      <w:r>
        <w:rPr>
          <w:rFonts w:hint="eastAsia" w:ascii="宋体" w:hAnsi="宋体"/>
          <w:b/>
          <w:sz w:val="32"/>
        </w:rPr>
        <w:t>网址：</w:t>
      </w:r>
      <w:r>
        <w:rPr>
          <w:rFonts w:hint="eastAsia" w:ascii="宋体" w:hAnsi="宋体"/>
          <w:b/>
          <w:sz w:val="32"/>
          <w:u w:val="single"/>
        </w:rPr>
        <w:t xml:space="preserve">                                       </w:t>
      </w:r>
    </w:p>
    <w:p>
      <w:pPr>
        <w:spacing w:line="500" w:lineRule="exact"/>
        <w:ind w:firstLine="790" w:firstLineChars="246"/>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pPr>
        <w:spacing w:line="500" w:lineRule="exact"/>
        <w:ind w:firstLine="790" w:firstLineChars="246"/>
        <w:rPr>
          <w:rFonts w:ascii="宋体" w:hAnsi="宋体"/>
          <w:b/>
          <w:sz w:val="32"/>
          <w:u w:val="single"/>
        </w:rPr>
      </w:pPr>
      <w:r>
        <w:rPr>
          <w:rFonts w:hint="eastAsia" w:ascii="宋体" w:hAnsi="宋体"/>
          <w:b/>
          <w:sz w:val="32"/>
        </w:rPr>
        <w:t>投标代表（印刷体）：</w:t>
      </w:r>
      <w:r>
        <w:rPr>
          <w:rFonts w:hint="eastAsia" w:ascii="宋体" w:hAnsi="宋体"/>
          <w:b/>
          <w:sz w:val="32"/>
          <w:u w:val="single"/>
        </w:rPr>
        <w:t xml:space="preserve">         </w:t>
      </w:r>
      <w:r>
        <w:rPr>
          <w:rFonts w:hint="eastAsia" w:ascii="宋体" w:hAnsi="宋体"/>
          <w:b/>
          <w:sz w:val="32"/>
        </w:rPr>
        <w:t xml:space="preserve"> 签字：</w:t>
      </w:r>
      <w:r>
        <w:rPr>
          <w:rFonts w:hint="eastAsia" w:ascii="宋体" w:hAnsi="宋体"/>
          <w:b/>
          <w:sz w:val="32"/>
          <w:u w:val="single"/>
        </w:rPr>
        <w:t xml:space="preserve">          </w:t>
      </w:r>
    </w:p>
    <w:p>
      <w:pPr>
        <w:spacing w:line="500" w:lineRule="exact"/>
        <w:ind w:firstLine="790" w:firstLineChars="246"/>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：202</w:t>
      </w:r>
      <w:r>
        <w:rPr>
          <w:rFonts w:hint="eastAsia" w:ascii="宋体" w:hAnsi="宋体"/>
          <w:b/>
          <w:sz w:val="32"/>
          <w:u w:val="single"/>
        </w:rPr>
        <w:t xml:space="preserve">  </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pPr>
        <w:spacing w:line="500" w:lineRule="exact"/>
        <w:ind w:firstLine="790" w:firstLineChars="246"/>
        <w:rPr>
          <w:rFonts w:ascii="宋体" w:hAnsi="宋体"/>
          <w:b/>
          <w:sz w:val="32"/>
        </w:rPr>
      </w:pPr>
    </w:p>
    <w:p>
      <w:pPr>
        <w:spacing w:line="500" w:lineRule="exact"/>
        <w:ind w:firstLine="790" w:firstLineChars="246"/>
        <w:rPr>
          <w:rFonts w:ascii="宋体" w:hAnsi="宋体"/>
          <w:b/>
          <w:sz w:val="32"/>
        </w:rPr>
      </w:pPr>
    </w:p>
    <w:p>
      <w:pPr>
        <w:spacing w:line="500" w:lineRule="exact"/>
        <w:ind w:firstLine="790" w:firstLineChars="246"/>
        <w:rPr>
          <w:rFonts w:ascii="宋体" w:hAnsi="宋体"/>
          <w:b/>
          <w:sz w:val="32"/>
        </w:rPr>
      </w:pPr>
    </w:p>
    <w:p>
      <w:pPr>
        <w:spacing w:line="500" w:lineRule="exact"/>
        <w:ind w:firstLine="790" w:firstLineChars="246"/>
        <w:rPr>
          <w:rFonts w:ascii="宋体" w:hAnsi="宋体"/>
          <w:b/>
          <w:sz w:val="32"/>
        </w:rPr>
      </w:pPr>
    </w:p>
    <w:p>
      <w:pPr>
        <w:spacing w:line="600" w:lineRule="atLeast"/>
        <w:rPr>
          <w:rFonts w:ascii="宋体" w:hAnsi="宋体"/>
          <w:b/>
          <w:bCs/>
          <w:sz w:val="36"/>
        </w:rPr>
      </w:pPr>
    </w:p>
    <w:p>
      <w:pPr>
        <w:spacing w:line="600" w:lineRule="atLeast"/>
        <w:jc w:val="center"/>
        <w:rPr>
          <w:rFonts w:ascii="宋体" w:hAnsi="宋体"/>
          <w:szCs w:val="21"/>
        </w:rPr>
      </w:pPr>
      <w:r>
        <w:rPr>
          <w:rFonts w:hint="eastAsia" w:ascii="宋体" w:hAnsi="宋体"/>
          <w:b/>
          <w:bCs/>
          <w:sz w:val="36"/>
        </w:rPr>
        <w:t>目    录</w:t>
      </w:r>
    </w:p>
    <w:p>
      <w:pPr>
        <w:tabs>
          <w:tab w:val="left" w:pos="360"/>
        </w:tabs>
        <w:spacing w:line="460" w:lineRule="exact"/>
        <w:rPr>
          <w:rFonts w:ascii="宋体" w:hAnsi="宋体"/>
          <w:szCs w:val="21"/>
        </w:rPr>
      </w:pPr>
      <w:r>
        <w:rPr>
          <w:rFonts w:hint="eastAsia" w:ascii="宋体" w:hAnsi="宋体"/>
          <w:szCs w:val="21"/>
        </w:rPr>
        <w:t>1.投 标 书</w:t>
      </w:r>
    </w:p>
    <w:p>
      <w:pPr>
        <w:spacing w:line="600" w:lineRule="atLeast"/>
        <w:rPr>
          <w:rFonts w:ascii="宋体" w:hAnsi="宋体"/>
          <w:szCs w:val="21"/>
        </w:rPr>
      </w:pPr>
      <w:r>
        <w:rPr>
          <w:rFonts w:hint="eastAsia" w:ascii="宋体" w:hAnsi="宋体"/>
          <w:szCs w:val="21"/>
        </w:rPr>
        <w:t>2. 项目说明一览表</w:t>
      </w:r>
    </w:p>
    <w:p>
      <w:pPr>
        <w:tabs>
          <w:tab w:val="left" w:pos="360"/>
        </w:tabs>
        <w:spacing w:line="460" w:lineRule="exact"/>
        <w:rPr>
          <w:rFonts w:ascii="宋体" w:hAnsi="宋体"/>
          <w:szCs w:val="21"/>
        </w:rPr>
      </w:pPr>
      <w:r>
        <w:rPr>
          <w:rFonts w:hint="eastAsia" w:ascii="宋体" w:hAnsi="宋体"/>
          <w:szCs w:val="21"/>
        </w:rPr>
        <w:t>3.技术商务评分标准对照情况应答表</w:t>
      </w:r>
    </w:p>
    <w:p>
      <w:pPr>
        <w:tabs>
          <w:tab w:val="left" w:pos="360"/>
        </w:tabs>
        <w:spacing w:line="460" w:lineRule="exact"/>
        <w:rPr>
          <w:rFonts w:ascii="宋体" w:hAnsi="宋体"/>
          <w:szCs w:val="21"/>
        </w:rPr>
      </w:pPr>
      <w:r>
        <w:rPr>
          <w:rFonts w:hint="eastAsia" w:ascii="宋体" w:hAnsi="宋体"/>
          <w:szCs w:val="21"/>
        </w:rPr>
        <w:t>4.偏离表</w:t>
      </w:r>
      <w:r>
        <w:rPr>
          <w:rFonts w:hint="eastAsia" w:ascii="宋体" w:hAnsi="宋体"/>
          <w:szCs w:val="21"/>
        </w:rPr>
        <w:cr/>
      </w:r>
      <w:r>
        <w:rPr>
          <w:rFonts w:hint="eastAsia" w:ascii="宋体" w:hAnsi="宋体"/>
          <w:szCs w:val="21"/>
        </w:rPr>
        <w:t>5. 投标人的资格证明文件</w:t>
      </w:r>
    </w:p>
    <w:p>
      <w:pPr>
        <w:tabs>
          <w:tab w:val="left" w:pos="360"/>
        </w:tabs>
        <w:spacing w:line="460" w:lineRule="exact"/>
        <w:ind w:firstLine="420" w:firstLineChars="200"/>
        <w:rPr>
          <w:rFonts w:ascii="宋体" w:hAnsi="宋体"/>
          <w:szCs w:val="21"/>
        </w:rPr>
      </w:pPr>
      <w:r>
        <w:rPr>
          <w:rFonts w:hint="eastAsia" w:ascii="宋体" w:hAnsi="宋体"/>
          <w:szCs w:val="21"/>
        </w:rPr>
        <w:t>关于资格的声明函</w:t>
      </w:r>
    </w:p>
    <w:p>
      <w:pPr>
        <w:tabs>
          <w:tab w:val="left" w:pos="360"/>
        </w:tabs>
        <w:spacing w:line="460" w:lineRule="exact"/>
        <w:ind w:firstLine="420" w:firstLineChars="200"/>
        <w:rPr>
          <w:rFonts w:ascii="宋体" w:hAnsi="宋体"/>
          <w:szCs w:val="21"/>
        </w:rPr>
      </w:pPr>
      <w:r>
        <w:rPr>
          <w:rFonts w:hint="eastAsia" w:ascii="宋体" w:hAnsi="宋体"/>
          <w:szCs w:val="21"/>
        </w:rPr>
        <w:t>投标人的资格声明</w:t>
      </w:r>
    </w:p>
    <w:p>
      <w:pPr>
        <w:tabs>
          <w:tab w:val="left" w:pos="360"/>
        </w:tabs>
        <w:spacing w:line="460" w:lineRule="exact"/>
        <w:ind w:left="420" w:leftChars="200"/>
        <w:rPr>
          <w:rFonts w:ascii="宋体" w:hAnsi="宋体"/>
          <w:szCs w:val="21"/>
        </w:rPr>
      </w:pPr>
      <w:r>
        <w:rPr>
          <w:rFonts w:hint="eastAsia" w:ascii="宋体" w:hAnsi="宋体"/>
          <w:szCs w:val="21"/>
        </w:rPr>
        <w:t>法人代表授权书</w:t>
      </w:r>
      <w:r>
        <w:rPr>
          <w:rFonts w:hint="eastAsia" w:ascii="宋体" w:hAnsi="宋体"/>
          <w:szCs w:val="21"/>
        </w:rPr>
        <w:cr/>
      </w:r>
      <w:r>
        <w:rPr>
          <w:rFonts w:hint="eastAsia" w:ascii="宋体" w:hAnsi="宋体"/>
          <w:szCs w:val="21"/>
        </w:rPr>
        <w:t>法人营业执照、税务登记证</w:t>
      </w:r>
    </w:p>
    <w:p>
      <w:pPr>
        <w:tabs>
          <w:tab w:val="left" w:pos="360"/>
        </w:tabs>
        <w:spacing w:line="460" w:lineRule="exact"/>
        <w:ind w:firstLine="420" w:firstLineChars="200"/>
        <w:rPr>
          <w:rFonts w:ascii="宋体" w:hAnsi="宋体"/>
          <w:szCs w:val="21"/>
        </w:rPr>
      </w:pPr>
      <w:r>
        <w:rPr>
          <w:rFonts w:hint="eastAsia" w:ascii="宋体" w:hAnsi="宋体"/>
          <w:szCs w:val="21"/>
        </w:rPr>
        <w:t>其他资料证明材料</w:t>
      </w:r>
    </w:p>
    <w:p>
      <w:pPr>
        <w:tabs>
          <w:tab w:val="left" w:pos="360"/>
        </w:tabs>
        <w:spacing w:line="460" w:lineRule="exact"/>
        <w:ind w:firstLine="420" w:firstLineChars="200"/>
        <w:rPr>
          <w:rFonts w:ascii="宋体" w:hAnsi="宋体"/>
          <w:szCs w:val="21"/>
        </w:rPr>
      </w:pPr>
      <w:r>
        <w:rPr>
          <w:rFonts w:hint="eastAsia" w:ascii="宋体" w:hAnsi="宋体"/>
          <w:szCs w:val="21"/>
        </w:rPr>
        <w:t>声明函</w:t>
      </w:r>
    </w:p>
    <w:p>
      <w:pPr>
        <w:tabs>
          <w:tab w:val="left" w:pos="360"/>
        </w:tabs>
        <w:spacing w:line="460" w:lineRule="exact"/>
        <w:rPr>
          <w:rFonts w:ascii="宋体" w:hAnsi="宋体"/>
          <w:szCs w:val="21"/>
        </w:rPr>
      </w:pPr>
      <w:r>
        <w:rPr>
          <w:rFonts w:hint="eastAsia" w:ascii="宋体" w:hAnsi="宋体"/>
          <w:szCs w:val="21"/>
        </w:rPr>
        <w:t>6. 投标人提交的其它资料</w:t>
      </w:r>
    </w:p>
    <w:p>
      <w:pPr>
        <w:tabs>
          <w:tab w:val="left" w:pos="360"/>
        </w:tabs>
        <w:spacing w:line="460" w:lineRule="exact"/>
        <w:rPr>
          <w:rFonts w:ascii="宋体" w:hAnsi="宋体"/>
          <w:szCs w:val="21"/>
        </w:rPr>
      </w:pPr>
      <w:r>
        <w:rPr>
          <w:rFonts w:hint="eastAsia" w:ascii="宋体" w:hAnsi="宋体"/>
          <w:szCs w:val="21"/>
        </w:rPr>
        <w:t>7. 招标服务费承诺书</w:t>
      </w:r>
    </w:p>
    <w:p>
      <w:pPr>
        <w:tabs>
          <w:tab w:val="left" w:pos="360"/>
        </w:tabs>
        <w:spacing w:line="460" w:lineRule="exact"/>
        <w:rPr>
          <w:rFonts w:ascii="宋体" w:hAnsi="宋体"/>
          <w:szCs w:val="21"/>
        </w:rPr>
      </w:pPr>
      <w:r>
        <w:rPr>
          <w:rFonts w:hint="eastAsia" w:ascii="宋体" w:hAnsi="宋体"/>
          <w:szCs w:val="21"/>
        </w:rPr>
        <w:t>8.  投标保证金缴交凭证</w:t>
      </w:r>
    </w:p>
    <w:p>
      <w:pPr>
        <w:rPr>
          <w:rFonts w:ascii="宋体" w:hAnsi="宋体"/>
          <w:szCs w:val="21"/>
        </w:rPr>
        <w:sectPr>
          <w:pgSz w:w="11906" w:h="16838"/>
          <w:pgMar w:top="1440" w:right="1474" w:bottom="1440" w:left="1474" w:header="851" w:footer="992" w:gutter="0"/>
          <w:cols w:space="720" w:num="1"/>
          <w:titlePg/>
          <w:docGrid w:linePitch="312" w:charSpace="0"/>
        </w:sectPr>
      </w:pPr>
    </w:p>
    <w:p>
      <w:pPr>
        <w:spacing w:line="500" w:lineRule="atLeast"/>
        <w:jc w:val="center"/>
        <w:rPr>
          <w:rFonts w:ascii="宋体" w:hAnsi="宋体"/>
          <w:b/>
          <w:bCs/>
          <w:sz w:val="36"/>
        </w:rPr>
      </w:pPr>
      <w:bookmarkStart w:id="118" w:name="_Toc430361088"/>
      <w:bookmarkStart w:id="119" w:name="_Toc14134"/>
      <w:bookmarkStart w:id="120" w:name="_Toc287002970"/>
      <w:r>
        <w:rPr>
          <w:rFonts w:hint="eastAsia" w:ascii="宋体" w:hAnsi="宋体"/>
          <w:b/>
          <w:bCs/>
          <w:sz w:val="36"/>
        </w:rPr>
        <w:t>投 标 书</w:t>
      </w:r>
      <w:bookmarkEnd w:id="118"/>
      <w:bookmarkEnd w:id="119"/>
      <w:bookmarkEnd w:id="120"/>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福建优胜招标项目管理集团有限公司</w:t>
      </w:r>
    </w:p>
    <w:p>
      <w:pPr>
        <w:spacing w:line="360" w:lineRule="auto"/>
        <w:ind w:firstLine="480"/>
        <w:rPr>
          <w:rFonts w:ascii="宋体" w:hAnsi="宋体"/>
          <w:szCs w:val="21"/>
        </w:rPr>
      </w:pPr>
      <w:r>
        <w:rPr>
          <w:rFonts w:hint="eastAsia" w:ascii="宋体" w:hAnsi="宋体"/>
          <w:szCs w:val="21"/>
        </w:rPr>
        <w:t xml:space="preserve">根据贵方为 </w:t>
      </w:r>
      <w:r>
        <w:rPr>
          <w:rFonts w:hint="eastAsia" w:ascii="宋体" w:hAnsi="宋体"/>
          <w:szCs w:val="21"/>
          <w:u w:val="single"/>
        </w:rPr>
        <w:t xml:space="preserve">     </w:t>
      </w:r>
      <w:r>
        <w:rPr>
          <w:rFonts w:hint="eastAsia" w:ascii="宋体" w:hAnsi="宋体"/>
          <w:szCs w:val="21"/>
        </w:rPr>
        <w:t xml:space="preserve">项目的投标邀请（招标编号）: </w:t>
      </w:r>
      <w:r>
        <w:rPr>
          <w:rFonts w:hint="eastAsia" w:ascii="宋体" w:hAnsi="宋体"/>
          <w:szCs w:val="21"/>
          <w:u w:val="single"/>
        </w:rPr>
        <w:t xml:space="preserve">        </w:t>
      </w:r>
      <w:r>
        <w:rPr>
          <w:rFonts w:hint="eastAsia" w:ascii="宋体" w:hAnsi="宋体"/>
          <w:szCs w:val="21"/>
        </w:rPr>
        <w:t>，本签字代表</w:t>
      </w:r>
      <w:r>
        <w:rPr>
          <w:rFonts w:hint="eastAsia" w:ascii="宋体" w:hAnsi="宋体"/>
          <w:szCs w:val="21"/>
          <w:u w:val="single"/>
        </w:rPr>
        <w:t xml:space="preserve">       </w:t>
      </w:r>
      <w:r>
        <w:rPr>
          <w:rFonts w:hint="eastAsia" w:ascii="宋体" w:hAnsi="宋体"/>
          <w:szCs w:val="21"/>
        </w:rPr>
        <w:t>（全名、职务）正式授权并代表投标人</w:t>
      </w:r>
      <w:r>
        <w:rPr>
          <w:rFonts w:hint="eastAsia" w:ascii="宋体" w:hAnsi="宋体"/>
          <w:szCs w:val="21"/>
          <w:u w:val="single"/>
        </w:rPr>
        <w:t xml:space="preserve">       </w:t>
      </w:r>
      <w:r>
        <w:rPr>
          <w:rFonts w:hint="eastAsia" w:ascii="宋体" w:hAnsi="宋体"/>
          <w:szCs w:val="21"/>
        </w:rPr>
        <w:t>（投标人名称、地址）提交下述文件正本一份、副本五份和电子文本一份。</w:t>
      </w:r>
    </w:p>
    <w:p>
      <w:pPr>
        <w:spacing w:line="360" w:lineRule="auto"/>
        <w:rPr>
          <w:rFonts w:ascii="宋体" w:hAnsi="宋体"/>
          <w:szCs w:val="21"/>
        </w:rPr>
      </w:pPr>
      <w:r>
        <w:rPr>
          <w:rFonts w:hint="eastAsia" w:ascii="宋体" w:hAnsi="宋体"/>
          <w:szCs w:val="21"/>
        </w:rPr>
        <w:t>据此函，签字代表宣布同意如下：</w:t>
      </w:r>
    </w:p>
    <w:p>
      <w:pPr>
        <w:spacing w:line="360" w:lineRule="auto"/>
        <w:ind w:firstLine="420" w:firstLineChars="200"/>
        <w:rPr>
          <w:rFonts w:ascii="宋体" w:hAnsi="宋体"/>
          <w:szCs w:val="21"/>
        </w:rPr>
      </w:pPr>
      <w:r>
        <w:rPr>
          <w:rFonts w:hint="eastAsia" w:ascii="宋体" w:hAnsi="宋体"/>
          <w:szCs w:val="21"/>
        </w:rPr>
        <w:t>1.所附详细投标表中规定的应提供和交付的货物及服务投标总价（国内现场交货价）详见投标文件投标部分。</w:t>
      </w:r>
    </w:p>
    <w:p>
      <w:pPr>
        <w:spacing w:line="360" w:lineRule="auto"/>
        <w:ind w:firstLine="420" w:firstLineChars="200"/>
        <w:rPr>
          <w:rFonts w:ascii="宋体" w:hAnsi="宋体"/>
          <w:szCs w:val="21"/>
        </w:rPr>
      </w:pPr>
      <w:r>
        <w:rPr>
          <w:rFonts w:hint="eastAsia" w:ascii="宋体" w:hAnsi="宋体"/>
          <w:szCs w:val="21"/>
        </w:rPr>
        <w:t>2.投标人已详细审查全部公开招标文件，包括修改文件（如有的话）和有关附件，将自行承担因对全部公开招标文件理解不正确或误解而产生的相应后果。</w:t>
      </w:r>
    </w:p>
    <w:p>
      <w:pPr>
        <w:spacing w:line="360" w:lineRule="auto"/>
        <w:ind w:firstLine="420" w:firstLineChars="200"/>
        <w:rPr>
          <w:rFonts w:ascii="宋体" w:hAnsi="宋体"/>
          <w:szCs w:val="21"/>
        </w:rPr>
      </w:pPr>
      <w:r>
        <w:rPr>
          <w:rFonts w:hint="eastAsia" w:ascii="宋体" w:hAnsi="宋体"/>
          <w:szCs w:val="21"/>
        </w:rPr>
        <w:t>3.投标人保证遵守公开招标文件的全部规定，投标人所提交的材料中所含的信息均为真实、准确、完整，且不具有任何误导性。投标人所提供的资质材料在投标文件中是不可拆卸的。如发现所提供材料不全，责任由本公司自负。</w:t>
      </w:r>
    </w:p>
    <w:p>
      <w:pPr>
        <w:spacing w:line="360" w:lineRule="auto"/>
        <w:ind w:firstLine="420" w:firstLineChars="200"/>
        <w:rPr>
          <w:rFonts w:ascii="宋体" w:hAnsi="宋体"/>
          <w:szCs w:val="21"/>
        </w:rPr>
      </w:pPr>
      <w:r>
        <w:rPr>
          <w:rFonts w:hint="eastAsia" w:ascii="宋体" w:hAnsi="宋体"/>
          <w:szCs w:val="21"/>
        </w:rPr>
        <w:t>4.投标人将按公开招标文件的规定履行合同责任和义务。</w:t>
      </w:r>
    </w:p>
    <w:p>
      <w:pPr>
        <w:spacing w:line="360" w:lineRule="auto"/>
        <w:ind w:firstLine="420" w:firstLineChars="200"/>
        <w:rPr>
          <w:rFonts w:ascii="宋体" w:hAnsi="宋体"/>
          <w:szCs w:val="21"/>
        </w:rPr>
      </w:pPr>
      <w:r>
        <w:rPr>
          <w:rFonts w:hint="eastAsia" w:ascii="宋体" w:hAnsi="宋体"/>
          <w:szCs w:val="21"/>
        </w:rPr>
        <w:t>5.本投标文件自开标日起投标有效期为：在公开招标文件投标人须知前附表第3项所规定的期限内保持有效。</w:t>
      </w:r>
    </w:p>
    <w:p>
      <w:pPr>
        <w:spacing w:line="360" w:lineRule="auto"/>
        <w:ind w:firstLine="420" w:firstLineChars="200"/>
        <w:rPr>
          <w:rFonts w:ascii="宋体" w:hAnsi="宋体"/>
          <w:szCs w:val="21"/>
        </w:rPr>
      </w:pPr>
      <w:r>
        <w:rPr>
          <w:rFonts w:hint="eastAsia" w:ascii="宋体" w:hAnsi="宋体"/>
          <w:szCs w:val="21"/>
        </w:rPr>
        <w:t>6.如果发生公开招标文件第二章投标人须知第12条所述情况，则同意福建优胜招标项目管理集团有限公司不予退还投标保证金。</w:t>
      </w:r>
    </w:p>
    <w:p>
      <w:pPr>
        <w:spacing w:line="360" w:lineRule="auto"/>
        <w:ind w:firstLine="420" w:firstLineChars="200"/>
        <w:rPr>
          <w:rFonts w:ascii="宋体" w:hAnsi="宋体"/>
          <w:szCs w:val="21"/>
        </w:rPr>
      </w:pPr>
      <w:r>
        <w:rPr>
          <w:rFonts w:hint="eastAsia" w:ascii="宋体" w:hAnsi="宋体"/>
          <w:szCs w:val="21"/>
        </w:rPr>
        <w:t>7.投标人同意提供按照招标人或采购机构可能要求的与其投标有关的一切数据或资料。</w:t>
      </w:r>
    </w:p>
    <w:p>
      <w:pPr>
        <w:spacing w:line="360" w:lineRule="auto"/>
        <w:ind w:firstLine="420" w:firstLineChars="200"/>
        <w:rPr>
          <w:rFonts w:ascii="宋体" w:hAnsi="宋体"/>
          <w:szCs w:val="21"/>
        </w:rPr>
      </w:pPr>
      <w:r>
        <w:rPr>
          <w:rFonts w:hint="eastAsia" w:ascii="宋体" w:hAnsi="宋体"/>
          <w:szCs w:val="21"/>
        </w:rPr>
        <w:t>8. 与本投标有关的一切正式往来通讯请寄：</w:t>
      </w:r>
    </w:p>
    <w:p>
      <w:pPr>
        <w:spacing w:line="360" w:lineRule="auto"/>
        <w:rPr>
          <w:rFonts w:ascii="宋体" w:hAnsi="宋体"/>
          <w:szCs w:val="21"/>
          <w:u w:val="single"/>
        </w:rPr>
      </w:pPr>
      <w:r>
        <w:rPr>
          <w:rFonts w:hint="eastAsia" w:ascii="宋体" w:hAnsi="宋体"/>
          <w:szCs w:val="21"/>
        </w:rPr>
        <w:t xml:space="preserve">地址： </w:t>
      </w:r>
      <w:r>
        <w:rPr>
          <w:rFonts w:hint="eastAsia" w:ascii="宋体" w:hAnsi="宋体"/>
          <w:szCs w:val="21"/>
          <w:u w:val="single"/>
        </w:rPr>
        <w:t xml:space="preserve">                </w:t>
      </w:r>
      <w:r>
        <w:rPr>
          <w:rFonts w:hint="eastAsia" w:ascii="宋体" w:hAnsi="宋体"/>
          <w:szCs w:val="21"/>
        </w:rPr>
        <w:t xml:space="preserve"> 邮编： </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 xml:space="preserve">电话： </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投标人代表签字：</w:t>
      </w:r>
    </w:p>
    <w:p>
      <w:pPr>
        <w:spacing w:line="360" w:lineRule="auto"/>
        <w:rPr>
          <w:rFonts w:ascii="宋体" w:hAnsi="宋体"/>
          <w:szCs w:val="21"/>
        </w:rPr>
      </w:pPr>
      <w:r>
        <w:rPr>
          <w:rFonts w:hint="eastAsia" w:ascii="宋体" w:hAnsi="宋体"/>
          <w:szCs w:val="21"/>
        </w:rPr>
        <w:t>投标人（全称并加盖公章）：</w:t>
      </w:r>
    </w:p>
    <w:p>
      <w:pPr>
        <w:pStyle w:val="133"/>
        <w:keepNext w:val="0"/>
        <w:keepLines w:val="0"/>
        <w:spacing w:before="0" w:after="0" w:line="360" w:lineRule="auto"/>
        <w:jc w:val="both"/>
        <w:outlineLvl w:val="9"/>
        <w:rPr>
          <w:rFonts w:ascii="宋体" w:hAnsi="宋体" w:eastAsia="宋体"/>
          <w:sz w:val="21"/>
          <w:szCs w:val="21"/>
        </w:rPr>
      </w:pPr>
      <w:bookmarkStart w:id="121" w:name="_Toc489736853"/>
      <w:bookmarkStart w:id="122" w:name="_Toc492830292"/>
      <w:bookmarkStart w:id="123" w:name="_Toc489736824"/>
      <w:bookmarkStart w:id="124" w:name="_Toc74326543"/>
      <w:bookmarkStart w:id="125" w:name="_Toc32065"/>
      <w:bookmarkStart w:id="126" w:name="_Toc30229"/>
      <w:bookmarkStart w:id="127" w:name="_Toc22432"/>
      <w:r>
        <w:rPr>
          <w:rFonts w:hint="eastAsia" w:ascii="宋体" w:hAnsi="宋体" w:eastAsia="宋体"/>
          <w:sz w:val="21"/>
          <w:szCs w:val="21"/>
        </w:rPr>
        <w:t xml:space="preserve">日  期： </w:t>
      </w:r>
      <w:r>
        <w:rPr>
          <w:rFonts w:hint="eastAsia" w:ascii="宋体" w:hAnsi="宋体" w:eastAsia="宋体"/>
          <w:sz w:val="21"/>
          <w:szCs w:val="21"/>
          <w:u w:val="single"/>
        </w:rPr>
        <w:t xml:space="preserve">    </w:t>
      </w:r>
      <w:r>
        <w:rPr>
          <w:rFonts w:hint="eastAsia" w:ascii="宋体" w:hAnsi="宋体" w:eastAsia="宋体"/>
          <w:sz w:val="21"/>
          <w:szCs w:val="21"/>
        </w:rPr>
        <w:t xml:space="preserve">年 </w:t>
      </w:r>
      <w:r>
        <w:rPr>
          <w:rFonts w:hint="eastAsia" w:ascii="宋体" w:hAnsi="宋体" w:eastAsia="宋体"/>
          <w:sz w:val="21"/>
          <w:szCs w:val="21"/>
          <w:u w:val="single"/>
        </w:rPr>
        <w:t xml:space="preserve">   </w:t>
      </w:r>
      <w:r>
        <w:rPr>
          <w:rFonts w:hint="eastAsia" w:ascii="宋体" w:hAnsi="宋体" w:eastAsia="宋体"/>
          <w:sz w:val="21"/>
          <w:szCs w:val="21"/>
        </w:rPr>
        <w:t xml:space="preserve">月 </w:t>
      </w:r>
      <w:r>
        <w:rPr>
          <w:rFonts w:hint="eastAsia" w:ascii="宋体" w:hAnsi="宋体" w:eastAsia="宋体"/>
          <w:sz w:val="21"/>
          <w:szCs w:val="21"/>
          <w:u w:val="single"/>
        </w:rPr>
        <w:t xml:space="preserve">   </w:t>
      </w:r>
      <w:r>
        <w:rPr>
          <w:rFonts w:hint="eastAsia" w:ascii="宋体" w:hAnsi="宋体" w:eastAsia="宋体"/>
          <w:sz w:val="21"/>
          <w:szCs w:val="21"/>
        </w:rPr>
        <w:t>日</w:t>
      </w:r>
      <w:bookmarkEnd w:id="121"/>
      <w:bookmarkEnd w:id="122"/>
      <w:bookmarkEnd w:id="123"/>
      <w:bookmarkEnd w:id="124"/>
      <w:bookmarkEnd w:id="125"/>
      <w:bookmarkEnd w:id="126"/>
      <w:bookmarkEnd w:id="127"/>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500" w:lineRule="atLeast"/>
        <w:jc w:val="center"/>
        <w:rPr>
          <w:rFonts w:ascii="宋体" w:hAnsi="宋体"/>
          <w:szCs w:val="21"/>
        </w:rPr>
      </w:pPr>
      <w:r>
        <w:rPr>
          <w:rFonts w:hint="eastAsia" w:ascii="宋体" w:hAnsi="宋体"/>
          <w:b/>
          <w:bCs/>
          <w:sz w:val="36"/>
        </w:rPr>
        <w:t>项目说明一览表</w:t>
      </w:r>
      <w:r>
        <w:rPr>
          <w:rFonts w:hint="eastAsia" w:ascii="宋体" w:hAnsi="宋体"/>
          <w:b/>
          <w:bCs/>
          <w:sz w:val="36"/>
        </w:rPr>
        <w:cr/>
      </w:r>
      <w:r>
        <w:rPr>
          <w:rFonts w:hint="eastAsia" w:ascii="宋体" w:hAnsi="宋体"/>
        </w:rPr>
        <w:t xml:space="preserve"> </w:t>
      </w:r>
      <w:r>
        <w:rPr>
          <w:rFonts w:hint="eastAsia" w:ascii="宋体" w:hAnsi="宋体"/>
          <w:szCs w:val="21"/>
        </w:rPr>
        <w:t>（按投标项目合同包下品目号类别分别填写）</w:t>
      </w:r>
    </w:p>
    <w:p>
      <w:pPr>
        <w:spacing w:line="500" w:lineRule="atLeast"/>
        <w:rPr>
          <w:rFonts w:ascii="宋体" w:hAnsi="宋体"/>
          <w:szCs w:val="21"/>
        </w:rPr>
      </w:pPr>
      <w:r>
        <w:rPr>
          <w:rFonts w:hint="eastAsia" w:ascii="宋体" w:hAnsi="宋体"/>
          <w:szCs w:val="21"/>
        </w:rPr>
        <w:t>投标人名称（全称并加盖公章）:                           招标编号∶</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274"/>
        <w:gridCol w:w="1190"/>
        <w:gridCol w:w="1601"/>
        <w:gridCol w:w="680"/>
        <w:gridCol w:w="1274"/>
        <w:gridCol w:w="1302"/>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08" w:type="dxa"/>
            <w:vAlign w:val="center"/>
          </w:tcPr>
          <w:p>
            <w:pPr>
              <w:spacing w:line="500" w:lineRule="atLeast"/>
              <w:rPr>
                <w:rFonts w:ascii="宋体" w:hAnsi="宋体"/>
                <w:szCs w:val="21"/>
              </w:rPr>
            </w:pPr>
            <w:r>
              <w:rPr>
                <w:rFonts w:hint="eastAsia" w:ascii="宋体" w:hAnsi="宋体"/>
                <w:szCs w:val="21"/>
              </w:rPr>
              <w:t>合同包号</w:t>
            </w:r>
          </w:p>
        </w:tc>
        <w:tc>
          <w:tcPr>
            <w:tcW w:w="1274" w:type="dxa"/>
            <w:vAlign w:val="center"/>
          </w:tcPr>
          <w:p>
            <w:pPr>
              <w:spacing w:line="500" w:lineRule="atLeast"/>
              <w:rPr>
                <w:rFonts w:ascii="宋体" w:hAnsi="宋体"/>
                <w:szCs w:val="21"/>
              </w:rPr>
            </w:pPr>
          </w:p>
        </w:tc>
        <w:tc>
          <w:tcPr>
            <w:tcW w:w="1190" w:type="dxa"/>
            <w:vAlign w:val="center"/>
          </w:tcPr>
          <w:p>
            <w:pPr>
              <w:spacing w:line="500" w:lineRule="atLeast"/>
              <w:rPr>
                <w:rFonts w:ascii="宋体" w:hAnsi="宋体"/>
                <w:szCs w:val="21"/>
              </w:rPr>
            </w:pPr>
            <w:r>
              <w:rPr>
                <w:rFonts w:hint="eastAsia" w:ascii="宋体" w:hAnsi="宋体"/>
                <w:szCs w:val="21"/>
              </w:rPr>
              <w:t>项目名称</w:t>
            </w:r>
          </w:p>
        </w:tc>
        <w:tc>
          <w:tcPr>
            <w:tcW w:w="1601" w:type="dxa"/>
            <w:vAlign w:val="center"/>
          </w:tcPr>
          <w:p>
            <w:pPr>
              <w:spacing w:line="500" w:lineRule="atLeast"/>
              <w:rPr>
                <w:rFonts w:ascii="宋体" w:hAnsi="宋体"/>
                <w:szCs w:val="21"/>
              </w:rPr>
            </w:pPr>
          </w:p>
        </w:tc>
        <w:tc>
          <w:tcPr>
            <w:tcW w:w="680" w:type="dxa"/>
            <w:vAlign w:val="center"/>
          </w:tcPr>
          <w:p>
            <w:pPr>
              <w:spacing w:line="500" w:lineRule="atLeast"/>
              <w:rPr>
                <w:rFonts w:ascii="宋体" w:hAnsi="宋体"/>
                <w:szCs w:val="21"/>
              </w:rPr>
            </w:pPr>
            <w:r>
              <w:rPr>
                <w:rFonts w:hint="eastAsia" w:ascii="宋体" w:hAnsi="宋体"/>
                <w:szCs w:val="21"/>
              </w:rPr>
              <w:t>品牌</w:t>
            </w:r>
          </w:p>
        </w:tc>
        <w:tc>
          <w:tcPr>
            <w:tcW w:w="1274" w:type="dxa"/>
            <w:vAlign w:val="center"/>
          </w:tcPr>
          <w:p>
            <w:pPr>
              <w:spacing w:line="500" w:lineRule="atLeast"/>
              <w:rPr>
                <w:rFonts w:ascii="宋体" w:hAnsi="宋体"/>
                <w:szCs w:val="21"/>
              </w:rPr>
            </w:pPr>
          </w:p>
        </w:tc>
        <w:tc>
          <w:tcPr>
            <w:tcW w:w="1302" w:type="dxa"/>
            <w:vAlign w:val="center"/>
          </w:tcPr>
          <w:p>
            <w:pPr>
              <w:spacing w:line="500" w:lineRule="atLeast"/>
              <w:rPr>
                <w:rFonts w:ascii="宋体" w:hAnsi="宋体"/>
                <w:szCs w:val="21"/>
              </w:rPr>
            </w:pPr>
            <w:r>
              <w:rPr>
                <w:rFonts w:hint="eastAsia" w:ascii="宋体" w:hAnsi="宋体"/>
                <w:szCs w:val="21"/>
              </w:rPr>
              <w:t>数量</w:t>
            </w:r>
          </w:p>
        </w:tc>
        <w:tc>
          <w:tcPr>
            <w:tcW w:w="840" w:type="dxa"/>
            <w:vAlign w:val="center"/>
          </w:tcPr>
          <w:p>
            <w:pPr>
              <w:spacing w:line="5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3" w:hRule="atLeast"/>
        </w:trPr>
        <w:tc>
          <w:tcPr>
            <w:tcW w:w="8969" w:type="dxa"/>
            <w:gridSpan w:val="8"/>
          </w:tcPr>
          <w:p>
            <w:pPr>
              <w:spacing w:line="500" w:lineRule="atLeast"/>
              <w:rPr>
                <w:rFonts w:ascii="宋体" w:hAnsi="宋体"/>
                <w:szCs w:val="21"/>
              </w:rPr>
            </w:pPr>
            <w:r>
              <w:rPr>
                <w:rFonts w:hint="eastAsia" w:ascii="宋体" w:hAnsi="宋体"/>
                <w:szCs w:val="21"/>
              </w:rPr>
              <w:t>详细性能说明</w:t>
            </w:r>
          </w:p>
        </w:tc>
      </w:tr>
    </w:tbl>
    <w:p>
      <w:pPr>
        <w:autoSpaceDE w:val="0"/>
        <w:autoSpaceDN w:val="0"/>
        <w:adjustRightInd w:val="0"/>
        <w:spacing w:line="380" w:lineRule="exact"/>
        <w:rPr>
          <w:rFonts w:ascii="仿宋_GB2312" w:eastAsia="仿宋_GB2312"/>
          <w:b/>
          <w:szCs w:val="21"/>
        </w:rPr>
      </w:pPr>
      <w:r>
        <w:rPr>
          <w:rFonts w:hint="eastAsia" w:ascii="宋体" w:hAnsi="宋体"/>
          <w:szCs w:val="21"/>
        </w:rPr>
        <w:t>注：</w:t>
      </w:r>
      <w:r>
        <w:rPr>
          <w:rFonts w:hint="eastAsia" w:ascii="宋体" w:hAnsi="宋体"/>
          <w:kern w:val="44"/>
          <w:szCs w:val="21"/>
        </w:rPr>
        <w:t>投标人对“招标货物一览表”及其对应的技术部分的要求中提出的技术性能、功能、配置、产品品质等要求，应在“项目说明一览表”中说明是否能满足要求，该说明可包括图片、说明书、技术特征、现场性能及要求、功能列表等，以便评委会能对投标人所提供的产品做出准确判断和评估。</w:t>
      </w:r>
    </w:p>
    <w:p>
      <w:pPr>
        <w:pStyle w:val="133"/>
        <w:keepNext w:val="0"/>
        <w:keepLines w:val="0"/>
        <w:spacing w:before="0" w:after="0" w:line="500" w:lineRule="atLeast"/>
        <w:jc w:val="both"/>
        <w:outlineLvl w:val="9"/>
        <w:rPr>
          <w:rFonts w:ascii="宋体" w:hAnsi="宋体" w:eastAsia="宋体"/>
          <w:sz w:val="21"/>
          <w:szCs w:val="21"/>
        </w:rPr>
      </w:pPr>
    </w:p>
    <w:p>
      <w:pPr>
        <w:pStyle w:val="133"/>
        <w:keepNext w:val="0"/>
        <w:keepLines w:val="0"/>
        <w:spacing w:before="0" w:after="0" w:line="500" w:lineRule="atLeast"/>
        <w:jc w:val="both"/>
        <w:outlineLvl w:val="9"/>
        <w:rPr>
          <w:rFonts w:ascii="宋体" w:hAnsi="宋体" w:eastAsia="宋体"/>
          <w:sz w:val="21"/>
          <w:szCs w:val="21"/>
          <w:u w:val="single"/>
        </w:rPr>
      </w:pPr>
      <w:bookmarkStart w:id="128" w:name="_Toc489736854"/>
      <w:bookmarkStart w:id="129" w:name="_Toc74326544"/>
      <w:bookmarkStart w:id="130" w:name="_Toc492830293"/>
      <w:bookmarkStart w:id="131" w:name="_Toc489736825"/>
      <w:r>
        <w:rPr>
          <w:rFonts w:hint="eastAsia" w:ascii="宋体" w:hAnsi="宋体" w:eastAsia="宋体"/>
          <w:sz w:val="21"/>
          <w:szCs w:val="21"/>
        </w:rPr>
        <w:t>投标人代表签字:</w:t>
      </w:r>
      <w:bookmarkEnd w:id="128"/>
      <w:bookmarkEnd w:id="129"/>
      <w:bookmarkEnd w:id="130"/>
      <w:bookmarkEnd w:id="131"/>
      <w:r>
        <w:rPr>
          <w:rFonts w:hint="eastAsia" w:ascii="宋体" w:hAnsi="宋体" w:eastAsia="宋体"/>
          <w:sz w:val="21"/>
          <w:szCs w:val="21"/>
          <w:u w:val="single"/>
        </w:rPr>
        <w:t xml:space="preserve">          </w:t>
      </w: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rPr>
          <w:rFonts w:ascii="宋体" w:hAnsi="宋体"/>
          <w:b/>
          <w:szCs w:val="21"/>
        </w:rPr>
      </w:pPr>
    </w:p>
    <w:p>
      <w:pPr>
        <w:spacing w:line="360" w:lineRule="auto"/>
        <w:ind w:firstLine="361" w:firstLineChars="100"/>
        <w:jc w:val="center"/>
        <w:rPr>
          <w:rFonts w:ascii="宋体"/>
          <w:b/>
          <w:sz w:val="36"/>
          <w:szCs w:val="36"/>
        </w:rPr>
      </w:pPr>
      <w:bookmarkStart w:id="132" w:name="_Toc287002972"/>
      <w:r>
        <w:rPr>
          <w:rFonts w:hint="eastAsia" w:hAnsi="宋体" w:cs="宋体"/>
          <w:b/>
          <w:kern w:val="0"/>
          <w:sz w:val="36"/>
          <w:szCs w:val="36"/>
        </w:rPr>
        <w:t>技术商务评分标准对照情况应答表</w:t>
      </w:r>
    </w:p>
    <w:p>
      <w:pPr>
        <w:spacing w:line="360" w:lineRule="auto"/>
        <w:ind w:firstLine="240" w:firstLineChars="100"/>
        <w:rPr>
          <w:rFonts w:ascii="宋体" w:hAnsi="宋体"/>
          <w:sz w:val="24"/>
          <w:szCs w:val="24"/>
        </w:rPr>
      </w:pPr>
    </w:p>
    <w:p>
      <w:pPr>
        <w:spacing w:line="360" w:lineRule="auto"/>
        <w:ind w:firstLine="240" w:firstLineChars="100"/>
        <w:rPr>
          <w:rFonts w:ascii="宋体" w:hAnsi="宋体"/>
          <w:sz w:val="24"/>
          <w:szCs w:val="24"/>
        </w:rPr>
      </w:pPr>
      <w:r>
        <w:rPr>
          <w:rFonts w:hint="eastAsia" w:ascii="宋体" w:hAnsi="宋体"/>
          <w:sz w:val="24"/>
          <w:szCs w:val="24"/>
        </w:rPr>
        <w:t>投标人名称（加盖公章）：</w:t>
      </w:r>
      <w:r>
        <w:rPr>
          <w:rFonts w:ascii="宋体" w:hAnsi="宋体"/>
          <w:sz w:val="24"/>
          <w:szCs w:val="24"/>
        </w:rPr>
        <w:t xml:space="preserve">                      </w:t>
      </w:r>
      <w:r>
        <w:rPr>
          <w:rFonts w:hint="eastAsia" w:ascii="宋体" w:hAnsi="宋体"/>
          <w:sz w:val="24"/>
          <w:szCs w:val="24"/>
        </w:rPr>
        <w:t>招标编号：</w:t>
      </w:r>
      <w:r>
        <w:rPr>
          <w:rFonts w:ascii="宋体" w:hAnsi="宋体"/>
          <w:sz w:val="24"/>
          <w:szCs w:val="24"/>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827"/>
        <w:gridCol w:w="2835"/>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vAlign w:val="center"/>
          </w:tcPr>
          <w:p>
            <w:pPr>
              <w:jc w:val="center"/>
              <w:rPr>
                <w:rFonts w:ascii="宋体" w:hAnsi="宋体"/>
                <w:b/>
                <w:sz w:val="24"/>
                <w:szCs w:val="24"/>
              </w:rPr>
            </w:pPr>
            <w:r>
              <w:rPr>
                <w:rFonts w:hint="eastAsia" w:ascii="宋体" w:hAnsi="宋体"/>
                <w:b/>
                <w:sz w:val="24"/>
                <w:szCs w:val="24"/>
              </w:rPr>
              <w:t>项目</w:t>
            </w:r>
          </w:p>
        </w:tc>
        <w:tc>
          <w:tcPr>
            <w:tcW w:w="3827" w:type="dxa"/>
            <w:vAlign w:val="center"/>
          </w:tcPr>
          <w:p>
            <w:pPr>
              <w:jc w:val="center"/>
              <w:rPr>
                <w:rFonts w:ascii="宋体" w:hAnsi="宋体"/>
                <w:b/>
                <w:sz w:val="24"/>
                <w:szCs w:val="24"/>
              </w:rPr>
            </w:pPr>
            <w:r>
              <w:rPr>
                <w:rFonts w:hint="eastAsia" w:ascii="宋体" w:hAnsi="宋体"/>
                <w:b/>
                <w:sz w:val="24"/>
                <w:szCs w:val="24"/>
              </w:rPr>
              <w:t>技术部分评分内容</w:t>
            </w:r>
          </w:p>
        </w:tc>
        <w:tc>
          <w:tcPr>
            <w:tcW w:w="2835" w:type="dxa"/>
            <w:vAlign w:val="center"/>
          </w:tcPr>
          <w:p>
            <w:pPr>
              <w:jc w:val="center"/>
              <w:rPr>
                <w:rFonts w:ascii="宋体" w:hAnsi="宋体"/>
                <w:b/>
                <w:sz w:val="24"/>
                <w:szCs w:val="24"/>
              </w:rPr>
            </w:pPr>
            <w:r>
              <w:rPr>
                <w:rFonts w:hint="eastAsia" w:ascii="宋体" w:hAnsi="宋体"/>
                <w:b/>
                <w:sz w:val="24"/>
                <w:szCs w:val="24"/>
              </w:rPr>
              <w:t>投标响应情况</w:t>
            </w:r>
          </w:p>
        </w:tc>
        <w:tc>
          <w:tcPr>
            <w:tcW w:w="1544" w:type="dxa"/>
            <w:vAlign w:val="center"/>
          </w:tcPr>
          <w:p>
            <w:pPr>
              <w:jc w:val="center"/>
              <w:rPr>
                <w:rFonts w:ascii="宋体" w:hAnsi="宋体"/>
                <w:b/>
                <w:sz w:val="24"/>
                <w:szCs w:val="24"/>
              </w:rPr>
            </w:pPr>
            <w:r>
              <w:rPr>
                <w:rFonts w:hint="eastAsia" w:ascii="宋体" w:hAnsi="宋体"/>
                <w:b/>
                <w:sz w:val="24"/>
                <w:szCs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vAlign w:val="center"/>
          </w:tcPr>
          <w:p>
            <w:pPr>
              <w:spacing w:line="440" w:lineRule="exact"/>
              <w:jc w:val="center"/>
              <w:rPr>
                <w:rFonts w:ascii="宋体" w:hAnsi="宋体"/>
                <w:snapToGrid w:val="0"/>
                <w:sz w:val="24"/>
                <w:szCs w:val="24"/>
              </w:rPr>
            </w:pPr>
          </w:p>
        </w:tc>
        <w:tc>
          <w:tcPr>
            <w:tcW w:w="3827" w:type="dxa"/>
            <w:vAlign w:val="center"/>
          </w:tcPr>
          <w:p>
            <w:pPr>
              <w:spacing w:line="440" w:lineRule="exact"/>
              <w:rPr>
                <w:rFonts w:ascii="宋体" w:hAnsi="宋体"/>
                <w:snapToGrid w:val="0"/>
                <w:sz w:val="24"/>
                <w:szCs w:val="24"/>
              </w:rPr>
            </w:pPr>
          </w:p>
        </w:tc>
        <w:tc>
          <w:tcPr>
            <w:tcW w:w="2835" w:type="dxa"/>
            <w:vAlign w:val="center"/>
          </w:tcPr>
          <w:p>
            <w:pPr>
              <w:jc w:val="center"/>
              <w:rPr>
                <w:rFonts w:ascii="宋体" w:hAnsi="宋体"/>
                <w:sz w:val="24"/>
                <w:szCs w:val="24"/>
              </w:rPr>
            </w:pPr>
          </w:p>
        </w:tc>
        <w:tc>
          <w:tcPr>
            <w:tcW w:w="1544"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vAlign w:val="center"/>
          </w:tcPr>
          <w:p>
            <w:pPr>
              <w:spacing w:line="440" w:lineRule="exact"/>
              <w:jc w:val="center"/>
              <w:rPr>
                <w:rFonts w:ascii="宋体" w:hAnsi="宋体"/>
                <w:snapToGrid w:val="0"/>
                <w:sz w:val="24"/>
                <w:szCs w:val="24"/>
              </w:rPr>
            </w:pPr>
          </w:p>
        </w:tc>
        <w:tc>
          <w:tcPr>
            <w:tcW w:w="3827" w:type="dxa"/>
            <w:vAlign w:val="center"/>
          </w:tcPr>
          <w:p>
            <w:pPr>
              <w:spacing w:line="440" w:lineRule="exact"/>
              <w:rPr>
                <w:rFonts w:ascii="宋体" w:hAnsi="宋体"/>
                <w:snapToGrid w:val="0"/>
                <w:sz w:val="24"/>
                <w:szCs w:val="24"/>
              </w:rPr>
            </w:pPr>
          </w:p>
        </w:tc>
        <w:tc>
          <w:tcPr>
            <w:tcW w:w="2835" w:type="dxa"/>
            <w:vAlign w:val="center"/>
          </w:tcPr>
          <w:p>
            <w:pPr>
              <w:jc w:val="center"/>
              <w:rPr>
                <w:rFonts w:ascii="宋体" w:hAnsi="宋体"/>
                <w:sz w:val="24"/>
                <w:szCs w:val="24"/>
              </w:rPr>
            </w:pPr>
          </w:p>
        </w:tc>
        <w:tc>
          <w:tcPr>
            <w:tcW w:w="1544"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vAlign w:val="center"/>
          </w:tcPr>
          <w:p>
            <w:pPr>
              <w:spacing w:line="440" w:lineRule="exact"/>
              <w:jc w:val="center"/>
              <w:rPr>
                <w:rFonts w:ascii="宋体" w:hAnsi="宋体"/>
                <w:snapToGrid w:val="0"/>
                <w:sz w:val="24"/>
                <w:szCs w:val="24"/>
              </w:rPr>
            </w:pPr>
          </w:p>
        </w:tc>
        <w:tc>
          <w:tcPr>
            <w:tcW w:w="3827" w:type="dxa"/>
            <w:vAlign w:val="center"/>
          </w:tcPr>
          <w:p>
            <w:pPr>
              <w:spacing w:line="440" w:lineRule="exact"/>
              <w:rPr>
                <w:rFonts w:ascii="宋体" w:hAnsi="宋体"/>
                <w:snapToGrid w:val="0"/>
                <w:sz w:val="24"/>
                <w:szCs w:val="24"/>
              </w:rPr>
            </w:pPr>
          </w:p>
        </w:tc>
        <w:tc>
          <w:tcPr>
            <w:tcW w:w="2835" w:type="dxa"/>
            <w:vAlign w:val="center"/>
          </w:tcPr>
          <w:p>
            <w:pPr>
              <w:jc w:val="center"/>
              <w:rPr>
                <w:rFonts w:ascii="宋体" w:hAnsi="宋体"/>
                <w:sz w:val="24"/>
                <w:szCs w:val="24"/>
              </w:rPr>
            </w:pPr>
          </w:p>
        </w:tc>
        <w:tc>
          <w:tcPr>
            <w:tcW w:w="1544"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vAlign w:val="center"/>
          </w:tcPr>
          <w:p>
            <w:pPr>
              <w:jc w:val="center"/>
              <w:rPr>
                <w:rFonts w:ascii="宋体" w:hAnsi="宋体"/>
                <w:sz w:val="24"/>
                <w:szCs w:val="24"/>
              </w:rPr>
            </w:pPr>
          </w:p>
        </w:tc>
        <w:tc>
          <w:tcPr>
            <w:tcW w:w="3827" w:type="dxa"/>
          </w:tcPr>
          <w:p>
            <w:pPr>
              <w:spacing w:line="440" w:lineRule="exact"/>
              <w:rPr>
                <w:rFonts w:ascii="宋体" w:hAnsi="宋体"/>
                <w:snapToGrid w:val="0"/>
                <w:sz w:val="24"/>
                <w:szCs w:val="24"/>
              </w:rPr>
            </w:pPr>
          </w:p>
        </w:tc>
        <w:tc>
          <w:tcPr>
            <w:tcW w:w="2835" w:type="dxa"/>
            <w:vAlign w:val="center"/>
          </w:tcPr>
          <w:p>
            <w:pPr>
              <w:jc w:val="center"/>
              <w:rPr>
                <w:rFonts w:ascii="宋体" w:hAnsi="宋体"/>
                <w:sz w:val="24"/>
                <w:szCs w:val="24"/>
              </w:rPr>
            </w:pPr>
          </w:p>
        </w:tc>
        <w:tc>
          <w:tcPr>
            <w:tcW w:w="1544"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vAlign w:val="center"/>
          </w:tcPr>
          <w:p>
            <w:pPr>
              <w:spacing w:line="440" w:lineRule="exact"/>
              <w:jc w:val="center"/>
              <w:rPr>
                <w:rFonts w:ascii="宋体" w:hAnsi="宋体"/>
                <w:snapToGrid w:val="0"/>
                <w:sz w:val="24"/>
                <w:szCs w:val="24"/>
              </w:rPr>
            </w:pPr>
          </w:p>
        </w:tc>
        <w:tc>
          <w:tcPr>
            <w:tcW w:w="3827" w:type="dxa"/>
            <w:vAlign w:val="center"/>
          </w:tcPr>
          <w:p>
            <w:pPr>
              <w:spacing w:line="440" w:lineRule="exact"/>
              <w:rPr>
                <w:rFonts w:ascii="宋体" w:hAnsi="宋体"/>
                <w:snapToGrid w:val="0"/>
                <w:sz w:val="24"/>
                <w:szCs w:val="24"/>
              </w:rPr>
            </w:pPr>
          </w:p>
        </w:tc>
        <w:tc>
          <w:tcPr>
            <w:tcW w:w="2835" w:type="dxa"/>
            <w:vAlign w:val="center"/>
          </w:tcPr>
          <w:p>
            <w:pPr>
              <w:jc w:val="center"/>
              <w:rPr>
                <w:rFonts w:ascii="宋体" w:hAnsi="宋体"/>
                <w:sz w:val="24"/>
                <w:szCs w:val="24"/>
              </w:rPr>
            </w:pPr>
          </w:p>
        </w:tc>
        <w:tc>
          <w:tcPr>
            <w:tcW w:w="1544"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vAlign w:val="center"/>
          </w:tcPr>
          <w:p>
            <w:pPr>
              <w:spacing w:line="440" w:lineRule="exact"/>
              <w:jc w:val="center"/>
              <w:rPr>
                <w:rFonts w:ascii="宋体" w:hAnsi="宋体"/>
                <w:snapToGrid w:val="0"/>
                <w:sz w:val="24"/>
                <w:szCs w:val="24"/>
              </w:rPr>
            </w:pPr>
          </w:p>
        </w:tc>
        <w:tc>
          <w:tcPr>
            <w:tcW w:w="3827" w:type="dxa"/>
            <w:vAlign w:val="center"/>
          </w:tcPr>
          <w:p>
            <w:pPr>
              <w:spacing w:line="440" w:lineRule="exact"/>
              <w:rPr>
                <w:rFonts w:ascii="宋体" w:hAnsi="宋体"/>
                <w:snapToGrid w:val="0"/>
                <w:sz w:val="24"/>
                <w:szCs w:val="24"/>
              </w:rPr>
            </w:pPr>
          </w:p>
        </w:tc>
        <w:tc>
          <w:tcPr>
            <w:tcW w:w="2835" w:type="dxa"/>
            <w:vAlign w:val="center"/>
          </w:tcPr>
          <w:p>
            <w:pPr>
              <w:jc w:val="center"/>
              <w:rPr>
                <w:rFonts w:ascii="宋体" w:hAnsi="宋体"/>
                <w:sz w:val="24"/>
                <w:szCs w:val="24"/>
              </w:rPr>
            </w:pPr>
          </w:p>
        </w:tc>
        <w:tc>
          <w:tcPr>
            <w:tcW w:w="1544"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vAlign w:val="center"/>
          </w:tcPr>
          <w:p>
            <w:pPr>
              <w:spacing w:line="440" w:lineRule="exact"/>
              <w:jc w:val="center"/>
              <w:rPr>
                <w:rFonts w:ascii="宋体" w:hAnsi="宋体"/>
                <w:snapToGrid w:val="0"/>
                <w:sz w:val="24"/>
                <w:szCs w:val="24"/>
              </w:rPr>
            </w:pPr>
          </w:p>
        </w:tc>
        <w:tc>
          <w:tcPr>
            <w:tcW w:w="3827" w:type="dxa"/>
          </w:tcPr>
          <w:p>
            <w:pPr>
              <w:spacing w:line="440" w:lineRule="exact"/>
              <w:rPr>
                <w:rFonts w:ascii="宋体" w:hAnsi="宋体"/>
                <w:snapToGrid w:val="0"/>
                <w:sz w:val="24"/>
                <w:szCs w:val="24"/>
              </w:rPr>
            </w:pPr>
          </w:p>
        </w:tc>
        <w:tc>
          <w:tcPr>
            <w:tcW w:w="2835" w:type="dxa"/>
            <w:vAlign w:val="center"/>
          </w:tcPr>
          <w:p>
            <w:pPr>
              <w:jc w:val="center"/>
              <w:rPr>
                <w:rFonts w:ascii="宋体" w:hAnsi="宋体"/>
                <w:sz w:val="24"/>
                <w:szCs w:val="24"/>
              </w:rPr>
            </w:pPr>
          </w:p>
        </w:tc>
        <w:tc>
          <w:tcPr>
            <w:tcW w:w="1544" w:type="dxa"/>
            <w:vAlign w:val="center"/>
          </w:tcPr>
          <w:p>
            <w:pPr>
              <w:jc w:val="center"/>
              <w:rPr>
                <w:rFonts w:ascii="宋体" w:hAnsi="宋体"/>
                <w:sz w:val="24"/>
                <w:szCs w:val="24"/>
              </w:rPr>
            </w:pPr>
          </w:p>
        </w:tc>
      </w:tr>
    </w:tbl>
    <w:p>
      <w:pPr>
        <w:spacing w:line="360" w:lineRule="auto"/>
        <w:jc w:val="center"/>
        <w:rPr>
          <w:rFonts w:ascii="宋体" w:hAnsi="宋体"/>
          <w:sz w:val="24"/>
          <w:szCs w:val="24"/>
        </w:rPr>
      </w:pPr>
    </w:p>
    <w:p>
      <w:pPr>
        <w:spacing w:line="360" w:lineRule="auto"/>
        <w:jc w:val="center"/>
        <w:rPr>
          <w:rFonts w:ascii="宋体" w:hAnsi="宋体"/>
          <w:sz w:val="24"/>
          <w:szCs w:val="24"/>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721"/>
        <w:gridCol w:w="281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Align w:val="center"/>
          </w:tcPr>
          <w:p>
            <w:pPr>
              <w:jc w:val="center"/>
              <w:rPr>
                <w:rFonts w:ascii="宋体" w:hAnsi="宋体"/>
                <w:b/>
                <w:sz w:val="24"/>
                <w:szCs w:val="24"/>
              </w:rPr>
            </w:pPr>
            <w:r>
              <w:rPr>
                <w:rFonts w:hint="eastAsia" w:ascii="宋体" w:hAnsi="宋体"/>
                <w:b/>
                <w:sz w:val="24"/>
                <w:szCs w:val="24"/>
              </w:rPr>
              <w:t>项目</w:t>
            </w:r>
          </w:p>
        </w:tc>
        <w:tc>
          <w:tcPr>
            <w:tcW w:w="3721" w:type="dxa"/>
            <w:vAlign w:val="center"/>
          </w:tcPr>
          <w:p>
            <w:pPr>
              <w:jc w:val="center"/>
              <w:rPr>
                <w:rFonts w:ascii="宋体" w:hAnsi="宋体"/>
                <w:b/>
                <w:sz w:val="24"/>
                <w:szCs w:val="24"/>
              </w:rPr>
            </w:pPr>
            <w:r>
              <w:rPr>
                <w:rFonts w:hint="eastAsia" w:ascii="宋体" w:hAnsi="宋体"/>
                <w:b/>
                <w:sz w:val="24"/>
                <w:szCs w:val="24"/>
              </w:rPr>
              <w:t>商务部分评分内容</w:t>
            </w:r>
          </w:p>
        </w:tc>
        <w:tc>
          <w:tcPr>
            <w:tcW w:w="2813" w:type="dxa"/>
            <w:vAlign w:val="center"/>
          </w:tcPr>
          <w:p>
            <w:pPr>
              <w:jc w:val="center"/>
              <w:rPr>
                <w:rFonts w:ascii="宋体" w:hAnsi="宋体"/>
                <w:b/>
                <w:sz w:val="24"/>
                <w:szCs w:val="24"/>
              </w:rPr>
            </w:pPr>
            <w:r>
              <w:rPr>
                <w:rFonts w:hint="eastAsia" w:ascii="宋体" w:hAnsi="宋体"/>
                <w:b/>
                <w:sz w:val="24"/>
                <w:szCs w:val="24"/>
              </w:rPr>
              <w:t>投标响应情况</w:t>
            </w:r>
          </w:p>
        </w:tc>
        <w:tc>
          <w:tcPr>
            <w:tcW w:w="1559" w:type="dxa"/>
            <w:vAlign w:val="center"/>
          </w:tcPr>
          <w:p>
            <w:pPr>
              <w:jc w:val="center"/>
              <w:rPr>
                <w:rFonts w:ascii="宋体" w:hAnsi="宋体"/>
                <w:b/>
                <w:sz w:val="24"/>
                <w:szCs w:val="24"/>
              </w:rPr>
            </w:pPr>
            <w:r>
              <w:rPr>
                <w:rFonts w:hint="eastAsia" w:ascii="宋体" w:hAnsi="宋体"/>
                <w:b/>
                <w:sz w:val="24"/>
                <w:szCs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Align w:val="center"/>
          </w:tcPr>
          <w:p>
            <w:pPr>
              <w:jc w:val="center"/>
              <w:rPr>
                <w:rFonts w:ascii="宋体" w:hAnsi="宋体"/>
                <w:sz w:val="24"/>
                <w:szCs w:val="24"/>
              </w:rPr>
            </w:pPr>
          </w:p>
        </w:tc>
        <w:tc>
          <w:tcPr>
            <w:tcW w:w="3721" w:type="dxa"/>
            <w:vAlign w:val="center"/>
          </w:tcPr>
          <w:p>
            <w:pPr>
              <w:spacing w:line="440" w:lineRule="exact"/>
              <w:rPr>
                <w:rFonts w:ascii="宋体" w:hAnsi="宋体"/>
                <w:sz w:val="24"/>
                <w:szCs w:val="24"/>
              </w:rPr>
            </w:pPr>
          </w:p>
        </w:tc>
        <w:tc>
          <w:tcPr>
            <w:tcW w:w="2813" w:type="dxa"/>
            <w:vAlign w:val="center"/>
          </w:tcPr>
          <w:p>
            <w:pPr>
              <w:jc w:val="center"/>
              <w:rPr>
                <w:rFonts w:ascii="宋体" w:hAnsi="宋体"/>
                <w:sz w:val="24"/>
                <w:szCs w:val="24"/>
              </w:rPr>
            </w:pPr>
          </w:p>
        </w:tc>
        <w:tc>
          <w:tcPr>
            <w:tcW w:w="155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Align w:val="center"/>
          </w:tcPr>
          <w:p>
            <w:pPr>
              <w:jc w:val="center"/>
              <w:rPr>
                <w:rFonts w:ascii="宋体" w:hAnsi="宋体"/>
                <w:sz w:val="24"/>
                <w:szCs w:val="24"/>
              </w:rPr>
            </w:pPr>
          </w:p>
        </w:tc>
        <w:tc>
          <w:tcPr>
            <w:tcW w:w="3721" w:type="dxa"/>
          </w:tcPr>
          <w:p>
            <w:pPr>
              <w:spacing w:line="440" w:lineRule="exact"/>
              <w:rPr>
                <w:rFonts w:ascii="宋体" w:hAnsi="宋体"/>
                <w:snapToGrid w:val="0"/>
                <w:sz w:val="24"/>
                <w:szCs w:val="24"/>
              </w:rPr>
            </w:pPr>
          </w:p>
        </w:tc>
        <w:tc>
          <w:tcPr>
            <w:tcW w:w="2813" w:type="dxa"/>
            <w:vAlign w:val="center"/>
          </w:tcPr>
          <w:p>
            <w:pPr>
              <w:jc w:val="center"/>
              <w:rPr>
                <w:rFonts w:ascii="宋体" w:hAnsi="宋体"/>
                <w:sz w:val="24"/>
                <w:szCs w:val="24"/>
              </w:rPr>
            </w:pPr>
          </w:p>
        </w:tc>
        <w:tc>
          <w:tcPr>
            <w:tcW w:w="155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Align w:val="center"/>
          </w:tcPr>
          <w:p>
            <w:pPr>
              <w:jc w:val="center"/>
              <w:rPr>
                <w:rFonts w:ascii="宋体" w:hAnsi="宋体"/>
                <w:sz w:val="24"/>
                <w:szCs w:val="24"/>
              </w:rPr>
            </w:pPr>
          </w:p>
        </w:tc>
        <w:tc>
          <w:tcPr>
            <w:tcW w:w="3721" w:type="dxa"/>
          </w:tcPr>
          <w:p>
            <w:pPr>
              <w:spacing w:line="440" w:lineRule="exact"/>
              <w:rPr>
                <w:rFonts w:ascii="宋体" w:hAnsi="宋体"/>
                <w:snapToGrid w:val="0"/>
                <w:sz w:val="24"/>
                <w:szCs w:val="24"/>
              </w:rPr>
            </w:pPr>
          </w:p>
        </w:tc>
        <w:tc>
          <w:tcPr>
            <w:tcW w:w="2813" w:type="dxa"/>
            <w:vAlign w:val="center"/>
          </w:tcPr>
          <w:p>
            <w:pPr>
              <w:jc w:val="center"/>
              <w:rPr>
                <w:rFonts w:ascii="宋体" w:hAnsi="宋体"/>
                <w:sz w:val="24"/>
                <w:szCs w:val="24"/>
              </w:rPr>
            </w:pPr>
          </w:p>
        </w:tc>
        <w:tc>
          <w:tcPr>
            <w:tcW w:w="155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Align w:val="center"/>
          </w:tcPr>
          <w:p>
            <w:pPr>
              <w:jc w:val="center"/>
              <w:rPr>
                <w:rFonts w:ascii="宋体" w:hAnsi="宋体"/>
                <w:sz w:val="24"/>
                <w:szCs w:val="24"/>
              </w:rPr>
            </w:pPr>
          </w:p>
        </w:tc>
        <w:tc>
          <w:tcPr>
            <w:tcW w:w="3721" w:type="dxa"/>
          </w:tcPr>
          <w:p>
            <w:pPr>
              <w:spacing w:line="440" w:lineRule="exact"/>
              <w:rPr>
                <w:rFonts w:ascii="宋体" w:hAnsi="宋体"/>
                <w:snapToGrid w:val="0"/>
                <w:sz w:val="24"/>
                <w:szCs w:val="24"/>
              </w:rPr>
            </w:pPr>
          </w:p>
        </w:tc>
        <w:tc>
          <w:tcPr>
            <w:tcW w:w="2813" w:type="dxa"/>
            <w:vAlign w:val="center"/>
          </w:tcPr>
          <w:p>
            <w:pPr>
              <w:jc w:val="center"/>
              <w:rPr>
                <w:rFonts w:ascii="宋体" w:hAnsi="宋体"/>
                <w:sz w:val="24"/>
                <w:szCs w:val="24"/>
              </w:rPr>
            </w:pPr>
          </w:p>
        </w:tc>
        <w:tc>
          <w:tcPr>
            <w:tcW w:w="1559" w:type="dxa"/>
            <w:vAlign w:val="center"/>
          </w:tcPr>
          <w:p>
            <w:pPr>
              <w:jc w:val="center"/>
              <w:rPr>
                <w:rFonts w:ascii="宋体" w:hAnsi="宋体"/>
                <w:sz w:val="24"/>
                <w:szCs w:val="24"/>
              </w:rPr>
            </w:pPr>
          </w:p>
        </w:tc>
      </w:tr>
    </w:tbl>
    <w:p>
      <w:pPr>
        <w:spacing w:line="360" w:lineRule="auto"/>
        <w:jc w:val="center"/>
        <w:rPr>
          <w:rFonts w:ascii="宋体" w:hAnsi="宋体"/>
          <w:sz w:val="24"/>
          <w:szCs w:val="24"/>
        </w:rPr>
      </w:pPr>
    </w:p>
    <w:p>
      <w:pPr>
        <w:spacing w:line="360" w:lineRule="auto"/>
        <w:jc w:val="left"/>
        <w:rPr>
          <w:rFonts w:ascii="宋体" w:hAnsi="宋体"/>
          <w:sz w:val="24"/>
          <w:szCs w:val="24"/>
        </w:rPr>
      </w:pPr>
    </w:p>
    <w:p>
      <w:pPr>
        <w:spacing w:line="360" w:lineRule="auto"/>
        <w:ind w:firstLine="4983" w:firstLineChars="2068"/>
        <w:jc w:val="left"/>
        <w:rPr>
          <w:rFonts w:ascii="宋体" w:hAnsi="宋体"/>
          <w:b/>
          <w:sz w:val="24"/>
          <w:szCs w:val="24"/>
          <w:u w:val="single"/>
        </w:rPr>
      </w:pPr>
      <w:r>
        <w:rPr>
          <w:rFonts w:hint="eastAsia" w:ascii="宋体" w:hAnsi="宋体"/>
          <w:b/>
          <w:sz w:val="24"/>
          <w:szCs w:val="24"/>
        </w:rPr>
        <w:t>投标人代表（签字）：</w:t>
      </w:r>
      <w:r>
        <w:rPr>
          <w:rFonts w:ascii="宋体" w:hAnsi="宋体"/>
          <w:b/>
          <w:sz w:val="24"/>
          <w:szCs w:val="24"/>
          <w:u w:val="single"/>
        </w:rPr>
        <w:t xml:space="preserve">           </w:t>
      </w:r>
    </w:p>
    <w:p>
      <w:pPr>
        <w:spacing w:line="360" w:lineRule="auto"/>
        <w:ind w:firstLine="4983" w:firstLineChars="2068"/>
        <w:jc w:val="left"/>
        <w:rPr>
          <w:rFonts w:ascii="宋体" w:hAnsi="宋体"/>
          <w:b/>
          <w:sz w:val="24"/>
          <w:szCs w:val="24"/>
          <w:u w:val="single"/>
        </w:rPr>
      </w:pPr>
      <w:r>
        <w:rPr>
          <w:rFonts w:hint="eastAsia" w:ascii="宋体" w:hAnsi="宋体"/>
          <w:b/>
          <w:sz w:val="24"/>
          <w:szCs w:val="24"/>
        </w:rPr>
        <w:t>投标日期：</w:t>
      </w:r>
      <w:r>
        <w:rPr>
          <w:rFonts w:ascii="宋体" w:hAnsi="宋体"/>
          <w:b/>
          <w:sz w:val="24"/>
          <w:szCs w:val="24"/>
          <w:u w:val="single"/>
        </w:rPr>
        <w:t xml:space="preserve">                   </w:t>
      </w:r>
    </w:p>
    <w:p>
      <w:pPr>
        <w:spacing w:line="500" w:lineRule="atLeast"/>
        <w:jc w:val="center"/>
        <w:rPr>
          <w:rFonts w:ascii="宋体" w:hAnsi="宋体"/>
          <w:b/>
          <w:bCs/>
          <w:sz w:val="36"/>
        </w:rPr>
      </w:pPr>
      <w:r>
        <w:rPr>
          <w:rFonts w:ascii="宋体" w:hAnsi="宋体"/>
          <w:b/>
          <w:bCs/>
          <w:sz w:val="36"/>
        </w:rPr>
        <w:br w:type="page"/>
      </w:r>
      <w:r>
        <w:rPr>
          <w:rFonts w:hint="eastAsia" w:ascii="宋体" w:hAnsi="宋体"/>
          <w:b/>
          <w:bCs/>
          <w:sz w:val="36"/>
        </w:rPr>
        <w:t>偏离表</w:t>
      </w:r>
      <w:bookmarkEnd w:id="132"/>
      <w:r>
        <w:rPr>
          <w:rFonts w:hint="eastAsia" w:ascii="宋体" w:hAnsi="宋体"/>
          <w:b/>
          <w:bCs/>
          <w:sz w:val="36"/>
        </w:rPr>
        <w:cr/>
      </w:r>
    </w:p>
    <w:p>
      <w:pPr>
        <w:spacing w:line="500" w:lineRule="atLeast"/>
        <w:rPr>
          <w:rFonts w:ascii="宋体" w:hAnsi="宋体"/>
          <w:szCs w:val="21"/>
        </w:rPr>
      </w:pPr>
      <w:r>
        <w:rPr>
          <w:rFonts w:hint="eastAsia" w:ascii="宋体" w:hAnsi="宋体"/>
          <w:szCs w:val="21"/>
        </w:rPr>
        <w:t>投标人名称（全称并加盖公章）：                          招标编号∶</w:t>
      </w:r>
      <w:r>
        <w:rPr>
          <w:rFonts w:ascii="宋体" w:hAnsi="宋体"/>
          <w:szCs w:val="21"/>
        </w:rPr>
        <w:tab/>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56"/>
        <w:gridCol w:w="1440"/>
        <w:gridCol w:w="1736"/>
        <w:gridCol w:w="1228"/>
        <w:gridCol w:w="1452"/>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80" w:type="dxa"/>
            <w:vAlign w:val="center"/>
          </w:tcPr>
          <w:p>
            <w:pPr>
              <w:spacing w:line="380" w:lineRule="exact"/>
              <w:jc w:val="center"/>
              <w:rPr>
                <w:rFonts w:ascii="宋体" w:hAnsi="宋体"/>
                <w:szCs w:val="21"/>
              </w:rPr>
            </w:pPr>
            <w:r>
              <w:rPr>
                <w:rFonts w:hint="eastAsia" w:ascii="宋体" w:hAnsi="宋体"/>
                <w:szCs w:val="21"/>
              </w:rPr>
              <w:t>合同包/品目号</w:t>
            </w:r>
          </w:p>
        </w:tc>
        <w:tc>
          <w:tcPr>
            <w:tcW w:w="1356" w:type="dxa"/>
            <w:vAlign w:val="center"/>
          </w:tcPr>
          <w:p>
            <w:pPr>
              <w:spacing w:line="380" w:lineRule="exact"/>
              <w:jc w:val="center"/>
              <w:rPr>
                <w:rFonts w:ascii="宋体" w:hAnsi="宋体"/>
                <w:szCs w:val="21"/>
              </w:rPr>
            </w:pPr>
            <w:r>
              <w:rPr>
                <w:rFonts w:hint="eastAsia" w:ascii="宋体" w:hAnsi="宋体"/>
                <w:szCs w:val="21"/>
              </w:rPr>
              <w:t>货物名称</w:t>
            </w:r>
          </w:p>
        </w:tc>
        <w:tc>
          <w:tcPr>
            <w:tcW w:w="1440" w:type="dxa"/>
            <w:vAlign w:val="center"/>
          </w:tcPr>
          <w:p>
            <w:pPr>
              <w:spacing w:line="380" w:lineRule="exact"/>
              <w:jc w:val="center"/>
              <w:rPr>
                <w:rFonts w:ascii="宋体" w:hAnsi="宋体"/>
                <w:szCs w:val="21"/>
              </w:rPr>
            </w:pPr>
            <w:r>
              <w:rPr>
                <w:rFonts w:hint="eastAsia" w:ascii="宋体" w:hAnsi="宋体"/>
                <w:szCs w:val="21"/>
              </w:rPr>
              <w:t>规格条目号</w:t>
            </w:r>
          </w:p>
        </w:tc>
        <w:tc>
          <w:tcPr>
            <w:tcW w:w="1736" w:type="dxa"/>
            <w:vAlign w:val="center"/>
          </w:tcPr>
          <w:p>
            <w:pPr>
              <w:spacing w:line="380" w:lineRule="exact"/>
              <w:jc w:val="center"/>
              <w:rPr>
                <w:rFonts w:ascii="宋体" w:hAnsi="宋体"/>
                <w:szCs w:val="21"/>
              </w:rPr>
            </w:pPr>
            <w:r>
              <w:rPr>
                <w:rFonts w:hint="eastAsia" w:ascii="宋体" w:hAnsi="宋体"/>
                <w:szCs w:val="21"/>
              </w:rPr>
              <w:t>招标文件要求</w:t>
            </w:r>
          </w:p>
        </w:tc>
        <w:tc>
          <w:tcPr>
            <w:tcW w:w="1228" w:type="dxa"/>
            <w:vAlign w:val="center"/>
          </w:tcPr>
          <w:p>
            <w:pPr>
              <w:spacing w:line="380" w:lineRule="exact"/>
              <w:jc w:val="center"/>
              <w:rPr>
                <w:rFonts w:ascii="宋体" w:hAnsi="宋体"/>
                <w:szCs w:val="21"/>
              </w:rPr>
            </w:pPr>
            <w:r>
              <w:rPr>
                <w:rFonts w:hint="eastAsia" w:ascii="宋体" w:hAnsi="宋体"/>
                <w:szCs w:val="21"/>
              </w:rPr>
              <w:t>投标响应</w:t>
            </w:r>
          </w:p>
        </w:tc>
        <w:tc>
          <w:tcPr>
            <w:tcW w:w="1452" w:type="dxa"/>
            <w:vAlign w:val="center"/>
          </w:tcPr>
          <w:p>
            <w:pPr>
              <w:spacing w:line="380" w:lineRule="exact"/>
              <w:jc w:val="center"/>
              <w:rPr>
                <w:rFonts w:ascii="宋体" w:hAnsi="宋体"/>
                <w:szCs w:val="21"/>
              </w:rPr>
            </w:pPr>
            <w:r>
              <w:rPr>
                <w:rFonts w:hint="eastAsia" w:ascii="宋体" w:hAnsi="宋体"/>
                <w:szCs w:val="21"/>
              </w:rPr>
              <w:t>投标文件 相应页码</w:t>
            </w:r>
          </w:p>
        </w:tc>
        <w:tc>
          <w:tcPr>
            <w:tcW w:w="1248" w:type="dxa"/>
            <w:vAlign w:val="center"/>
          </w:tcPr>
          <w:p>
            <w:pPr>
              <w:spacing w:line="38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80" w:type="dxa"/>
          </w:tcPr>
          <w:p>
            <w:pPr>
              <w:spacing w:line="380" w:lineRule="exact"/>
              <w:rPr>
                <w:rFonts w:ascii="宋体" w:hAnsi="宋体"/>
                <w:szCs w:val="21"/>
              </w:rPr>
            </w:pPr>
          </w:p>
        </w:tc>
        <w:tc>
          <w:tcPr>
            <w:tcW w:w="1356" w:type="dxa"/>
          </w:tcPr>
          <w:p>
            <w:pPr>
              <w:spacing w:line="380" w:lineRule="exact"/>
              <w:rPr>
                <w:rFonts w:ascii="宋体" w:hAnsi="宋体"/>
                <w:szCs w:val="21"/>
              </w:rPr>
            </w:pPr>
          </w:p>
        </w:tc>
        <w:tc>
          <w:tcPr>
            <w:tcW w:w="1440" w:type="dxa"/>
          </w:tcPr>
          <w:p>
            <w:pPr>
              <w:spacing w:line="380" w:lineRule="exact"/>
              <w:rPr>
                <w:rFonts w:ascii="宋体" w:hAnsi="宋体"/>
                <w:szCs w:val="21"/>
              </w:rPr>
            </w:pPr>
          </w:p>
        </w:tc>
        <w:tc>
          <w:tcPr>
            <w:tcW w:w="1736" w:type="dxa"/>
          </w:tcPr>
          <w:p>
            <w:pPr>
              <w:spacing w:line="380" w:lineRule="exact"/>
              <w:rPr>
                <w:rFonts w:ascii="宋体" w:hAnsi="宋体"/>
                <w:szCs w:val="21"/>
              </w:rPr>
            </w:pPr>
          </w:p>
        </w:tc>
        <w:tc>
          <w:tcPr>
            <w:tcW w:w="1228" w:type="dxa"/>
          </w:tcPr>
          <w:p>
            <w:pPr>
              <w:spacing w:line="380" w:lineRule="exact"/>
              <w:rPr>
                <w:rFonts w:ascii="宋体" w:hAnsi="宋体"/>
                <w:szCs w:val="21"/>
              </w:rPr>
            </w:pPr>
          </w:p>
        </w:tc>
        <w:tc>
          <w:tcPr>
            <w:tcW w:w="1452" w:type="dxa"/>
          </w:tcPr>
          <w:p>
            <w:pPr>
              <w:spacing w:line="380" w:lineRule="exact"/>
              <w:rPr>
                <w:rFonts w:ascii="宋体" w:hAnsi="宋体"/>
                <w:szCs w:val="21"/>
              </w:rPr>
            </w:pPr>
          </w:p>
        </w:tc>
        <w:tc>
          <w:tcPr>
            <w:tcW w:w="1248" w:type="dxa"/>
          </w:tcPr>
          <w:p>
            <w:pPr>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80" w:type="dxa"/>
          </w:tcPr>
          <w:p>
            <w:pPr>
              <w:spacing w:line="380" w:lineRule="exact"/>
              <w:rPr>
                <w:rFonts w:ascii="宋体" w:hAnsi="宋体"/>
                <w:szCs w:val="21"/>
              </w:rPr>
            </w:pPr>
          </w:p>
        </w:tc>
        <w:tc>
          <w:tcPr>
            <w:tcW w:w="1356" w:type="dxa"/>
          </w:tcPr>
          <w:p>
            <w:pPr>
              <w:spacing w:line="380" w:lineRule="exact"/>
              <w:rPr>
                <w:rFonts w:ascii="宋体" w:hAnsi="宋体"/>
                <w:szCs w:val="21"/>
              </w:rPr>
            </w:pPr>
          </w:p>
        </w:tc>
        <w:tc>
          <w:tcPr>
            <w:tcW w:w="1440" w:type="dxa"/>
          </w:tcPr>
          <w:p>
            <w:pPr>
              <w:spacing w:line="380" w:lineRule="exact"/>
              <w:rPr>
                <w:rFonts w:ascii="宋体" w:hAnsi="宋体"/>
                <w:szCs w:val="21"/>
              </w:rPr>
            </w:pPr>
          </w:p>
        </w:tc>
        <w:tc>
          <w:tcPr>
            <w:tcW w:w="1736" w:type="dxa"/>
          </w:tcPr>
          <w:p>
            <w:pPr>
              <w:spacing w:line="380" w:lineRule="exact"/>
              <w:rPr>
                <w:rFonts w:ascii="宋体" w:hAnsi="宋体"/>
                <w:szCs w:val="21"/>
              </w:rPr>
            </w:pPr>
          </w:p>
        </w:tc>
        <w:tc>
          <w:tcPr>
            <w:tcW w:w="1228" w:type="dxa"/>
          </w:tcPr>
          <w:p>
            <w:pPr>
              <w:spacing w:line="380" w:lineRule="exact"/>
              <w:rPr>
                <w:rFonts w:ascii="宋体" w:hAnsi="宋体"/>
                <w:szCs w:val="21"/>
              </w:rPr>
            </w:pPr>
          </w:p>
        </w:tc>
        <w:tc>
          <w:tcPr>
            <w:tcW w:w="1452" w:type="dxa"/>
          </w:tcPr>
          <w:p>
            <w:pPr>
              <w:spacing w:line="380" w:lineRule="exact"/>
              <w:rPr>
                <w:rFonts w:ascii="宋体" w:hAnsi="宋体"/>
                <w:szCs w:val="21"/>
              </w:rPr>
            </w:pPr>
          </w:p>
        </w:tc>
        <w:tc>
          <w:tcPr>
            <w:tcW w:w="1248" w:type="dxa"/>
          </w:tcPr>
          <w:p>
            <w:pPr>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80" w:type="dxa"/>
          </w:tcPr>
          <w:p>
            <w:pPr>
              <w:spacing w:line="380" w:lineRule="exact"/>
              <w:rPr>
                <w:rFonts w:ascii="宋体" w:hAnsi="宋体"/>
                <w:szCs w:val="21"/>
              </w:rPr>
            </w:pPr>
          </w:p>
        </w:tc>
        <w:tc>
          <w:tcPr>
            <w:tcW w:w="1356" w:type="dxa"/>
          </w:tcPr>
          <w:p>
            <w:pPr>
              <w:spacing w:line="380" w:lineRule="exact"/>
              <w:rPr>
                <w:rFonts w:ascii="宋体" w:hAnsi="宋体"/>
                <w:szCs w:val="21"/>
              </w:rPr>
            </w:pPr>
          </w:p>
        </w:tc>
        <w:tc>
          <w:tcPr>
            <w:tcW w:w="1440" w:type="dxa"/>
          </w:tcPr>
          <w:p>
            <w:pPr>
              <w:spacing w:line="380" w:lineRule="exact"/>
              <w:rPr>
                <w:rFonts w:ascii="宋体" w:hAnsi="宋体"/>
                <w:szCs w:val="21"/>
              </w:rPr>
            </w:pPr>
          </w:p>
        </w:tc>
        <w:tc>
          <w:tcPr>
            <w:tcW w:w="1736" w:type="dxa"/>
          </w:tcPr>
          <w:p>
            <w:pPr>
              <w:spacing w:line="380" w:lineRule="exact"/>
              <w:rPr>
                <w:rFonts w:ascii="宋体" w:hAnsi="宋体"/>
                <w:szCs w:val="21"/>
              </w:rPr>
            </w:pPr>
          </w:p>
        </w:tc>
        <w:tc>
          <w:tcPr>
            <w:tcW w:w="1228" w:type="dxa"/>
          </w:tcPr>
          <w:p>
            <w:pPr>
              <w:spacing w:line="380" w:lineRule="exact"/>
              <w:rPr>
                <w:rFonts w:ascii="宋体" w:hAnsi="宋体"/>
                <w:szCs w:val="21"/>
              </w:rPr>
            </w:pPr>
          </w:p>
        </w:tc>
        <w:tc>
          <w:tcPr>
            <w:tcW w:w="1452" w:type="dxa"/>
          </w:tcPr>
          <w:p>
            <w:pPr>
              <w:spacing w:line="380" w:lineRule="exact"/>
              <w:ind w:left="-288" w:leftChars="-137" w:firstLine="252" w:firstLineChars="120"/>
              <w:rPr>
                <w:rFonts w:ascii="宋体" w:hAnsi="宋体"/>
                <w:szCs w:val="21"/>
              </w:rPr>
            </w:pPr>
          </w:p>
        </w:tc>
        <w:tc>
          <w:tcPr>
            <w:tcW w:w="1248" w:type="dxa"/>
          </w:tcPr>
          <w:p>
            <w:pPr>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80" w:type="dxa"/>
          </w:tcPr>
          <w:p>
            <w:pPr>
              <w:spacing w:line="380" w:lineRule="exact"/>
              <w:rPr>
                <w:rFonts w:ascii="宋体" w:hAnsi="宋体"/>
                <w:szCs w:val="21"/>
              </w:rPr>
            </w:pPr>
          </w:p>
        </w:tc>
        <w:tc>
          <w:tcPr>
            <w:tcW w:w="1356" w:type="dxa"/>
          </w:tcPr>
          <w:p>
            <w:pPr>
              <w:spacing w:line="380" w:lineRule="exact"/>
              <w:rPr>
                <w:rFonts w:ascii="宋体" w:hAnsi="宋体"/>
                <w:szCs w:val="21"/>
              </w:rPr>
            </w:pPr>
          </w:p>
        </w:tc>
        <w:tc>
          <w:tcPr>
            <w:tcW w:w="1440" w:type="dxa"/>
          </w:tcPr>
          <w:p>
            <w:pPr>
              <w:spacing w:line="380" w:lineRule="exact"/>
              <w:rPr>
                <w:rFonts w:ascii="宋体" w:hAnsi="宋体"/>
                <w:szCs w:val="21"/>
              </w:rPr>
            </w:pPr>
          </w:p>
        </w:tc>
        <w:tc>
          <w:tcPr>
            <w:tcW w:w="1736" w:type="dxa"/>
          </w:tcPr>
          <w:p>
            <w:pPr>
              <w:spacing w:line="380" w:lineRule="exact"/>
              <w:rPr>
                <w:rFonts w:ascii="宋体" w:hAnsi="宋体"/>
                <w:szCs w:val="21"/>
              </w:rPr>
            </w:pPr>
          </w:p>
        </w:tc>
        <w:tc>
          <w:tcPr>
            <w:tcW w:w="1228" w:type="dxa"/>
          </w:tcPr>
          <w:p>
            <w:pPr>
              <w:spacing w:line="380" w:lineRule="exact"/>
              <w:rPr>
                <w:rFonts w:ascii="宋体" w:hAnsi="宋体"/>
                <w:szCs w:val="21"/>
              </w:rPr>
            </w:pPr>
          </w:p>
        </w:tc>
        <w:tc>
          <w:tcPr>
            <w:tcW w:w="1452" w:type="dxa"/>
          </w:tcPr>
          <w:p>
            <w:pPr>
              <w:spacing w:line="380" w:lineRule="exact"/>
              <w:rPr>
                <w:rFonts w:ascii="宋体" w:hAnsi="宋体"/>
                <w:szCs w:val="21"/>
              </w:rPr>
            </w:pPr>
          </w:p>
        </w:tc>
        <w:tc>
          <w:tcPr>
            <w:tcW w:w="1248" w:type="dxa"/>
          </w:tcPr>
          <w:p>
            <w:pPr>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80" w:type="dxa"/>
          </w:tcPr>
          <w:p>
            <w:pPr>
              <w:spacing w:line="380" w:lineRule="exact"/>
              <w:rPr>
                <w:rFonts w:ascii="宋体" w:hAnsi="宋体"/>
                <w:szCs w:val="21"/>
              </w:rPr>
            </w:pPr>
          </w:p>
        </w:tc>
        <w:tc>
          <w:tcPr>
            <w:tcW w:w="1356" w:type="dxa"/>
          </w:tcPr>
          <w:p>
            <w:pPr>
              <w:spacing w:line="380" w:lineRule="exact"/>
              <w:rPr>
                <w:rFonts w:ascii="宋体" w:hAnsi="宋体"/>
                <w:szCs w:val="21"/>
              </w:rPr>
            </w:pPr>
          </w:p>
        </w:tc>
        <w:tc>
          <w:tcPr>
            <w:tcW w:w="1440" w:type="dxa"/>
          </w:tcPr>
          <w:p>
            <w:pPr>
              <w:spacing w:line="380" w:lineRule="exact"/>
              <w:rPr>
                <w:rFonts w:ascii="宋体" w:hAnsi="宋体"/>
                <w:szCs w:val="21"/>
              </w:rPr>
            </w:pPr>
          </w:p>
        </w:tc>
        <w:tc>
          <w:tcPr>
            <w:tcW w:w="1736" w:type="dxa"/>
          </w:tcPr>
          <w:p>
            <w:pPr>
              <w:spacing w:line="380" w:lineRule="exact"/>
              <w:rPr>
                <w:rFonts w:ascii="宋体" w:hAnsi="宋体"/>
                <w:szCs w:val="21"/>
              </w:rPr>
            </w:pPr>
          </w:p>
        </w:tc>
        <w:tc>
          <w:tcPr>
            <w:tcW w:w="1228" w:type="dxa"/>
          </w:tcPr>
          <w:p>
            <w:pPr>
              <w:spacing w:line="380" w:lineRule="exact"/>
              <w:rPr>
                <w:rFonts w:ascii="宋体" w:hAnsi="宋体"/>
                <w:szCs w:val="21"/>
              </w:rPr>
            </w:pPr>
          </w:p>
        </w:tc>
        <w:tc>
          <w:tcPr>
            <w:tcW w:w="1452" w:type="dxa"/>
          </w:tcPr>
          <w:p>
            <w:pPr>
              <w:spacing w:line="380" w:lineRule="exact"/>
              <w:rPr>
                <w:rFonts w:ascii="宋体" w:hAnsi="宋体"/>
                <w:szCs w:val="21"/>
              </w:rPr>
            </w:pPr>
          </w:p>
        </w:tc>
        <w:tc>
          <w:tcPr>
            <w:tcW w:w="1248" w:type="dxa"/>
          </w:tcPr>
          <w:p>
            <w:pPr>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80" w:type="dxa"/>
          </w:tcPr>
          <w:p>
            <w:pPr>
              <w:spacing w:line="380" w:lineRule="exact"/>
              <w:rPr>
                <w:rFonts w:ascii="宋体" w:hAnsi="宋体"/>
                <w:szCs w:val="21"/>
              </w:rPr>
            </w:pPr>
          </w:p>
        </w:tc>
        <w:tc>
          <w:tcPr>
            <w:tcW w:w="1356" w:type="dxa"/>
          </w:tcPr>
          <w:p>
            <w:pPr>
              <w:spacing w:line="380" w:lineRule="exact"/>
              <w:rPr>
                <w:rFonts w:ascii="宋体" w:hAnsi="宋体"/>
                <w:szCs w:val="21"/>
              </w:rPr>
            </w:pPr>
          </w:p>
        </w:tc>
        <w:tc>
          <w:tcPr>
            <w:tcW w:w="1440" w:type="dxa"/>
          </w:tcPr>
          <w:p>
            <w:pPr>
              <w:spacing w:line="380" w:lineRule="exact"/>
              <w:rPr>
                <w:rFonts w:ascii="宋体" w:hAnsi="宋体"/>
                <w:szCs w:val="21"/>
              </w:rPr>
            </w:pPr>
          </w:p>
        </w:tc>
        <w:tc>
          <w:tcPr>
            <w:tcW w:w="1736" w:type="dxa"/>
          </w:tcPr>
          <w:p>
            <w:pPr>
              <w:spacing w:line="380" w:lineRule="exact"/>
              <w:rPr>
                <w:rFonts w:ascii="宋体" w:hAnsi="宋体"/>
                <w:szCs w:val="21"/>
              </w:rPr>
            </w:pPr>
          </w:p>
        </w:tc>
        <w:tc>
          <w:tcPr>
            <w:tcW w:w="1228" w:type="dxa"/>
          </w:tcPr>
          <w:p>
            <w:pPr>
              <w:spacing w:line="380" w:lineRule="exact"/>
              <w:rPr>
                <w:rFonts w:ascii="宋体" w:hAnsi="宋体"/>
                <w:szCs w:val="21"/>
              </w:rPr>
            </w:pPr>
          </w:p>
        </w:tc>
        <w:tc>
          <w:tcPr>
            <w:tcW w:w="1452" w:type="dxa"/>
          </w:tcPr>
          <w:p>
            <w:pPr>
              <w:spacing w:line="380" w:lineRule="exact"/>
              <w:rPr>
                <w:rFonts w:ascii="宋体" w:hAnsi="宋体"/>
                <w:szCs w:val="21"/>
              </w:rPr>
            </w:pPr>
          </w:p>
        </w:tc>
        <w:tc>
          <w:tcPr>
            <w:tcW w:w="1248" w:type="dxa"/>
          </w:tcPr>
          <w:p>
            <w:pPr>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80" w:type="dxa"/>
          </w:tcPr>
          <w:p>
            <w:pPr>
              <w:spacing w:line="380" w:lineRule="exact"/>
              <w:rPr>
                <w:rFonts w:ascii="宋体" w:hAnsi="宋体"/>
                <w:szCs w:val="21"/>
              </w:rPr>
            </w:pPr>
          </w:p>
        </w:tc>
        <w:tc>
          <w:tcPr>
            <w:tcW w:w="1356" w:type="dxa"/>
          </w:tcPr>
          <w:p>
            <w:pPr>
              <w:spacing w:line="380" w:lineRule="exact"/>
              <w:rPr>
                <w:rFonts w:ascii="宋体" w:hAnsi="宋体"/>
                <w:szCs w:val="21"/>
              </w:rPr>
            </w:pPr>
          </w:p>
        </w:tc>
        <w:tc>
          <w:tcPr>
            <w:tcW w:w="1440" w:type="dxa"/>
          </w:tcPr>
          <w:p>
            <w:pPr>
              <w:spacing w:line="380" w:lineRule="exact"/>
              <w:rPr>
                <w:rFonts w:ascii="宋体" w:hAnsi="宋体"/>
                <w:szCs w:val="21"/>
              </w:rPr>
            </w:pPr>
          </w:p>
        </w:tc>
        <w:tc>
          <w:tcPr>
            <w:tcW w:w="1736" w:type="dxa"/>
          </w:tcPr>
          <w:p>
            <w:pPr>
              <w:spacing w:line="380" w:lineRule="exact"/>
              <w:rPr>
                <w:rFonts w:ascii="宋体" w:hAnsi="宋体"/>
                <w:szCs w:val="21"/>
              </w:rPr>
            </w:pPr>
          </w:p>
        </w:tc>
        <w:tc>
          <w:tcPr>
            <w:tcW w:w="1228" w:type="dxa"/>
          </w:tcPr>
          <w:p>
            <w:pPr>
              <w:spacing w:line="380" w:lineRule="exact"/>
              <w:rPr>
                <w:rFonts w:ascii="宋体" w:hAnsi="宋体"/>
                <w:szCs w:val="21"/>
              </w:rPr>
            </w:pPr>
          </w:p>
        </w:tc>
        <w:tc>
          <w:tcPr>
            <w:tcW w:w="1452" w:type="dxa"/>
          </w:tcPr>
          <w:p>
            <w:pPr>
              <w:spacing w:line="380" w:lineRule="exact"/>
              <w:rPr>
                <w:rFonts w:ascii="宋体" w:hAnsi="宋体"/>
                <w:szCs w:val="21"/>
              </w:rPr>
            </w:pPr>
          </w:p>
        </w:tc>
        <w:tc>
          <w:tcPr>
            <w:tcW w:w="1248" w:type="dxa"/>
          </w:tcPr>
          <w:p>
            <w:pPr>
              <w:spacing w:line="380" w:lineRule="exact"/>
              <w:rPr>
                <w:rFonts w:ascii="宋体" w:hAnsi="宋体"/>
                <w:szCs w:val="21"/>
              </w:rPr>
            </w:pPr>
          </w:p>
        </w:tc>
      </w:tr>
    </w:tbl>
    <w:p>
      <w:pPr>
        <w:spacing w:line="500" w:lineRule="atLeast"/>
        <w:rPr>
          <w:rFonts w:ascii="宋体" w:hAnsi="宋体"/>
          <w:kern w:val="0"/>
          <w:szCs w:val="21"/>
        </w:rPr>
      </w:pPr>
      <w:r>
        <w:rPr>
          <w:rFonts w:hint="eastAsia" w:ascii="宋体" w:hAnsi="宋体"/>
          <w:szCs w:val="21"/>
        </w:rPr>
        <w:t>注：</w:t>
      </w:r>
      <w:r>
        <w:rPr>
          <w:rFonts w:hint="eastAsia" w:ascii="宋体" w:hAnsi="宋体"/>
          <w:kern w:val="0"/>
          <w:szCs w:val="21"/>
        </w:rPr>
        <w:t>（1）投标人提交的投标文件中对第三章招标内容及要求进行响应，应在本表中把招标文件要求与投标实际响应内容对应列出，并在“偏离说明”项下填写以下内容：优于的，填写“正偏离”；符合的，填写“无偏离”；低于的，填写“负偏离”。</w:t>
      </w:r>
      <w:r>
        <w:rPr>
          <w:rFonts w:hint="eastAsia" w:ascii="宋体" w:hAnsi="宋体"/>
          <w:b/>
          <w:kern w:val="0"/>
          <w:szCs w:val="21"/>
        </w:rPr>
        <w:t>第三章招标内容及要求“三、商务条件”</w:t>
      </w:r>
      <w:r>
        <w:rPr>
          <w:rFonts w:hint="eastAsia" w:ascii="宋体" w:hAnsi="宋体"/>
          <w:kern w:val="0"/>
          <w:szCs w:val="21"/>
        </w:rPr>
        <w:t>均不得出现负偏离，若出现一项负偏离或未进行响应均按无效标处理。</w:t>
      </w:r>
      <w:r>
        <w:rPr>
          <w:rFonts w:hint="eastAsia" w:ascii="宋体" w:hAnsi="宋体"/>
          <w:b/>
          <w:bCs/>
          <w:kern w:val="0"/>
          <w:szCs w:val="21"/>
        </w:rPr>
        <w:t>若有负偏离而未如实填写的将视为虚假应标</w:t>
      </w:r>
      <w:r>
        <w:rPr>
          <w:rFonts w:hint="eastAsia" w:ascii="宋体" w:hAnsi="宋体"/>
          <w:kern w:val="0"/>
          <w:szCs w:val="21"/>
        </w:rPr>
        <w:t>。</w:t>
      </w:r>
    </w:p>
    <w:p>
      <w:pPr>
        <w:widowControl/>
        <w:spacing w:line="500" w:lineRule="atLeast"/>
        <w:rPr>
          <w:rFonts w:ascii="宋体" w:hAnsi="宋体"/>
          <w:kern w:val="0"/>
          <w:szCs w:val="21"/>
        </w:rPr>
      </w:pPr>
      <w:r>
        <w:rPr>
          <w:rFonts w:hint="eastAsia" w:ascii="宋体" w:hAnsi="宋体"/>
          <w:kern w:val="0"/>
          <w:szCs w:val="21"/>
        </w:rPr>
        <w:t>（2）若事项较多，投标人可根据投标内容的实际情况另纸说明。</w:t>
      </w:r>
    </w:p>
    <w:p>
      <w:pPr>
        <w:spacing w:line="500" w:lineRule="atLeast"/>
        <w:rPr>
          <w:rFonts w:ascii="宋体" w:hAnsi="宋体"/>
          <w:szCs w:val="21"/>
        </w:rPr>
      </w:pPr>
    </w:p>
    <w:p>
      <w:pPr>
        <w:pStyle w:val="133"/>
        <w:keepNext w:val="0"/>
        <w:keepLines w:val="0"/>
        <w:spacing w:before="0" w:after="0" w:line="500" w:lineRule="atLeast"/>
        <w:jc w:val="both"/>
        <w:outlineLvl w:val="9"/>
        <w:rPr>
          <w:rFonts w:ascii="宋体" w:hAnsi="宋体" w:eastAsia="宋体"/>
          <w:sz w:val="21"/>
          <w:szCs w:val="21"/>
          <w:u w:val="single"/>
        </w:rPr>
      </w:pPr>
      <w:bookmarkStart w:id="133" w:name="_Toc489736827"/>
      <w:bookmarkStart w:id="134" w:name="_Toc74326545"/>
      <w:bookmarkStart w:id="135" w:name="_Toc489736856"/>
      <w:bookmarkStart w:id="136" w:name="_Toc492830295"/>
      <w:r>
        <w:rPr>
          <w:rFonts w:hint="eastAsia" w:ascii="宋体" w:hAnsi="宋体" w:eastAsia="宋体"/>
          <w:sz w:val="21"/>
          <w:szCs w:val="21"/>
        </w:rPr>
        <w:t>投标人代表签字：</w:t>
      </w:r>
      <w:bookmarkEnd w:id="133"/>
      <w:bookmarkEnd w:id="134"/>
      <w:bookmarkEnd w:id="135"/>
      <w:bookmarkEnd w:id="136"/>
      <w:r>
        <w:rPr>
          <w:rFonts w:hint="eastAsia" w:ascii="宋体" w:hAnsi="宋体" w:eastAsia="宋体"/>
          <w:sz w:val="21"/>
          <w:szCs w:val="21"/>
        </w:rPr>
        <w:t xml:space="preserve"> </w:t>
      </w:r>
      <w:r>
        <w:rPr>
          <w:rFonts w:hint="eastAsia" w:ascii="宋体" w:hAnsi="宋体" w:eastAsia="宋体"/>
          <w:sz w:val="21"/>
          <w:szCs w:val="21"/>
          <w:u w:val="single"/>
        </w:rPr>
        <w:t xml:space="preserve">           </w:t>
      </w:r>
    </w:p>
    <w:p>
      <w:pPr>
        <w:pStyle w:val="133"/>
        <w:keepNext w:val="0"/>
        <w:keepLines w:val="0"/>
        <w:spacing w:before="0" w:after="0" w:line="500" w:lineRule="atLeast"/>
        <w:jc w:val="both"/>
        <w:outlineLvl w:val="9"/>
        <w:rPr>
          <w:rFonts w:ascii="宋体" w:hAnsi="宋体" w:eastAsia="宋体"/>
          <w:sz w:val="21"/>
          <w:szCs w:val="21"/>
          <w:u w:val="single"/>
        </w:rPr>
      </w:pPr>
    </w:p>
    <w:p>
      <w:pPr>
        <w:spacing w:line="360" w:lineRule="auto"/>
        <w:jc w:val="center"/>
        <w:rPr>
          <w:rFonts w:ascii="宋体" w:hAnsi="宋体"/>
          <w:b/>
          <w:szCs w:val="21"/>
        </w:rPr>
        <w:sectPr>
          <w:pgSz w:w="11906" w:h="16838"/>
          <w:pgMar w:top="1361" w:right="1304" w:bottom="1440" w:left="1474" w:header="851" w:footer="992" w:gutter="0"/>
          <w:cols w:space="720" w:num="1"/>
          <w:titlePg/>
          <w:docGrid w:linePitch="312" w:charSpace="0"/>
        </w:sectPr>
      </w:pPr>
    </w:p>
    <w:p>
      <w:pPr>
        <w:pStyle w:val="133"/>
        <w:keepNext w:val="0"/>
        <w:keepLines w:val="0"/>
        <w:spacing w:before="0" w:after="0" w:line="500" w:lineRule="atLeast"/>
        <w:ind w:left="0" w:firstLine="0"/>
        <w:jc w:val="both"/>
        <w:outlineLvl w:val="9"/>
        <w:rPr>
          <w:rFonts w:ascii="宋体" w:hAnsi="宋体" w:eastAsia="宋体"/>
          <w:sz w:val="24"/>
          <w:u w:val="single"/>
        </w:rPr>
      </w:pPr>
    </w:p>
    <w:p>
      <w:pPr>
        <w:spacing w:line="500" w:lineRule="atLeast"/>
        <w:jc w:val="center"/>
        <w:rPr>
          <w:rFonts w:ascii="宋体" w:hAnsi="宋体"/>
          <w:b/>
          <w:bCs/>
          <w:sz w:val="36"/>
        </w:rPr>
      </w:pPr>
      <w:bookmarkStart w:id="137" w:name="_Toc23225"/>
      <w:bookmarkStart w:id="138" w:name="_Toc430361090"/>
      <w:r>
        <w:rPr>
          <w:rFonts w:hint="eastAsia" w:ascii="宋体" w:hAnsi="宋体"/>
          <w:b/>
          <w:bCs/>
          <w:sz w:val="36"/>
        </w:rPr>
        <w:t>投标人的资格证明文件</w:t>
      </w:r>
      <w:bookmarkEnd w:id="137"/>
      <w:bookmarkEnd w:id="138"/>
    </w:p>
    <w:p>
      <w:pPr>
        <w:jc w:val="center"/>
        <w:rPr>
          <w:rFonts w:ascii="宋体" w:hAnsi="宋体"/>
          <w:b/>
          <w:bCs/>
          <w:sz w:val="36"/>
        </w:rPr>
      </w:pPr>
      <w:bookmarkStart w:id="139" w:name="_Toc430361091"/>
      <w:bookmarkStart w:id="140" w:name="_Toc29871"/>
      <w:r>
        <w:rPr>
          <w:rFonts w:hint="eastAsia" w:ascii="宋体" w:hAnsi="宋体"/>
          <w:b/>
          <w:bCs/>
          <w:sz w:val="36"/>
        </w:rPr>
        <w:t>关于资格的声明函</w:t>
      </w:r>
      <w:bookmarkEnd w:id="139"/>
      <w:bookmarkEnd w:id="140"/>
    </w:p>
    <w:p>
      <w:pPr>
        <w:spacing w:line="500" w:lineRule="atLeast"/>
        <w:rPr>
          <w:rFonts w:ascii="宋体" w:hAnsi="宋体"/>
          <w:szCs w:val="21"/>
        </w:rPr>
      </w:pPr>
      <w:r>
        <w:rPr>
          <w:rFonts w:hint="eastAsia" w:ascii="宋体" w:hAnsi="宋体"/>
          <w:szCs w:val="21"/>
          <w:u w:val="single"/>
        </w:rPr>
        <w:t>福建优胜招标项目管理集团有限公司</w:t>
      </w:r>
      <w:r>
        <w:rPr>
          <w:rFonts w:hint="eastAsia" w:ascii="宋体" w:hAnsi="宋体"/>
          <w:szCs w:val="21"/>
        </w:rPr>
        <w:t>：</w:t>
      </w:r>
    </w:p>
    <w:p>
      <w:pPr>
        <w:spacing w:line="500" w:lineRule="atLeast"/>
        <w:rPr>
          <w:rFonts w:ascii="宋体" w:hAnsi="宋体"/>
          <w:szCs w:val="21"/>
        </w:rPr>
      </w:pPr>
    </w:p>
    <w:p>
      <w:pPr>
        <w:spacing w:line="500" w:lineRule="atLeast"/>
        <w:ind w:firstLine="420" w:firstLineChars="200"/>
        <w:rPr>
          <w:rFonts w:ascii="宋体" w:hAnsi="宋体"/>
          <w:szCs w:val="21"/>
        </w:rPr>
      </w:pPr>
      <w:r>
        <w:rPr>
          <w:rFonts w:hint="eastAsia" w:ascii="宋体" w:hAnsi="宋体"/>
          <w:szCs w:val="21"/>
        </w:rPr>
        <w:t>关于贵方</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日第</w:t>
      </w:r>
      <w:r>
        <w:rPr>
          <w:rFonts w:hint="eastAsia" w:ascii="宋体" w:hAnsi="宋体"/>
          <w:szCs w:val="21"/>
          <w:u w:val="single"/>
        </w:rPr>
        <w:t xml:space="preserve">     </w:t>
      </w:r>
      <w:r>
        <w:rPr>
          <w:rFonts w:hint="eastAsia" w:ascii="宋体" w:hAnsi="宋体"/>
          <w:szCs w:val="21"/>
        </w:rPr>
        <w:t xml:space="preserve"> （招标编号）投标邀请，本签字人愿意参加投标，提供公开招标文件“招标货物一览表”中规定的</w:t>
      </w:r>
      <w:r>
        <w:rPr>
          <w:rFonts w:hint="eastAsia" w:ascii="宋体" w:hAnsi="宋体"/>
          <w:szCs w:val="21"/>
          <w:u w:val="single"/>
        </w:rPr>
        <w:t xml:space="preserve">          </w:t>
      </w:r>
      <w:r>
        <w:rPr>
          <w:rFonts w:hint="eastAsia" w:ascii="宋体" w:hAnsi="宋体"/>
          <w:szCs w:val="21"/>
        </w:rPr>
        <w:t>（合同包/品目号）</w:t>
      </w:r>
      <w:r>
        <w:rPr>
          <w:rFonts w:hint="eastAsia" w:ascii="宋体" w:hAnsi="宋体"/>
          <w:szCs w:val="21"/>
          <w:u w:val="single"/>
        </w:rPr>
        <w:t xml:space="preserve">         </w:t>
      </w:r>
      <w:r>
        <w:rPr>
          <w:rFonts w:hint="eastAsia" w:ascii="宋体" w:hAnsi="宋体"/>
          <w:szCs w:val="21"/>
        </w:rPr>
        <w:t>（项目名称），并证明提交的下列文件和说明是准确的和真实的。</w:t>
      </w:r>
      <w:r>
        <w:rPr>
          <w:rFonts w:hint="eastAsia" w:ascii="宋体" w:hAnsi="宋体"/>
          <w:szCs w:val="21"/>
        </w:rPr>
        <w:cr/>
      </w:r>
    </w:p>
    <w:p>
      <w:pPr>
        <w:spacing w:line="500" w:lineRule="atLeast"/>
        <w:ind w:firstLine="420" w:firstLineChars="200"/>
        <w:rPr>
          <w:rFonts w:ascii="宋体" w:hAnsi="宋体"/>
          <w:szCs w:val="21"/>
        </w:rPr>
      </w:pPr>
      <w:r>
        <w:rPr>
          <w:rFonts w:hint="eastAsia" w:ascii="宋体" w:hAnsi="宋体"/>
          <w:szCs w:val="21"/>
        </w:rPr>
        <w:t>1．本签字人确认资格文件中的说明以及投标文件中所有提交的文件和材料是真实的、准确的。</w:t>
      </w:r>
    </w:p>
    <w:p>
      <w:pPr>
        <w:spacing w:line="500" w:lineRule="atLeast"/>
        <w:ind w:firstLine="420" w:firstLineChars="200"/>
        <w:rPr>
          <w:rFonts w:ascii="宋体" w:hAnsi="宋体"/>
          <w:szCs w:val="21"/>
        </w:rPr>
      </w:pPr>
      <w:r>
        <w:rPr>
          <w:rFonts w:hint="eastAsia" w:ascii="宋体" w:hAnsi="宋体"/>
          <w:szCs w:val="21"/>
        </w:rPr>
        <w:t>2．我方的资格声明正本一份，副本五份，随投标文件一同递交。</w:t>
      </w:r>
    </w:p>
    <w:p>
      <w:pPr>
        <w:spacing w:line="500" w:lineRule="atLeast"/>
        <w:ind w:firstLine="420" w:firstLineChars="200"/>
        <w:rPr>
          <w:rFonts w:ascii="宋体" w:hAnsi="宋体"/>
          <w:szCs w:val="21"/>
        </w:rPr>
      </w:pPr>
      <w:r>
        <w:rPr>
          <w:rFonts w:hint="eastAsia" w:ascii="宋体" w:hAnsi="宋体"/>
          <w:szCs w:val="21"/>
        </w:rPr>
        <w:t xml:space="preserve"> </w:t>
      </w:r>
    </w:p>
    <w:p>
      <w:pPr>
        <w:spacing w:line="500" w:lineRule="atLeast"/>
        <w:rPr>
          <w:rFonts w:ascii="宋体" w:hAnsi="宋体"/>
          <w:szCs w:val="21"/>
        </w:rPr>
      </w:pPr>
      <w:r>
        <w:rPr>
          <w:rFonts w:hint="eastAsia" w:ascii="宋体" w:hAnsi="宋体"/>
          <w:szCs w:val="21"/>
        </w:rPr>
        <w:t xml:space="preserve">    </w:t>
      </w:r>
    </w:p>
    <w:p>
      <w:pPr>
        <w:spacing w:line="500" w:lineRule="atLeast"/>
        <w:rPr>
          <w:rFonts w:ascii="宋体" w:hAnsi="宋体"/>
          <w:szCs w:val="21"/>
        </w:rPr>
      </w:pPr>
    </w:p>
    <w:p>
      <w:pPr>
        <w:spacing w:line="500" w:lineRule="atLeast"/>
        <w:rPr>
          <w:rFonts w:ascii="宋体" w:hAnsi="宋体"/>
          <w:sz w:val="24"/>
        </w:rPr>
      </w:pPr>
    </w:p>
    <w:p>
      <w:pPr>
        <w:spacing w:line="500" w:lineRule="atLeast"/>
        <w:rPr>
          <w:rFonts w:ascii="宋体" w:hAnsi="宋体"/>
          <w:sz w:val="24"/>
        </w:rPr>
      </w:pPr>
    </w:p>
    <w:p>
      <w:pPr>
        <w:spacing w:line="500" w:lineRule="atLeast"/>
        <w:rPr>
          <w:rFonts w:ascii="宋体" w:hAnsi="宋体"/>
          <w:sz w:val="24"/>
        </w:rPr>
      </w:pPr>
    </w:p>
    <w:p>
      <w:pPr>
        <w:spacing w:line="500" w:lineRule="atLeast"/>
        <w:rPr>
          <w:rFonts w:ascii="宋体" w:hAnsi="宋体"/>
          <w:szCs w:val="21"/>
        </w:rPr>
      </w:pPr>
    </w:p>
    <w:p>
      <w:pPr>
        <w:spacing w:line="500" w:lineRule="atLeast"/>
        <w:rPr>
          <w:rFonts w:ascii="宋体" w:hAnsi="宋体"/>
          <w:szCs w:val="21"/>
        </w:rPr>
      </w:pPr>
    </w:p>
    <w:p>
      <w:pPr>
        <w:spacing w:line="500" w:lineRule="atLeast"/>
        <w:rPr>
          <w:rFonts w:ascii="宋体" w:hAnsi="宋体"/>
          <w:szCs w:val="21"/>
        </w:rPr>
      </w:pPr>
      <w:r>
        <w:rPr>
          <w:rFonts w:hint="eastAsia" w:ascii="宋体" w:hAnsi="宋体"/>
          <w:szCs w:val="21"/>
        </w:rPr>
        <w:t>投标人（全称并加盖公章）：</w:t>
      </w:r>
      <w:r>
        <w:rPr>
          <w:rFonts w:hint="eastAsia" w:ascii="宋体" w:hAnsi="宋体"/>
          <w:szCs w:val="21"/>
          <w:u w:val="single"/>
        </w:rPr>
        <w:t xml:space="preserve">                        </w:t>
      </w:r>
      <w:r>
        <w:rPr>
          <w:rFonts w:hint="eastAsia" w:ascii="宋体" w:hAnsi="宋体"/>
          <w:szCs w:val="21"/>
        </w:rPr>
        <w:t xml:space="preserve">                     </w:t>
      </w:r>
    </w:p>
    <w:p>
      <w:pPr>
        <w:spacing w:line="500" w:lineRule="atLeast"/>
        <w:rPr>
          <w:rFonts w:ascii="宋体" w:hAnsi="宋体"/>
          <w:szCs w:val="21"/>
        </w:rPr>
      </w:pPr>
      <w:r>
        <w:rPr>
          <w:rFonts w:hint="eastAsia" w:ascii="宋体" w:hAnsi="宋体"/>
          <w:szCs w:val="21"/>
        </w:rPr>
        <w:t>地     址：</w:t>
      </w:r>
      <w:r>
        <w:rPr>
          <w:rFonts w:hint="eastAsia" w:ascii="宋体" w:hAnsi="宋体"/>
          <w:szCs w:val="21"/>
          <w:u w:val="single"/>
        </w:rPr>
        <w:t xml:space="preserve">                         </w:t>
      </w:r>
    </w:p>
    <w:p>
      <w:pPr>
        <w:spacing w:line="500" w:lineRule="atLeast"/>
        <w:rPr>
          <w:rFonts w:ascii="宋体" w:hAnsi="宋体"/>
          <w:szCs w:val="21"/>
        </w:rPr>
      </w:pPr>
      <w:r>
        <w:rPr>
          <w:rFonts w:hint="eastAsia" w:ascii="宋体" w:hAnsi="宋体"/>
          <w:szCs w:val="21"/>
        </w:rPr>
        <w:t>邮     编：</w:t>
      </w:r>
      <w:r>
        <w:rPr>
          <w:rFonts w:hint="eastAsia" w:ascii="宋体" w:hAnsi="宋体"/>
          <w:szCs w:val="21"/>
          <w:u w:val="single"/>
        </w:rPr>
        <w:t xml:space="preserve">                         </w:t>
      </w:r>
    </w:p>
    <w:p>
      <w:pPr>
        <w:spacing w:line="500" w:lineRule="atLeast"/>
        <w:rPr>
          <w:rFonts w:ascii="宋体" w:hAnsi="宋体"/>
          <w:szCs w:val="21"/>
        </w:rPr>
      </w:pPr>
      <w:r>
        <w:rPr>
          <w:rFonts w:hint="eastAsia" w:ascii="宋体" w:hAnsi="宋体"/>
          <w:szCs w:val="21"/>
        </w:rPr>
        <w:t>电 话/传 真：</w:t>
      </w:r>
      <w:r>
        <w:rPr>
          <w:rFonts w:hint="eastAsia" w:ascii="宋体" w:hAnsi="宋体"/>
          <w:szCs w:val="21"/>
          <w:u w:val="single"/>
        </w:rPr>
        <w:t xml:space="preserve">                       </w:t>
      </w:r>
      <w:r>
        <w:rPr>
          <w:rFonts w:hint="eastAsia" w:ascii="宋体" w:hAnsi="宋体"/>
          <w:szCs w:val="21"/>
        </w:rPr>
        <w:t xml:space="preserve"> </w:t>
      </w:r>
    </w:p>
    <w:p>
      <w:pPr>
        <w:pStyle w:val="133"/>
        <w:keepNext w:val="0"/>
        <w:keepLines w:val="0"/>
        <w:spacing w:before="0" w:after="0" w:line="500" w:lineRule="atLeast"/>
        <w:jc w:val="both"/>
        <w:outlineLvl w:val="9"/>
        <w:rPr>
          <w:rFonts w:ascii="宋体" w:hAnsi="宋体" w:eastAsia="宋体"/>
          <w:sz w:val="21"/>
          <w:szCs w:val="21"/>
        </w:rPr>
      </w:pPr>
      <w:bookmarkStart w:id="141" w:name="_Toc492830296"/>
      <w:bookmarkStart w:id="142" w:name="_Toc26185"/>
      <w:bookmarkStart w:id="143" w:name="_Toc74326546"/>
      <w:bookmarkStart w:id="144" w:name="_Toc23273"/>
      <w:bookmarkStart w:id="145" w:name="_Toc489736857"/>
      <w:bookmarkStart w:id="146" w:name="_Toc20960"/>
      <w:bookmarkStart w:id="147" w:name="_Toc20029"/>
      <w:bookmarkStart w:id="148" w:name="_Toc489736828"/>
      <w:r>
        <w:rPr>
          <w:rFonts w:hint="eastAsia" w:ascii="宋体" w:hAnsi="宋体" w:eastAsia="宋体"/>
          <w:sz w:val="21"/>
          <w:szCs w:val="21"/>
        </w:rPr>
        <w:t>投标人代表签字：</w:t>
      </w:r>
      <w:bookmarkEnd w:id="141"/>
      <w:bookmarkEnd w:id="142"/>
      <w:bookmarkEnd w:id="143"/>
      <w:bookmarkEnd w:id="144"/>
      <w:bookmarkEnd w:id="145"/>
      <w:bookmarkEnd w:id="146"/>
      <w:bookmarkEnd w:id="147"/>
      <w:bookmarkEnd w:id="148"/>
      <w:r>
        <w:rPr>
          <w:rFonts w:hint="eastAsia" w:ascii="宋体" w:hAnsi="宋体" w:eastAsia="宋体"/>
          <w:sz w:val="21"/>
          <w:szCs w:val="21"/>
        </w:rPr>
        <w:t xml:space="preserve"> </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pPr>
        <w:pStyle w:val="133"/>
        <w:keepNext w:val="0"/>
        <w:keepLines w:val="0"/>
        <w:spacing w:before="0" w:after="0" w:line="500" w:lineRule="atLeast"/>
        <w:jc w:val="both"/>
        <w:outlineLvl w:val="9"/>
        <w:rPr>
          <w:rFonts w:ascii="宋体" w:hAnsi="宋体" w:eastAsia="宋体"/>
          <w:sz w:val="24"/>
        </w:rPr>
      </w:pPr>
    </w:p>
    <w:p>
      <w:pPr>
        <w:spacing w:line="500" w:lineRule="atLeast"/>
        <w:ind w:firstLine="2873" w:firstLineChars="795"/>
        <w:rPr>
          <w:rFonts w:ascii="宋体" w:hAnsi="宋体"/>
          <w:b/>
          <w:sz w:val="36"/>
        </w:rPr>
      </w:pPr>
    </w:p>
    <w:p>
      <w:pPr>
        <w:spacing w:line="500" w:lineRule="atLeast"/>
        <w:ind w:firstLine="2873" w:firstLineChars="795"/>
        <w:rPr>
          <w:rFonts w:ascii="宋体" w:hAnsi="宋体"/>
          <w:b/>
          <w:sz w:val="36"/>
        </w:rPr>
      </w:pPr>
    </w:p>
    <w:p>
      <w:pPr>
        <w:spacing w:line="500" w:lineRule="atLeast"/>
        <w:ind w:firstLine="2873" w:firstLineChars="795"/>
        <w:rPr>
          <w:rFonts w:ascii="宋体" w:hAnsi="宋体"/>
          <w:b/>
          <w:sz w:val="36"/>
        </w:rPr>
      </w:pPr>
    </w:p>
    <w:p>
      <w:pPr>
        <w:spacing w:line="500" w:lineRule="atLeast"/>
        <w:ind w:firstLine="2873" w:firstLineChars="795"/>
        <w:rPr>
          <w:rFonts w:ascii="宋体" w:hAnsi="宋体"/>
          <w:b/>
          <w:sz w:val="36"/>
        </w:rPr>
      </w:pPr>
    </w:p>
    <w:p>
      <w:pPr>
        <w:spacing w:line="500" w:lineRule="atLeast"/>
        <w:jc w:val="center"/>
        <w:rPr>
          <w:rFonts w:ascii="宋体" w:hAnsi="宋体"/>
          <w:sz w:val="24"/>
        </w:rPr>
      </w:pPr>
      <w:bookmarkStart w:id="149" w:name="_Toc1583"/>
      <w:bookmarkStart w:id="150" w:name="_Toc430361092"/>
      <w:r>
        <w:rPr>
          <w:rFonts w:hint="eastAsia" w:ascii="宋体" w:hAnsi="宋体"/>
          <w:b/>
          <w:bCs/>
          <w:sz w:val="36"/>
        </w:rPr>
        <w:t>投标人的资格声明</w:t>
      </w:r>
      <w:bookmarkEnd w:id="149"/>
      <w:bookmarkEnd w:id="150"/>
    </w:p>
    <w:p>
      <w:pPr>
        <w:spacing w:line="500" w:lineRule="atLeast"/>
        <w:rPr>
          <w:rFonts w:ascii="宋体" w:hAnsi="宋体"/>
          <w:szCs w:val="21"/>
          <w:u w:val="single"/>
        </w:rPr>
      </w:pPr>
      <w:r>
        <w:rPr>
          <w:rFonts w:hint="eastAsia" w:ascii="宋体" w:hAnsi="宋体"/>
          <w:szCs w:val="21"/>
        </w:rPr>
        <w:t xml:space="preserve">1．投标人概况：                                   </w:t>
      </w:r>
      <w:r>
        <w:rPr>
          <w:rFonts w:hint="eastAsia" w:ascii="宋体" w:hAnsi="宋体"/>
          <w:szCs w:val="21"/>
        </w:rPr>
        <w:cr/>
      </w:r>
      <w:r>
        <w:rPr>
          <w:rFonts w:hint="eastAsia" w:ascii="宋体" w:hAnsi="宋体"/>
          <w:szCs w:val="21"/>
        </w:rPr>
        <w:t xml:space="preserve">        Ａ．投标人名称：</w:t>
      </w:r>
      <w:r>
        <w:rPr>
          <w:rFonts w:hint="eastAsia" w:ascii="宋体" w:hAnsi="宋体"/>
          <w:szCs w:val="21"/>
          <w:u w:val="single"/>
        </w:rPr>
        <w:t xml:space="preserve">                               </w:t>
      </w:r>
      <w:r>
        <w:rPr>
          <w:rFonts w:hint="eastAsia" w:ascii="宋体" w:hAnsi="宋体"/>
          <w:szCs w:val="21"/>
          <w:u w:val="single"/>
        </w:rPr>
        <w:cr/>
      </w:r>
      <w:r>
        <w:rPr>
          <w:rFonts w:hint="eastAsia" w:ascii="宋体" w:hAnsi="宋体"/>
          <w:szCs w:val="21"/>
        </w:rPr>
        <w:t xml:space="preserve">        Ｂ．注册地址：</w:t>
      </w:r>
      <w:r>
        <w:rPr>
          <w:rFonts w:hint="eastAsia" w:ascii="宋体" w:hAnsi="宋体"/>
          <w:szCs w:val="21"/>
          <w:u w:val="single"/>
        </w:rPr>
        <w:t xml:space="preserve">                                 </w:t>
      </w:r>
      <w:r>
        <w:rPr>
          <w:rFonts w:hint="eastAsia" w:ascii="宋体" w:hAnsi="宋体"/>
          <w:szCs w:val="21"/>
          <w:u w:val="single"/>
        </w:rPr>
        <w:cr/>
      </w:r>
      <w:r>
        <w:rPr>
          <w:rFonts w:hint="eastAsia" w:ascii="宋体" w:hAnsi="宋体"/>
          <w:szCs w:val="21"/>
        </w:rPr>
        <w:t xml:space="preserve">            传真：</w:t>
      </w:r>
      <w:r>
        <w:rPr>
          <w:rFonts w:hint="eastAsia" w:ascii="宋体" w:hAnsi="宋体"/>
          <w:szCs w:val="21"/>
          <w:u w:val="single"/>
        </w:rPr>
        <w:t xml:space="preserve">           </w:t>
      </w: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邮编：</w:t>
      </w:r>
      <w:r>
        <w:rPr>
          <w:rFonts w:hint="eastAsia" w:ascii="宋体" w:hAnsi="宋体"/>
          <w:szCs w:val="21"/>
          <w:u w:val="single"/>
        </w:rPr>
        <w:t xml:space="preserve">         </w:t>
      </w:r>
      <w:r>
        <w:rPr>
          <w:rFonts w:hint="eastAsia" w:ascii="宋体" w:hAnsi="宋体"/>
          <w:szCs w:val="21"/>
        </w:rPr>
        <w:cr/>
      </w:r>
      <w:r>
        <w:rPr>
          <w:rFonts w:hint="eastAsia" w:ascii="宋体" w:hAnsi="宋体"/>
          <w:szCs w:val="21"/>
        </w:rPr>
        <w:t xml:space="preserve">        Ｃ．成立或注册日期：</w:t>
      </w:r>
      <w:r>
        <w:rPr>
          <w:rFonts w:hint="eastAsia" w:ascii="宋体" w:hAnsi="宋体"/>
          <w:szCs w:val="21"/>
          <w:u w:val="single"/>
        </w:rPr>
        <w:t xml:space="preserve">                      </w:t>
      </w:r>
    </w:p>
    <w:p>
      <w:pPr>
        <w:spacing w:line="500" w:lineRule="atLeast"/>
        <w:rPr>
          <w:rFonts w:ascii="宋体" w:hAnsi="宋体"/>
          <w:szCs w:val="21"/>
        </w:rPr>
      </w:pPr>
      <w:r>
        <w:rPr>
          <w:rFonts w:hint="eastAsia" w:ascii="宋体" w:hAnsi="宋体"/>
          <w:szCs w:val="21"/>
        </w:rPr>
        <w:t xml:space="preserve">        Ｄ．法人代表：</w:t>
      </w:r>
      <w:r>
        <w:rPr>
          <w:rFonts w:hint="eastAsia" w:ascii="宋体" w:hAnsi="宋体"/>
          <w:szCs w:val="21"/>
          <w:u w:val="single"/>
        </w:rPr>
        <w:t xml:space="preserve">                   </w:t>
      </w:r>
      <w:r>
        <w:rPr>
          <w:rFonts w:hint="eastAsia" w:ascii="宋体" w:hAnsi="宋体"/>
          <w:szCs w:val="21"/>
        </w:rPr>
        <w:t>（姓名、职务）</w:t>
      </w:r>
    </w:p>
    <w:p>
      <w:pPr>
        <w:spacing w:line="500" w:lineRule="atLeast"/>
        <w:rPr>
          <w:rFonts w:ascii="宋体" w:hAnsi="宋体"/>
          <w:szCs w:val="21"/>
          <w:u w:val="single"/>
        </w:rPr>
      </w:pPr>
      <w:r>
        <w:rPr>
          <w:rFonts w:hint="eastAsia" w:ascii="宋体" w:hAnsi="宋体"/>
          <w:szCs w:val="21"/>
        </w:rPr>
        <w:t xml:space="preserve">        实收资本：</w:t>
      </w:r>
      <w:r>
        <w:rPr>
          <w:rFonts w:hint="eastAsia" w:ascii="宋体" w:hAnsi="宋体"/>
          <w:szCs w:val="21"/>
          <w:u w:val="single"/>
        </w:rPr>
        <w:t xml:space="preserve">                    </w:t>
      </w:r>
    </w:p>
    <w:p>
      <w:pPr>
        <w:spacing w:line="500" w:lineRule="atLeast"/>
        <w:rPr>
          <w:rFonts w:ascii="宋体" w:hAnsi="宋体"/>
          <w:szCs w:val="21"/>
        </w:rPr>
      </w:pPr>
      <w:r>
        <w:rPr>
          <w:rFonts w:hint="eastAsia" w:ascii="宋体" w:hAnsi="宋体"/>
          <w:szCs w:val="21"/>
        </w:rPr>
        <w:t xml:space="preserve">        其中 国家资本：</w:t>
      </w:r>
      <w:r>
        <w:rPr>
          <w:rFonts w:hint="eastAsia" w:ascii="宋体" w:hAnsi="宋体"/>
          <w:szCs w:val="21"/>
          <w:u w:val="single"/>
        </w:rPr>
        <w:t xml:space="preserve">             </w:t>
      </w:r>
      <w:r>
        <w:rPr>
          <w:rFonts w:hint="eastAsia" w:ascii="宋体" w:hAnsi="宋体"/>
          <w:szCs w:val="21"/>
        </w:rPr>
        <w:t xml:space="preserve"> 法人资本：</w:t>
      </w:r>
      <w:r>
        <w:rPr>
          <w:rFonts w:hint="eastAsia" w:ascii="宋体" w:hAnsi="宋体"/>
          <w:szCs w:val="21"/>
          <w:u w:val="single"/>
        </w:rPr>
        <w:t xml:space="preserve">           </w:t>
      </w:r>
    </w:p>
    <w:p>
      <w:pPr>
        <w:spacing w:line="500" w:lineRule="atLeast"/>
        <w:rPr>
          <w:rFonts w:ascii="宋体" w:hAnsi="宋体"/>
          <w:szCs w:val="21"/>
        </w:rPr>
      </w:pPr>
      <w:r>
        <w:rPr>
          <w:rFonts w:hint="eastAsia" w:ascii="宋体" w:hAnsi="宋体"/>
          <w:szCs w:val="21"/>
        </w:rPr>
        <w:t xml:space="preserve">             个人资本：</w:t>
      </w:r>
      <w:r>
        <w:rPr>
          <w:rFonts w:hint="eastAsia" w:ascii="宋体" w:hAnsi="宋体"/>
          <w:szCs w:val="21"/>
          <w:u w:val="single"/>
        </w:rPr>
        <w:t xml:space="preserve">             </w:t>
      </w:r>
      <w:r>
        <w:rPr>
          <w:rFonts w:hint="eastAsia" w:ascii="宋体" w:hAnsi="宋体"/>
          <w:szCs w:val="21"/>
        </w:rPr>
        <w:t xml:space="preserve"> 外商资本：</w:t>
      </w:r>
      <w:r>
        <w:rPr>
          <w:rFonts w:hint="eastAsia" w:ascii="宋体" w:hAnsi="宋体"/>
          <w:szCs w:val="21"/>
          <w:u w:val="single"/>
        </w:rPr>
        <w:t xml:space="preserve">           </w:t>
      </w:r>
    </w:p>
    <w:p>
      <w:pPr>
        <w:spacing w:line="500" w:lineRule="atLeast"/>
        <w:rPr>
          <w:rFonts w:ascii="宋体" w:hAnsi="宋体"/>
          <w:szCs w:val="21"/>
        </w:rPr>
      </w:pPr>
      <w:r>
        <w:rPr>
          <w:rFonts w:hint="eastAsia" w:ascii="宋体" w:hAnsi="宋体"/>
          <w:szCs w:val="21"/>
        </w:rPr>
        <w:t xml:space="preserve">        Ｅ．最近资产负债表（到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日为止）。</w:t>
      </w:r>
    </w:p>
    <w:p>
      <w:pPr>
        <w:spacing w:line="500" w:lineRule="atLeast"/>
        <w:rPr>
          <w:rFonts w:ascii="宋体" w:hAnsi="宋体"/>
          <w:szCs w:val="21"/>
          <w:u w:val="single"/>
        </w:rPr>
      </w:pPr>
      <w:r>
        <w:rPr>
          <w:rFonts w:hint="eastAsia" w:ascii="宋体" w:hAnsi="宋体"/>
          <w:szCs w:val="21"/>
        </w:rPr>
        <w:t xml:space="preserve">        (1)固定资产合计:</w:t>
      </w:r>
      <w:r>
        <w:rPr>
          <w:rFonts w:hint="eastAsia" w:ascii="宋体" w:hAnsi="宋体"/>
          <w:szCs w:val="21"/>
          <w:u w:val="single"/>
        </w:rPr>
        <w:t xml:space="preserve">                   </w:t>
      </w:r>
    </w:p>
    <w:p>
      <w:pPr>
        <w:spacing w:line="500" w:lineRule="atLeast"/>
        <w:rPr>
          <w:rFonts w:ascii="宋体" w:hAnsi="宋体"/>
          <w:szCs w:val="21"/>
        </w:rPr>
      </w:pPr>
      <w:r>
        <w:rPr>
          <w:rFonts w:hint="eastAsia" w:ascii="宋体" w:hAnsi="宋体"/>
          <w:szCs w:val="21"/>
        </w:rPr>
        <w:t xml:space="preserve">        (2)流动资产合计:</w:t>
      </w:r>
      <w:r>
        <w:rPr>
          <w:rFonts w:hint="eastAsia" w:ascii="宋体" w:hAnsi="宋体"/>
          <w:szCs w:val="21"/>
          <w:u w:val="single"/>
        </w:rPr>
        <w:t xml:space="preserve">                   </w:t>
      </w:r>
    </w:p>
    <w:p>
      <w:pPr>
        <w:spacing w:line="500" w:lineRule="atLeast"/>
        <w:rPr>
          <w:rFonts w:ascii="宋体" w:hAnsi="宋体"/>
          <w:szCs w:val="21"/>
        </w:rPr>
      </w:pPr>
      <w:r>
        <w:rPr>
          <w:rFonts w:hint="eastAsia" w:ascii="宋体" w:hAnsi="宋体"/>
          <w:szCs w:val="21"/>
        </w:rPr>
        <w:t xml:space="preserve">        (3)长期负债合计:</w:t>
      </w:r>
      <w:r>
        <w:rPr>
          <w:rFonts w:hint="eastAsia" w:ascii="宋体" w:hAnsi="宋体"/>
          <w:szCs w:val="21"/>
          <w:u w:val="single"/>
        </w:rPr>
        <w:t xml:space="preserve">                   </w:t>
      </w:r>
    </w:p>
    <w:p>
      <w:pPr>
        <w:spacing w:line="500" w:lineRule="atLeast"/>
        <w:rPr>
          <w:rFonts w:ascii="宋体" w:hAnsi="宋体"/>
          <w:szCs w:val="21"/>
        </w:rPr>
      </w:pPr>
      <w:r>
        <w:rPr>
          <w:rFonts w:hint="eastAsia" w:ascii="宋体" w:hAnsi="宋体"/>
          <w:szCs w:val="21"/>
        </w:rPr>
        <w:t xml:space="preserve">        (4)流动负债合计:</w:t>
      </w:r>
      <w:r>
        <w:rPr>
          <w:rFonts w:hint="eastAsia" w:ascii="宋体" w:hAnsi="宋体"/>
          <w:szCs w:val="21"/>
          <w:u w:val="single"/>
        </w:rPr>
        <w:t xml:space="preserve">                   </w:t>
      </w:r>
    </w:p>
    <w:p>
      <w:pPr>
        <w:spacing w:line="500" w:lineRule="atLeast"/>
        <w:rPr>
          <w:rFonts w:ascii="宋体" w:hAnsi="宋体"/>
          <w:szCs w:val="21"/>
        </w:rPr>
      </w:pPr>
      <w:r>
        <w:rPr>
          <w:rFonts w:hint="eastAsia" w:ascii="宋体" w:hAnsi="宋体"/>
          <w:szCs w:val="21"/>
        </w:rPr>
        <w:t xml:space="preserve">        Ｆ．最近损失表（到</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日为止）。</w:t>
      </w:r>
    </w:p>
    <w:p>
      <w:pPr>
        <w:spacing w:line="500" w:lineRule="atLeast"/>
        <w:rPr>
          <w:rFonts w:ascii="宋体" w:hAnsi="宋体"/>
          <w:szCs w:val="21"/>
          <w:u w:val="single"/>
        </w:rPr>
      </w:pPr>
      <w:r>
        <w:rPr>
          <w:rFonts w:hint="eastAsia" w:ascii="宋体" w:hAnsi="宋体"/>
          <w:szCs w:val="21"/>
        </w:rPr>
        <w:t>(1)本年（期）利润总额累计：</w:t>
      </w:r>
      <w:r>
        <w:rPr>
          <w:rFonts w:hint="eastAsia" w:ascii="宋体" w:hAnsi="宋体"/>
          <w:szCs w:val="21"/>
          <w:u w:val="single"/>
        </w:rPr>
        <w:t xml:space="preserve">            </w:t>
      </w:r>
    </w:p>
    <w:p>
      <w:pPr>
        <w:spacing w:line="500" w:lineRule="atLeast"/>
        <w:rPr>
          <w:rFonts w:ascii="宋体" w:hAnsi="宋体"/>
          <w:szCs w:val="21"/>
        </w:rPr>
      </w:pPr>
      <w:r>
        <w:rPr>
          <w:rFonts w:hint="eastAsia" w:ascii="宋体" w:hAnsi="宋体"/>
          <w:szCs w:val="21"/>
        </w:rPr>
        <w:t xml:space="preserve">(2)本年（期）净利润累计： </w:t>
      </w:r>
      <w:r>
        <w:rPr>
          <w:rFonts w:hint="eastAsia" w:ascii="宋体" w:hAnsi="宋体"/>
          <w:szCs w:val="21"/>
          <w:u w:val="single"/>
        </w:rPr>
        <w:t xml:space="preserve">             </w:t>
      </w:r>
    </w:p>
    <w:p>
      <w:pPr>
        <w:spacing w:line="500" w:lineRule="atLeast"/>
        <w:rPr>
          <w:rFonts w:ascii="宋体" w:hAnsi="宋体"/>
          <w:szCs w:val="21"/>
        </w:rPr>
      </w:pPr>
      <w:r>
        <w:rPr>
          <w:rFonts w:hint="eastAsia" w:ascii="宋体" w:hAnsi="宋体"/>
          <w:szCs w:val="21"/>
        </w:rPr>
        <w:t>2．我方在此声明，我方具备并满足下列各项条款的规定。本声明如有虚假或不实之处，我方将失去合格投标人资格且我方的投标保证金将不予退还。</w:t>
      </w:r>
    </w:p>
    <w:p>
      <w:pPr>
        <w:spacing w:line="500" w:lineRule="atLeast"/>
        <w:ind w:firstLine="420" w:firstLineChars="200"/>
        <w:rPr>
          <w:rFonts w:ascii="宋体" w:hAnsi="宋体"/>
          <w:szCs w:val="21"/>
        </w:rPr>
      </w:pPr>
      <w:r>
        <w:rPr>
          <w:rFonts w:hint="eastAsia" w:ascii="宋体" w:hAnsi="宋体"/>
          <w:szCs w:val="21"/>
        </w:rPr>
        <w:t>（1）具有独立承担民事责任的能力；</w:t>
      </w:r>
      <w:r>
        <w:rPr>
          <w:rFonts w:ascii="宋体" w:hAnsi="宋体"/>
          <w:szCs w:val="21"/>
        </w:rPr>
        <w:t xml:space="preserve"> </w:t>
      </w:r>
    </w:p>
    <w:p>
      <w:pPr>
        <w:spacing w:line="500" w:lineRule="atLeast"/>
        <w:rPr>
          <w:rFonts w:ascii="宋体" w:hAnsi="宋体"/>
          <w:szCs w:val="21"/>
        </w:rPr>
      </w:pPr>
      <w:r>
        <w:rPr>
          <w:rFonts w:hint="eastAsia" w:ascii="宋体" w:hAnsi="宋体"/>
          <w:szCs w:val="21"/>
        </w:rPr>
        <w:t>　　（2）具有良好的商业信誉和健全的财务会计制度；</w:t>
      </w:r>
      <w:r>
        <w:rPr>
          <w:rFonts w:ascii="宋体" w:hAnsi="宋体"/>
          <w:szCs w:val="21"/>
        </w:rPr>
        <w:t xml:space="preserve"> </w:t>
      </w:r>
    </w:p>
    <w:p>
      <w:pPr>
        <w:spacing w:line="500" w:lineRule="atLeast"/>
        <w:rPr>
          <w:rFonts w:ascii="宋体" w:hAnsi="宋体"/>
          <w:szCs w:val="21"/>
        </w:rPr>
      </w:pPr>
      <w:r>
        <w:rPr>
          <w:rFonts w:hint="eastAsia" w:ascii="宋体" w:hAnsi="宋体"/>
          <w:szCs w:val="21"/>
        </w:rPr>
        <w:t>　　（3）具有履行合同所必需的设备和专业技术能力；</w:t>
      </w:r>
      <w:r>
        <w:rPr>
          <w:rFonts w:ascii="宋体" w:hAnsi="宋体"/>
          <w:szCs w:val="21"/>
        </w:rPr>
        <w:t xml:space="preserve"> </w:t>
      </w:r>
    </w:p>
    <w:p>
      <w:pPr>
        <w:spacing w:line="500" w:lineRule="atLeast"/>
        <w:rPr>
          <w:rFonts w:ascii="宋体" w:hAnsi="宋体"/>
          <w:szCs w:val="21"/>
        </w:rPr>
      </w:pPr>
      <w:r>
        <w:rPr>
          <w:rFonts w:hint="eastAsia" w:ascii="宋体" w:hAnsi="宋体"/>
          <w:szCs w:val="21"/>
        </w:rPr>
        <w:t>　　（4）有依法缴纳税收和社会保障资金的良好记录；</w:t>
      </w:r>
      <w:r>
        <w:rPr>
          <w:rFonts w:ascii="宋体" w:hAnsi="宋体"/>
          <w:szCs w:val="21"/>
        </w:rPr>
        <w:t xml:space="preserve"> </w:t>
      </w:r>
    </w:p>
    <w:p>
      <w:pPr>
        <w:spacing w:line="500" w:lineRule="atLeast"/>
        <w:ind w:firstLine="420" w:firstLineChars="200"/>
        <w:rPr>
          <w:rFonts w:ascii="宋体" w:hAnsi="宋体"/>
          <w:szCs w:val="21"/>
        </w:rPr>
      </w:pPr>
      <w:r>
        <w:rPr>
          <w:rFonts w:hint="eastAsia" w:ascii="宋体" w:hAnsi="宋体"/>
          <w:szCs w:val="21"/>
        </w:rPr>
        <w:t>（5）近三年内，在经营活动中没有重大违法记录；</w:t>
      </w:r>
      <w:r>
        <w:rPr>
          <w:rFonts w:ascii="宋体" w:hAnsi="宋体"/>
          <w:szCs w:val="21"/>
        </w:rPr>
        <w:t xml:space="preserve"> </w:t>
      </w:r>
    </w:p>
    <w:p>
      <w:pPr>
        <w:spacing w:line="500" w:lineRule="atLeast"/>
        <w:ind w:firstLine="420" w:firstLineChars="200"/>
        <w:rPr>
          <w:rFonts w:ascii="宋体" w:hAnsi="宋体"/>
          <w:szCs w:val="21"/>
        </w:rPr>
      </w:pPr>
      <w:r>
        <w:rPr>
          <w:rFonts w:hint="eastAsia" w:ascii="宋体" w:hAnsi="宋体"/>
          <w:szCs w:val="21"/>
        </w:rPr>
        <w:t>（6）法律、行政法规规定的其他条件；</w:t>
      </w:r>
    </w:p>
    <w:p>
      <w:pPr>
        <w:spacing w:line="500" w:lineRule="atLeast"/>
        <w:ind w:firstLine="480"/>
        <w:rPr>
          <w:rFonts w:ascii="宋体" w:hAnsi="宋体"/>
          <w:szCs w:val="21"/>
        </w:rPr>
      </w:pPr>
      <w:r>
        <w:rPr>
          <w:rFonts w:hint="eastAsia" w:ascii="宋体" w:hAnsi="宋体"/>
          <w:szCs w:val="21"/>
        </w:rPr>
        <w:t>（7）没有如《公开招标文件》第二章第3条中3.3和3.4款所列关联情形。</w:t>
      </w:r>
    </w:p>
    <w:p>
      <w:pPr>
        <w:spacing w:line="500" w:lineRule="atLeast"/>
        <w:rPr>
          <w:rFonts w:ascii="宋体" w:hAnsi="宋体"/>
          <w:szCs w:val="21"/>
        </w:rPr>
      </w:pPr>
      <w:r>
        <w:rPr>
          <w:rFonts w:hint="eastAsia" w:ascii="宋体" w:hAnsi="宋体"/>
          <w:szCs w:val="21"/>
        </w:rPr>
        <w:t>3．最近三年投标货物在国内主要用户的名称和地址：</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500" w:lineRule="atLeast"/>
              <w:rPr>
                <w:rFonts w:ascii="宋体" w:hAnsi="宋体"/>
                <w:szCs w:val="21"/>
              </w:rPr>
            </w:pPr>
            <w:r>
              <w:rPr>
                <w:rFonts w:hint="eastAsia" w:ascii="宋体" w:hAnsi="宋体"/>
                <w:szCs w:val="21"/>
              </w:rPr>
              <w:t>用户名称和地址</w:t>
            </w:r>
          </w:p>
        </w:tc>
        <w:tc>
          <w:tcPr>
            <w:tcW w:w="2299" w:type="dxa"/>
          </w:tcPr>
          <w:p>
            <w:pPr>
              <w:spacing w:line="500" w:lineRule="atLeast"/>
              <w:rPr>
                <w:rFonts w:ascii="宋体" w:hAnsi="宋体"/>
                <w:szCs w:val="21"/>
              </w:rPr>
            </w:pPr>
            <w:r>
              <w:rPr>
                <w:rFonts w:hint="eastAsia" w:ascii="宋体" w:hAnsi="宋体"/>
                <w:szCs w:val="21"/>
              </w:rPr>
              <w:t>销售货物名称、规格</w:t>
            </w:r>
          </w:p>
        </w:tc>
        <w:tc>
          <w:tcPr>
            <w:tcW w:w="1045" w:type="dxa"/>
          </w:tcPr>
          <w:p>
            <w:pPr>
              <w:spacing w:line="500" w:lineRule="atLeast"/>
              <w:rPr>
                <w:rFonts w:ascii="宋体" w:hAnsi="宋体"/>
                <w:szCs w:val="21"/>
              </w:rPr>
            </w:pPr>
            <w:r>
              <w:rPr>
                <w:rFonts w:hint="eastAsia" w:ascii="宋体" w:hAnsi="宋体"/>
                <w:szCs w:val="21"/>
              </w:rPr>
              <w:t>数量</w:t>
            </w:r>
          </w:p>
        </w:tc>
        <w:tc>
          <w:tcPr>
            <w:tcW w:w="1463" w:type="dxa"/>
          </w:tcPr>
          <w:p>
            <w:pPr>
              <w:spacing w:line="500" w:lineRule="atLeast"/>
              <w:rPr>
                <w:rFonts w:ascii="宋体" w:hAnsi="宋体"/>
                <w:szCs w:val="21"/>
              </w:rPr>
            </w:pPr>
            <w:r>
              <w:rPr>
                <w:rFonts w:hint="eastAsia" w:ascii="宋体" w:hAnsi="宋体"/>
                <w:szCs w:val="21"/>
              </w:rPr>
              <w:t>交货日期</w:t>
            </w:r>
          </w:p>
        </w:tc>
        <w:tc>
          <w:tcPr>
            <w:tcW w:w="1404" w:type="dxa"/>
          </w:tcPr>
          <w:p>
            <w:pPr>
              <w:spacing w:line="500" w:lineRule="atLeast"/>
              <w:rPr>
                <w:rFonts w:ascii="宋体" w:hAnsi="宋体"/>
                <w:szCs w:val="21"/>
              </w:rPr>
            </w:pPr>
            <w:r>
              <w:rPr>
                <w:rFonts w:hint="eastAsia" w:ascii="宋体" w:hAnsi="宋体"/>
                <w:szCs w:val="21"/>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500" w:lineRule="atLeast"/>
              <w:rPr>
                <w:rFonts w:ascii="宋体" w:hAnsi="宋体"/>
                <w:szCs w:val="21"/>
              </w:rPr>
            </w:pPr>
          </w:p>
        </w:tc>
        <w:tc>
          <w:tcPr>
            <w:tcW w:w="2299" w:type="dxa"/>
          </w:tcPr>
          <w:p>
            <w:pPr>
              <w:spacing w:line="500" w:lineRule="atLeast"/>
              <w:rPr>
                <w:rFonts w:ascii="宋体" w:hAnsi="宋体"/>
                <w:szCs w:val="21"/>
              </w:rPr>
            </w:pPr>
          </w:p>
        </w:tc>
        <w:tc>
          <w:tcPr>
            <w:tcW w:w="1045" w:type="dxa"/>
          </w:tcPr>
          <w:p>
            <w:pPr>
              <w:spacing w:line="500" w:lineRule="atLeast"/>
              <w:rPr>
                <w:rFonts w:ascii="宋体" w:hAnsi="宋体"/>
                <w:szCs w:val="21"/>
              </w:rPr>
            </w:pPr>
          </w:p>
        </w:tc>
        <w:tc>
          <w:tcPr>
            <w:tcW w:w="1463" w:type="dxa"/>
          </w:tcPr>
          <w:p>
            <w:pPr>
              <w:spacing w:line="500" w:lineRule="atLeast"/>
              <w:rPr>
                <w:rFonts w:ascii="宋体" w:hAnsi="宋体"/>
                <w:szCs w:val="21"/>
              </w:rPr>
            </w:pPr>
          </w:p>
        </w:tc>
        <w:tc>
          <w:tcPr>
            <w:tcW w:w="1404" w:type="dxa"/>
          </w:tcPr>
          <w:p>
            <w:pPr>
              <w:spacing w:line="5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500" w:lineRule="atLeast"/>
              <w:rPr>
                <w:rFonts w:ascii="宋体" w:hAnsi="宋体"/>
                <w:szCs w:val="21"/>
              </w:rPr>
            </w:pPr>
          </w:p>
        </w:tc>
        <w:tc>
          <w:tcPr>
            <w:tcW w:w="2299" w:type="dxa"/>
          </w:tcPr>
          <w:p>
            <w:pPr>
              <w:spacing w:line="500" w:lineRule="atLeast"/>
              <w:rPr>
                <w:rFonts w:ascii="宋体" w:hAnsi="宋体"/>
                <w:szCs w:val="21"/>
              </w:rPr>
            </w:pPr>
          </w:p>
        </w:tc>
        <w:tc>
          <w:tcPr>
            <w:tcW w:w="1045" w:type="dxa"/>
          </w:tcPr>
          <w:p>
            <w:pPr>
              <w:spacing w:line="500" w:lineRule="atLeast"/>
              <w:rPr>
                <w:rFonts w:ascii="宋体" w:hAnsi="宋体"/>
                <w:szCs w:val="21"/>
              </w:rPr>
            </w:pPr>
          </w:p>
        </w:tc>
        <w:tc>
          <w:tcPr>
            <w:tcW w:w="1463" w:type="dxa"/>
          </w:tcPr>
          <w:p>
            <w:pPr>
              <w:spacing w:line="500" w:lineRule="atLeast"/>
              <w:rPr>
                <w:rFonts w:ascii="宋体" w:hAnsi="宋体"/>
                <w:szCs w:val="21"/>
              </w:rPr>
            </w:pPr>
          </w:p>
        </w:tc>
        <w:tc>
          <w:tcPr>
            <w:tcW w:w="1404" w:type="dxa"/>
          </w:tcPr>
          <w:p>
            <w:pPr>
              <w:spacing w:line="5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500" w:lineRule="atLeast"/>
              <w:rPr>
                <w:rFonts w:ascii="宋体" w:hAnsi="宋体"/>
                <w:szCs w:val="21"/>
              </w:rPr>
            </w:pPr>
          </w:p>
        </w:tc>
        <w:tc>
          <w:tcPr>
            <w:tcW w:w="2299" w:type="dxa"/>
          </w:tcPr>
          <w:p>
            <w:pPr>
              <w:spacing w:line="500" w:lineRule="atLeast"/>
              <w:rPr>
                <w:rFonts w:ascii="宋体" w:hAnsi="宋体"/>
                <w:szCs w:val="21"/>
              </w:rPr>
            </w:pPr>
          </w:p>
        </w:tc>
        <w:tc>
          <w:tcPr>
            <w:tcW w:w="1045" w:type="dxa"/>
          </w:tcPr>
          <w:p>
            <w:pPr>
              <w:spacing w:line="500" w:lineRule="atLeast"/>
              <w:rPr>
                <w:rFonts w:ascii="宋体" w:hAnsi="宋体"/>
                <w:szCs w:val="21"/>
              </w:rPr>
            </w:pPr>
          </w:p>
        </w:tc>
        <w:tc>
          <w:tcPr>
            <w:tcW w:w="1463" w:type="dxa"/>
          </w:tcPr>
          <w:p>
            <w:pPr>
              <w:spacing w:line="500" w:lineRule="atLeast"/>
              <w:rPr>
                <w:rFonts w:ascii="宋体" w:hAnsi="宋体"/>
                <w:szCs w:val="21"/>
              </w:rPr>
            </w:pPr>
          </w:p>
        </w:tc>
        <w:tc>
          <w:tcPr>
            <w:tcW w:w="1404" w:type="dxa"/>
          </w:tcPr>
          <w:p>
            <w:pPr>
              <w:spacing w:line="5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500" w:lineRule="atLeast"/>
              <w:rPr>
                <w:rFonts w:ascii="宋体" w:hAnsi="宋体"/>
                <w:szCs w:val="21"/>
              </w:rPr>
            </w:pPr>
          </w:p>
        </w:tc>
        <w:tc>
          <w:tcPr>
            <w:tcW w:w="2299" w:type="dxa"/>
          </w:tcPr>
          <w:p>
            <w:pPr>
              <w:spacing w:line="500" w:lineRule="atLeast"/>
              <w:rPr>
                <w:rFonts w:ascii="宋体" w:hAnsi="宋体"/>
                <w:szCs w:val="21"/>
              </w:rPr>
            </w:pPr>
          </w:p>
        </w:tc>
        <w:tc>
          <w:tcPr>
            <w:tcW w:w="1045" w:type="dxa"/>
          </w:tcPr>
          <w:p>
            <w:pPr>
              <w:spacing w:line="500" w:lineRule="atLeast"/>
              <w:rPr>
                <w:rFonts w:ascii="宋体" w:hAnsi="宋体"/>
                <w:szCs w:val="21"/>
              </w:rPr>
            </w:pPr>
          </w:p>
        </w:tc>
        <w:tc>
          <w:tcPr>
            <w:tcW w:w="1463" w:type="dxa"/>
          </w:tcPr>
          <w:p>
            <w:pPr>
              <w:spacing w:line="500" w:lineRule="atLeast"/>
              <w:rPr>
                <w:rFonts w:ascii="宋体" w:hAnsi="宋体"/>
                <w:szCs w:val="21"/>
              </w:rPr>
            </w:pPr>
          </w:p>
        </w:tc>
        <w:tc>
          <w:tcPr>
            <w:tcW w:w="1404" w:type="dxa"/>
          </w:tcPr>
          <w:p>
            <w:pPr>
              <w:spacing w:line="5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500" w:lineRule="atLeast"/>
              <w:rPr>
                <w:rFonts w:ascii="宋体" w:hAnsi="宋体"/>
                <w:szCs w:val="21"/>
              </w:rPr>
            </w:pPr>
          </w:p>
        </w:tc>
        <w:tc>
          <w:tcPr>
            <w:tcW w:w="2299" w:type="dxa"/>
          </w:tcPr>
          <w:p>
            <w:pPr>
              <w:spacing w:line="500" w:lineRule="atLeast"/>
              <w:rPr>
                <w:rFonts w:ascii="宋体" w:hAnsi="宋体"/>
                <w:szCs w:val="21"/>
              </w:rPr>
            </w:pPr>
          </w:p>
        </w:tc>
        <w:tc>
          <w:tcPr>
            <w:tcW w:w="1045" w:type="dxa"/>
          </w:tcPr>
          <w:p>
            <w:pPr>
              <w:spacing w:line="500" w:lineRule="atLeast"/>
              <w:rPr>
                <w:rFonts w:ascii="宋体" w:hAnsi="宋体"/>
                <w:szCs w:val="21"/>
              </w:rPr>
            </w:pPr>
          </w:p>
        </w:tc>
        <w:tc>
          <w:tcPr>
            <w:tcW w:w="1463" w:type="dxa"/>
          </w:tcPr>
          <w:p>
            <w:pPr>
              <w:spacing w:line="500" w:lineRule="atLeast"/>
              <w:rPr>
                <w:rFonts w:ascii="宋体" w:hAnsi="宋体"/>
                <w:szCs w:val="21"/>
              </w:rPr>
            </w:pPr>
          </w:p>
        </w:tc>
        <w:tc>
          <w:tcPr>
            <w:tcW w:w="1404" w:type="dxa"/>
          </w:tcPr>
          <w:p>
            <w:pPr>
              <w:spacing w:line="5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500" w:lineRule="atLeast"/>
              <w:rPr>
                <w:rFonts w:ascii="宋体" w:hAnsi="宋体"/>
                <w:szCs w:val="21"/>
              </w:rPr>
            </w:pPr>
          </w:p>
        </w:tc>
        <w:tc>
          <w:tcPr>
            <w:tcW w:w="2299" w:type="dxa"/>
          </w:tcPr>
          <w:p>
            <w:pPr>
              <w:spacing w:line="500" w:lineRule="atLeast"/>
              <w:rPr>
                <w:rFonts w:ascii="宋体" w:hAnsi="宋体"/>
                <w:szCs w:val="21"/>
              </w:rPr>
            </w:pPr>
          </w:p>
        </w:tc>
        <w:tc>
          <w:tcPr>
            <w:tcW w:w="1045" w:type="dxa"/>
          </w:tcPr>
          <w:p>
            <w:pPr>
              <w:spacing w:line="500" w:lineRule="atLeast"/>
              <w:rPr>
                <w:rFonts w:ascii="宋体" w:hAnsi="宋体"/>
                <w:szCs w:val="21"/>
              </w:rPr>
            </w:pPr>
          </w:p>
        </w:tc>
        <w:tc>
          <w:tcPr>
            <w:tcW w:w="1463" w:type="dxa"/>
          </w:tcPr>
          <w:p>
            <w:pPr>
              <w:spacing w:line="500" w:lineRule="atLeast"/>
              <w:rPr>
                <w:rFonts w:ascii="宋体" w:hAnsi="宋体"/>
                <w:szCs w:val="21"/>
              </w:rPr>
            </w:pPr>
          </w:p>
        </w:tc>
        <w:tc>
          <w:tcPr>
            <w:tcW w:w="1404" w:type="dxa"/>
          </w:tcPr>
          <w:p>
            <w:pPr>
              <w:spacing w:line="500" w:lineRule="atLeast"/>
              <w:rPr>
                <w:rFonts w:ascii="宋体" w:hAnsi="宋体"/>
                <w:szCs w:val="21"/>
              </w:rPr>
            </w:pPr>
          </w:p>
        </w:tc>
      </w:tr>
    </w:tbl>
    <w:p>
      <w:pPr>
        <w:spacing w:line="500" w:lineRule="atLeast"/>
        <w:rPr>
          <w:rFonts w:ascii="宋体" w:hAnsi="宋体"/>
          <w:szCs w:val="21"/>
        </w:rPr>
      </w:pPr>
      <w:r>
        <w:rPr>
          <w:rFonts w:hint="eastAsia" w:ascii="宋体" w:hAnsi="宋体"/>
          <w:szCs w:val="21"/>
        </w:rPr>
        <w:t xml:space="preserve"> 4</w:t>
      </w:r>
      <w:r>
        <w:rPr>
          <w:rFonts w:ascii="宋体" w:hAnsi="宋体"/>
          <w:szCs w:val="21"/>
        </w:rPr>
        <w:t>.</w:t>
      </w:r>
      <w:r>
        <w:rPr>
          <w:rFonts w:hint="eastAsia" w:ascii="宋体" w:hAnsi="宋体"/>
          <w:szCs w:val="21"/>
        </w:rPr>
        <w:t xml:space="preserve"> 法人营业执照、税务登记证（或三证合一）及声明函见附件。</w:t>
      </w:r>
    </w:p>
    <w:p>
      <w:pPr>
        <w:spacing w:line="500" w:lineRule="atLeast"/>
        <w:ind w:firstLine="420" w:firstLineChars="200"/>
        <w:rPr>
          <w:rFonts w:ascii="宋体" w:hAnsi="宋体"/>
          <w:szCs w:val="21"/>
        </w:rPr>
      </w:pPr>
      <w:r>
        <w:rPr>
          <w:rFonts w:hint="eastAsia" w:ascii="宋体" w:hAnsi="宋体"/>
          <w:szCs w:val="21"/>
        </w:rPr>
        <w:t>就我方全部所知，兹证明上述声明是真实、正确的，并已提供了全部现有资料和数据，我方同意根据贵方要求出示文件予以证实。</w:t>
      </w:r>
    </w:p>
    <w:p>
      <w:pPr>
        <w:spacing w:line="500" w:lineRule="atLeast"/>
        <w:rPr>
          <w:rFonts w:ascii="宋体" w:hAnsi="宋体"/>
          <w:szCs w:val="21"/>
        </w:rPr>
      </w:pPr>
    </w:p>
    <w:p>
      <w:pPr>
        <w:spacing w:line="500" w:lineRule="atLeast"/>
        <w:rPr>
          <w:rFonts w:ascii="宋体" w:hAnsi="宋体"/>
          <w:szCs w:val="21"/>
        </w:rPr>
      </w:pPr>
    </w:p>
    <w:p>
      <w:pPr>
        <w:spacing w:line="500" w:lineRule="atLeast"/>
        <w:rPr>
          <w:rFonts w:ascii="宋体" w:hAnsi="宋体"/>
          <w:szCs w:val="21"/>
        </w:rPr>
      </w:pPr>
    </w:p>
    <w:p>
      <w:pPr>
        <w:spacing w:line="500" w:lineRule="atLeast"/>
        <w:rPr>
          <w:rFonts w:ascii="宋体" w:hAnsi="宋体"/>
          <w:szCs w:val="21"/>
        </w:rPr>
      </w:pPr>
    </w:p>
    <w:p>
      <w:pPr>
        <w:spacing w:line="500" w:lineRule="atLeast"/>
        <w:rPr>
          <w:rFonts w:ascii="宋体" w:hAnsi="宋体"/>
          <w:szCs w:val="21"/>
        </w:rPr>
      </w:pPr>
    </w:p>
    <w:p>
      <w:pPr>
        <w:spacing w:line="500" w:lineRule="atLeast"/>
        <w:rPr>
          <w:rFonts w:ascii="宋体" w:hAnsi="宋体"/>
          <w:szCs w:val="21"/>
        </w:rPr>
      </w:pPr>
    </w:p>
    <w:p>
      <w:pPr>
        <w:spacing w:line="500" w:lineRule="atLeast"/>
        <w:rPr>
          <w:rFonts w:ascii="宋体" w:hAnsi="宋体"/>
          <w:szCs w:val="21"/>
        </w:rPr>
      </w:pPr>
    </w:p>
    <w:p>
      <w:pPr>
        <w:spacing w:line="500" w:lineRule="atLeast"/>
        <w:rPr>
          <w:rFonts w:ascii="宋体" w:hAnsi="宋体"/>
          <w:szCs w:val="21"/>
        </w:rPr>
      </w:pPr>
      <w:r>
        <w:rPr>
          <w:rFonts w:hint="eastAsia" w:ascii="宋体" w:hAnsi="宋体"/>
          <w:szCs w:val="21"/>
        </w:rPr>
        <w:t xml:space="preserve">    投标人（全称并加盖公章）：</w:t>
      </w:r>
      <w:r>
        <w:rPr>
          <w:rFonts w:hint="eastAsia" w:ascii="宋体" w:hAnsi="宋体"/>
          <w:szCs w:val="21"/>
          <w:u w:val="single"/>
        </w:rPr>
        <w:t xml:space="preserve">                   </w:t>
      </w:r>
    </w:p>
    <w:p>
      <w:pPr>
        <w:spacing w:line="500" w:lineRule="atLeast"/>
        <w:rPr>
          <w:rFonts w:ascii="宋体" w:hAnsi="宋体"/>
          <w:szCs w:val="21"/>
          <w:u w:val="single"/>
        </w:rPr>
      </w:pPr>
      <w:r>
        <w:rPr>
          <w:rFonts w:hint="eastAsia" w:ascii="宋体" w:hAnsi="宋体"/>
          <w:szCs w:val="21"/>
        </w:rPr>
        <w:t xml:space="preserve">    投标人代表签字：</w:t>
      </w:r>
      <w:r>
        <w:rPr>
          <w:rFonts w:hint="eastAsia" w:ascii="宋体" w:hAnsi="宋体"/>
          <w:szCs w:val="21"/>
          <w:u w:val="single"/>
        </w:rPr>
        <w:t xml:space="preserve">                            </w:t>
      </w:r>
    </w:p>
    <w:p>
      <w:pPr>
        <w:spacing w:line="500" w:lineRule="atLeast"/>
        <w:rPr>
          <w:rFonts w:ascii="宋体" w:hAnsi="宋体"/>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 xml:space="preserve"> 日</w:t>
      </w:r>
    </w:p>
    <w:p>
      <w:pPr>
        <w:spacing w:line="500" w:lineRule="atLeast"/>
        <w:ind w:firstLine="420" w:firstLineChars="200"/>
        <w:rPr>
          <w:rFonts w:ascii="宋体" w:hAnsi="宋体"/>
          <w:szCs w:val="21"/>
          <w:u w:val="single"/>
        </w:rPr>
      </w:pPr>
      <w:r>
        <w:rPr>
          <w:rFonts w:hint="eastAsia" w:ascii="宋体" w:hAnsi="宋体"/>
          <w:szCs w:val="21"/>
        </w:rPr>
        <w:t>电      传：</w:t>
      </w:r>
      <w:r>
        <w:rPr>
          <w:rFonts w:hint="eastAsia" w:ascii="宋体" w:hAnsi="宋体"/>
          <w:szCs w:val="21"/>
          <w:u w:val="single"/>
        </w:rPr>
        <w:t xml:space="preserve">                </w:t>
      </w:r>
    </w:p>
    <w:p>
      <w:pPr>
        <w:spacing w:line="500" w:lineRule="atLeast"/>
        <w:ind w:firstLine="420" w:firstLineChars="200"/>
        <w:rPr>
          <w:rFonts w:ascii="宋体" w:hAnsi="宋体"/>
          <w:szCs w:val="21"/>
        </w:rPr>
      </w:pPr>
      <w:r>
        <w:rPr>
          <w:rFonts w:hint="eastAsia" w:ascii="宋体" w:hAnsi="宋体"/>
          <w:szCs w:val="21"/>
        </w:rPr>
        <w:t>传      真：</w:t>
      </w:r>
      <w:r>
        <w:rPr>
          <w:rFonts w:hint="eastAsia" w:ascii="宋体" w:hAnsi="宋体"/>
          <w:szCs w:val="21"/>
          <w:u w:val="single"/>
        </w:rPr>
        <w:t xml:space="preserve">                </w:t>
      </w:r>
    </w:p>
    <w:p>
      <w:pPr>
        <w:spacing w:line="500" w:lineRule="atLeast"/>
        <w:ind w:firstLine="420" w:firstLineChars="200"/>
        <w:rPr>
          <w:rFonts w:ascii="宋体" w:hAnsi="宋体"/>
          <w:szCs w:val="21"/>
        </w:rPr>
      </w:pPr>
      <w:r>
        <w:rPr>
          <w:rFonts w:hint="eastAsia" w:ascii="宋体" w:hAnsi="宋体"/>
          <w:szCs w:val="21"/>
        </w:rPr>
        <w:t>电      话：</w:t>
      </w:r>
      <w:r>
        <w:rPr>
          <w:rFonts w:hint="eastAsia" w:ascii="宋体" w:hAnsi="宋体"/>
          <w:szCs w:val="21"/>
          <w:u w:val="single"/>
        </w:rPr>
        <w:t xml:space="preserve">                </w:t>
      </w:r>
    </w:p>
    <w:p>
      <w:pPr>
        <w:pStyle w:val="133"/>
        <w:keepNext w:val="0"/>
        <w:keepLines w:val="0"/>
        <w:spacing w:before="0" w:after="0" w:line="500" w:lineRule="atLeast"/>
        <w:jc w:val="both"/>
        <w:outlineLvl w:val="9"/>
        <w:rPr>
          <w:rFonts w:ascii="宋体" w:hAnsi="宋体" w:eastAsia="宋体"/>
          <w:kern w:val="2"/>
          <w:sz w:val="21"/>
          <w:szCs w:val="21"/>
        </w:rPr>
      </w:pPr>
    </w:p>
    <w:p>
      <w:pPr>
        <w:pStyle w:val="133"/>
        <w:keepNext w:val="0"/>
        <w:keepLines w:val="0"/>
        <w:spacing w:before="0" w:after="0" w:line="360" w:lineRule="exact"/>
        <w:ind w:firstLine="480"/>
        <w:jc w:val="both"/>
        <w:outlineLvl w:val="9"/>
        <w:rPr>
          <w:rFonts w:ascii="宋体" w:hAnsi="宋体" w:eastAsia="宋体"/>
          <w:kern w:val="2"/>
          <w:sz w:val="21"/>
          <w:szCs w:val="21"/>
        </w:rPr>
      </w:pPr>
    </w:p>
    <w:p>
      <w:pPr>
        <w:pStyle w:val="133"/>
        <w:keepNext w:val="0"/>
        <w:keepLines w:val="0"/>
        <w:spacing w:before="0" w:after="0" w:line="500" w:lineRule="atLeast"/>
        <w:jc w:val="both"/>
        <w:outlineLvl w:val="9"/>
        <w:rPr>
          <w:rFonts w:ascii="宋体" w:hAnsi="宋体" w:eastAsia="宋体"/>
          <w:kern w:val="2"/>
          <w:sz w:val="24"/>
        </w:rPr>
      </w:pPr>
    </w:p>
    <w:p>
      <w:pPr>
        <w:spacing w:line="500" w:lineRule="atLeast"/>
        <w:rPr>
          <w:rFonts w:ascii="宋体" w:hAnsi="宋体"/>
          <w:b/>
          <w:bCs/>
          <w:sz w:val="36"/>
        </w:rPr>
      </w:pPr>
      <w:bookmarkStart w:id="151" w:name="_Toc430361093"/>
      <w:bookmarkStart w:id="152" w:name="_Toc8123"/>
      <w:bookmarkStart w:id="153" w:name="_Toc287002973"/>
    </w:p>
    <w:p>
      <w:pPr>
        <w:spacing w:line="500" w:lineRule="atLeast"/>
        <w:jc w:val="center"/>
        <w:rPr>
          <w:rFonts w:ascii="宋体" w:hAnsi="宋体"/>
          <w:b/>
          <w:bCs/>
          <w:sz w:val="36"/>
        </w:rPr>
      </w:pPr>
      <w:r>
        <w:rPr>
          <w:rFonts w:hint="eastAsia" w:ascii="宋体" w:hAnsi="宋体"/>
          <w:b/>
          <w:bCs/>
          <w:sz w:val="36"/>
        </w:rPr>
        <w:t>法定代表人授权书</w:t>
      </w:r>
      <w:bookmarkEnd w:id="151"/>
      <w:bookmarkEnd w:id="152"/>
      <w:bookmarkEnd w:id="153"/>
    </w:p>
    <w:p>
      <w:pPr>
        <w:spacing w:line="500" w:lineRule="atLeast"/>
        <w:rPr>
          <w:rFonts w:ascii="宋体" w:hAnsi="宋体"/>
          <w:szCs w:val="21"/>
        </w:rPr>
      </w:pPr>
      <w:r>
        <w:rPr>
          <w:rFonts w:hint="eastAsia" w:ascii="宋体" w:hAnsi="宋体"/>
          <w:szCs w:val="21"/>
        </w:rPr>
        <w:t>福建优胜招标项目管理集团有限公司：</w:t>
      </w:r>
    </w:p>
    <w:p>
      <w:pPr>
        <w:spacing w:line="500" w:lineRule="atLeast"/>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rPr>
        <w:t>（投标人全称）法定代表人</w:t>
      </w:r>
      <w:r>
        <w:rPr>
          <w:rFonts w:hint="eastAsia" w:ascii="宋体" w:hAnsi="宋体"/>
          <w:szCs w:val="21"/>
          <w:u w:val="single"/>
        </w:rPr>
        <w:t xml:space="preserve">         </w:t>
      </w:r>
      <w:r>
        <w:rPr>
          <w:rFonts w:hint="eastAsia" w:ascii="宋体" w:hAnsi="宋体"/>
          <w:szCs w:val="21"/>
        </w:rPr>
        <w:t>授权</w:t>
      </w:r>
      <w:r>
        <w:rPr>
          <w:rFonts w:hint="eastAsia" w:ascii="宋体" w:hAnsi="宋体"/>
          <w:szCs w:val="21"/>
          <w:u w:val="single"/>
        </w:rPr>
        <w:t xml:space="preserve">       </w:t>
      </w:r>
      <w:r>
        <w:rPr>
          <w:rFonts w:hint="eastAsia" w:ascii="宋体" w:hAnsi="宋体"/>
          <w:szCs w:val="21"/>
        </w:rPr>
        <w:t>（投标人代表姓名）为投标人代表，代表本公司参加贵司组织的</w:t>
      </w:r>
      <w:r>
        <w:rPr>
          <w:rFonts w:hint="eastAsia" w:ascii="宋体" w:hAnsi="宋体"/>
          <w:szCs w:val="21"/>
          <w:u w:val="single"/>
        </w:rPr>
        <w:t xml:space="preserve">            </w:t>
      </w:r>
      <w:r>
        <w:rPr>
          <w:rFonts w:hint="eastAsia" w:ascii="宋体" w:hAnsi="宋体"/>
          <w:szCs w:val="21"/>
        </w:rPr>
        <w:t>项目（招标编号</w:t>
      </w:r>
      <w:r>
        <w:rPr>
          <w:rFonts w:hint="eastAsia" w:ascii="宋体" w:hAnsi="宋体"/>
          <w:szCs w:val="21"/>
          <w:u w:val="single"/>
        </w:rPr>
        <w:t xml:space="preserve">       </w:t>
      </w:r>
      <w:r>
        <w:rPr>
          <w:rFonts w:hint="eastAsia" w:ascii="宋体" w:hAnsi="宋体"/>
          <w:szCs w:val="21"/>
        </w:rPr>
        <w:t xml:space="preserve"> ）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spacing w:line="500" w:lineRule="atLeast"/>
        <w:ind w:firstLine="420" w:firstLineChars="200"/>
        <w:rPr>
          <w:rFonts w:ascii="宋体" w:hAnsi="宋体"/>
          <w:szCs w:val="21"/>
        </w:rPr>
      </w:pPr>
      <w:r>
        <w:rPr>
          <w:rFonts w:hint="eastAsia" w:ascii="宋体" w:hAnsi="宋体"/>
          <w:szCs w:val="21"/>
        </w:rPr>
        <w:t>本授权书自出具之日起生效。</w:t>
      </w:r>
    </w:p>
    <w:p>
      <w:pPr>
        <w:spacing w:line="500" w:lineRule="atLeast"/>
        <w:ind w:firstLine="420" w:firstLineChars="200"/>
        <w:rPr>
          <w:rFonts w:ascii="宋体" w:hAnsi="宋体"/>
          <w:szCs w:val="21"/>
        </w:rPr>
      </w:pPr>
    </w:p>
    <w:p>
      <w:pPr>
        <w:spacing w:line="500" w:lineRule="atLeast"/>
        <w:rPr>
          <w:rFonts w:ascii="宋体" w:hAnsi="宋体"/>
          <w:szCs w:val="21"/>
        </w:rPr>
      </w:pPr>
      <w:r>
        <w:rPr>
          <w:rFonts w:hint="eastAsia" w:ascii="宋体" w:hAnsi="宋体"/>
          <w:szCs w:val="21"/>
        </w:rPr>
        <w:t>投标人代表：</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性别：</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身份证号：</w:t>
      </w:r>
      <w:r>
        <w:rPr>
          <w:rFonts w:ascii="宋体" w:hAnsi="宋体"/>
          <w:szCs w:val="21"/>
          <w:u w:val="single"/>
        </w:rPr>
        <w:t xml:space="preserve">   </w:t>
      </w:r>
      <w:r>
        <w:rPr>
          <w:rFonts w:hint="eastAsia" w:ascii="宋体" w:hAnsi="宋体"/>
          <w:szCs w:val="21"/>
          <w:u w:val="single"/>
        </w:rPr>
        <w:t xml:space="preserve">               </w:t>
      </w:r>
    </w:p>
    <w:p>
      <w:pPr>
        <w:spacing w:line="500" w:lineRule="atLeast"/>
        <w:rPr>
          <w:rFonts w:ascii="宋体" w:hAnsi="宋体"/>
          <w:szCs w:val="21"/>
        </w:rPr>
      </w:pPr>
      <w:r>
        <w:rPr>
          <w:rFonts w:hint="eastAsia" w:ascii="宋体" w:hAnsi="宋体"/>
          <w:szCs w:val="21"/>
        </w:rPr>
        <w:t>单位：</w:t>
      </w:r>
      <w:r>
        <w:rPr>
          <w:rFonts w:ascii="宋体" w:hAnsi="宋体"/>
          <w:szCs w:val="21"/>
          <w:u w:val="single"/>
        </w:rPr>
        <w:t xml:space="preserve">                  </w:t>
      </w:r>
      <w:r>
        <w:rPr>
          <w:rFonts w:ascii="宋体" w:hAnsi="宋体"/>
          <w:szCs w:val="21"/>
        </w:rPr>
        <w:t xml:space="preserve">  </w:t>
      </w:r>
      <w:r>
        <w:rPr>
          <w:rFonts w:hint="eastAsia" w:ascii="宋体" w:hAnsi="宋体"/>
          <w:szCs w:val="21"/>
        </w:rPr>
        <w:t>部门：</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职务：</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500" w:lineRule="atLeast"/>
        <w:rPr>
          <w:rFonts w:ascii="宋体" w:hAnsi="宋体"/>
          <w:szCs w:val="21"/>
        </w:rPr>
      </w:pPr>
      <w:r>
        <w:rPr>
          <w:rFonts w:hint="eastAsia" w:ascii="宋体" w:hAnsi="宋体"/>
          <w:szCs w:val="21"/>
        </w:rPr>
        <w:t>详细通讯地址：</w:t>
      </w:r>
      <w:r>
        <w:rPr>
          <w:rFonts w:hint="eastAsia" w:ascii="宋体" w:hAnsi="宋体"/>
          <w:szCs w:val="21"/>
          <w:u w:val="single"/>
        </w:rPr>
        <w:t xml:space="preserve">          </w:t>
      </w:r>
      <w:r>
        <w:rPr>
          <w:rFonts w:hint="eastAsia" w:ascii="宋体" w:hAnsi="宋体"/>
          <w:szCs w:val="21"/>
        </w:rPr>
        <w:t xml:space="preserve"> </w:t>
      </w:r>
      <w:r>
        <w:rPr>
          <w:rFonts w:hint="eastAsia" w:ascii="宋体" w:hAnsi="宋体"/>
          <w:b/>
          <w:bCs/>
          <w:szCs w:val="21"/>
        </w:rPr>
        <w:t xml:space="preserve"> </w:t>
      </w:r>
      <w:r>
        <w:rPr>
          <w:rFonts w:hint="eastAsia" w:ascii="宋体" w:hAnsi="宋体"/>
          <w:szCs w:val="21"/>
        </w:rPr>
        <w:t>邮政编码</w:t>
      </w:r>
      <w:r>
        <w:rPr>
          <w:rFonts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电话：</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附：授权人及被授权人身份证件复印件（须注明与原件一致）</w:t>
      </w:r>
    </w:p>
    <w:tbl>
      <w:tblPr>
        <w:tblStyle w:val="36"/>
        <w:tblpPr w:leftFromText="180" w:rightFromText="180" w:vertAnchor="text" w:tblpX="214" w:tblpY="2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1"/>
        <w:gridCol w:w="1051"/>
        <w:gridCol w:w="3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trPr>
        <w:tc>
          <w:tcPr>
            <w:tcW w:w="4311" w:type="dxa"/>
          </w:tcPr>
          <w:p>
            <w:pPr>
              <w:spacing w:line="380" w:lineRule="exact"/>
              <w:ind w:firstLine="525" w:firstLineChars="250"/>
              <w:rPr>
                <w:rFonts w:ascii="宋体" w:hAnsi="宋体"/>
                <w:szCs w:val="21"/>
              </w:rPr>
            </w:pPr>
            <w:r>
              <w:rPr>
                <w:rFonts w:hint="eastAsia" w:ascii="宋体" w:hAnsi="宋体"/>
                <w:szCs w:val="21"/>
              </w:rPr>
              <w:t>授权人身份证件复印件</w:t>
            </w:r>
          </w:p>
          <w:tbl>
            <w:tblPr>
              <w:tblStyle w:val="36"/>
              <w:tblW w:w="0" w:type="auto"/>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060" w:type="dxa"/>
                </w:tcPr>
                <w:p>
                  <w:pPr>
                    <w:spacing w:line="380" w:lineRule="exact"/>
                    <w:jc w:val="center"/>
                    <w:rPr>
                      <w:rFonts w:ascii="宋体" w:hAnsi="宋体"/>
                      <w:szCs w:val="21"/>
                    </w:rPr>
                  </w:pPr>
                </w:p>
              </w:tc>
            </w:tr>
          </w:tbl>
          <w:p>
            <w:pPr>
              <w:spacing w:line="380" w:lineRule="exact"/>
              <w:ind w:firstLine="525" w:firstLineChars="250"/>
              <w:jc w:val="center"/>
              <w:rPr>
                <w:rFonts w:ascii="宋体" w:hAnsi="宋体"/>
                <w:szCs w:val="21"/>
              </w:rPr>
            </w:pPr>
            <w:r>
              <w:rPr>
                <w:rFonts w:hint="eastAsia" w:ascii="宋体" w:hAnsi="宋体"/>
                <w:szCs w:val="21"/>
              </w:rPr>
              <w:t>正面</w:t>
            </w:r>
          </w:p>
          <w:tbl>
            <w:tblPr>
              <w:tblStyle w:val="36"/>
              <w:tblW w:w="0" w:type="auto"/>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060" w:type="dxa"/>
                </w:tcPr>
                <w:p>
                  <w:pPr>
                    <w:spacing w:line="380" w:lineRule="exact"/>
                    <w:jc w:val="center"/>
                    <w:rPr>
                      <w:rFonts w:ascii="宋体" w:hAnsi="宋体"/>
                      <w:szCs w:val="21"/>
                    </w:rPr>
                  </w:pPr>
                </w:p>
              </w:tc>
            </w:tr>
          </w:tbl>
          <w:p>
            <w:pPr>
              <w:spacing w:line="380" w:lineRule="exact"/>
              <w:ind w:firstLine="525" w:firstLineChars="250"/>
              <w:jc w:val="center"/>
              <w:rPr>
                <w:rFonts w:ascii="宋体" w:hAnsi="宋体"/>
                <w:szCs w:val="21"/>
              </w:rPr>
            </w:pPr>
            <w:r>
              <w:rPr>
                <w:rFonts w:hint="eastAsia" w:ascii="宋体" w:hAnsi="宋体"/>
                <w:szCs w:val="21"/>
              </w:rPr>
              <w:t>反面</w:t>
            </w:r>
          </w:p>
        </w:tc>
        <w:tc>
          <w:tcPr>
            <w:tcW w:w="1051" w:type="dxa"/>
            <w:tcBorders>
              <w:top w:val="nil"/>
              <w:bottom w:val="nil"/>
            </w:tcBorders>
          </w:tcPr>
          <w:p>
            <w:pPr>
              <w:spacing w:line="380" w:lineRule="exact"/>
              <w:rPr>
                <w:rFonts w:ascii="宋体" w:hAnsi="宋体"/>
                <w:szCs w:val="21"/>
              </w:rPr>
            </w:pPr>
          </w:p>
        </w:tc>
        <w:tc>
          <w:tcPr>
            <w:tcW w:w="3902" w:type="dxa"/>
          </w:tcPr>
          <w:p>
            <w:pPr>
              <w:spacing w:line="380" w:lineRule="exact"/>
              <w:ind w:firstLine="315" w:firstLineChars="150"/>
              <w:rPr>
                <w:rFonts w:ascii="宋体" w:hAnsi="宋体"/>
                <w:szCs w:val="21"/>
              </w:rPr>
            </w:pPr>
            <w:r>
              <w:rPr>
                <w:rFonts w:hint="eastAsia" w:ascii="宋体" w:hAnsi="宋体"/>
                <w:szCs w:val="21"/>
              </w:rPr>
              <w:t>被授权人身份证件复印件</w:t>
            </w:r>
          </w:p>
          <w:tbl>
            <w:tblPr>
              <w:tblStyle w:val="36"/>
              <w:tblW w:w="0" w:type="auto"/>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060" w:type="dxa"/>
                </w:tcPr>
                <w:p>
                  <w:pPr>
                    <w:spacing w:line="380" w:lineRule="exact"/>
                    <w:jc w:val="center"/>
                    <w:rPr>
                      <w:rFonts w:ascii="宋体" w:hAnsi="宋体"/>
                      <w:szCs w:val="21"/>
                    </w:rPr>
                  </w:pPr>
                </w:p>
              </w:tc>
            </w:tr>
          </w:tbl>
          <w:p>
            <w:pPr>
              <w:spacing w:line="380" w:lineRule="exact"/>
              <w:ind w:firstLine="525" w:firstLineChars="250"/>
              <w:jc w:val="center"/>
              <w:rPr>
                <w:rFonts w:ascii="宋体" w:hAnsi="宋体"/>
                <w:szCs w:val="21"/>
              </w:rPr>
            </w:pPr>
            <w:r>
              <w:rPr>
                <w:rFonts w:hint="eastAsia" w:ascii="宋体" w:hAnsi="宋体"/>
                <w:szCs w:val="21"/>
              </w:rPr>
              <w:t>正面</w:t>
            </w:r>
          </w:p>
          <w:tbl>
            <w:tblPr>
              <w:tblStyle w:val="36"/>
              <w:tblW w:w="0" w:type="auto"/>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060" w:type="dxa"/>
                </w:tcPr>
                <w:p>
                  <w:pPr>
                    <w:spacing w:line="380" w:lineRule="exact"/>
                    <w:jc w:val="center"/>
                    <w:rPr>
                      <w:rFonts w:ascii="宋体" w:hAnsi="宋体"/>
                      <w:szCs w:val="21"/>
                    </w:rPr>
                  </w:pPr>
                </w:p>
              </w:tc>
            </w:tr>
          </w:tbl>
          <w:p>
            <w:pPr>
              <w:spacing w:line="380" w:lineRule="exact"/>
              <w:ind w:firstLine="315" w:firstLineChars="150"/>
              <w:jc w:val="center"/>
              <w:rPr>
                <w:rFonts w:ascii="宋体" w:hAnsi="宋体"/>
                <w:szCs w:val="21"/>
              </w:rPr>
            </w:pPr>
            <w:r>
              <w:rPr>
                <w:rFonts w:hint="eastAsia" w:ascii="宋体" w:hAnsi="宋体"/>
                <w:szCs w:val="21"/>
              </w:rPr>
              <w:t>反面</w:t>
            </w:r>
          </w:p>
          <w:p>
            <w:pPr>
              <w:spacing w:line="380" w:lineRule="exact"/>
              <w:ind w:firstLine="315" w:firstLineChars="150"/>
              <w:rPr>
                <w:rFonts w:ascii="宋体" w:hAnsi="宋体"/>
                <w:szCs w:val="21"/>
              </w:rPr>
            </w:pPr>
          </w:p>
        </w:tc>
      </w:tr>
    </w:tbl>
    <w:p>
      <w:pPr>
        <w:rPr>
          <w:szCs w:val="21"/>
        </w:rPr>
      </w:pPr>
    </w:p>
    <w:p>
      <w:pPr>
        <w:rPr>
          <w:rFonts w:ascii="宋体" w:hAnsi="宋体"/>
          <w:szCs w:val="21"/>
        </w:rPr>
      </w:pPr>
      <w:r>
        <w:rPr>
          <w:rFonts w:hint="eastAsia"/>
          <w:szCs w:val="21"/>
        </w:rPr>
        <w:t>授权方                                         接受授权方</w:t>
      </w:r>
    </w:p>
    <w:p>
      <w:pPr>
        <w:pStyle w:val="138"/>
        <w:ind w:firstLine="0" w:firstLineChars="0"/>
        <w:rPr>
          <w:rFonts w:ascii="宋体" w:hAnsi="宋体"/>
          <w:b/>
          <w:szCs w:val="21"/>
        </w:rPr>
      </w:pPr>
    </w:p>
    <w:p>
      <w:pPr>
        <w:pStyle w:val="138"/>
        <w:ind w:firstLine="0" w:firstLineChars="0"/>
        <w:rPr>
          <w:rFonts w:ascii="宋体" w:hAnsi="宋体"/>
          <w:b/>
          <w:szCs w:val="21"/>
        </w:rPr>
      </w:pPr>
      <w:r>
        <w:rPr>
          <w:rFonts w:hint="eastAsia" w:ascii="宋体" w:hAnsi="宋体"/>
          <w:szCs w:val="21"/>
        </w:rPr>
        <w:t>投标人：</w:t>
      </w:r>
      <w:r>
        <w:rPr>
          <w:rFonts w:hint="eastAsia" w:ascii="宋体" w:hAnsi="宋体"/>
          <w:szCs w:val="21"/>
          <w:u w:val="single"/>
        </w:rPr>
        <w:t xml:space="preserve">（全称并加盖公章）             </w:t>
      </w:r>
    </w:p>
    <w:p>
      <w:pPr>
        <w:pStyle w:val="138"/>
        <w:ind w:firstLine="0" w:firstLineChars="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r>
        <w:rPr>
          <w:rFonts w:hint="eastAsia" w:ascii="宋体" w:hAnsi="宋体"/>
          <w:szCs w:val="21"/>
        </w:rPr>
        <w:t xml:space="preserve">        投标人代表（签名）：</w:t>
      </w:r>
      <w:r>
        <w:rPr>
          <w:rFonts w:hint="eastAsia" w:ascii="宋体" w:hAnsi="宋体"/>
          <w:szCs w:val="21"/>
          <w:u w:val="single"/>
        </w:rPr>
        <w:t xml:space="preserve">                   </w:t>
      </w:r>
    </w:p>
    <w:p>
      <w:pPr>
        <w:rPr>
          <w:rFonts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 xml:space="preserve">       日     期：</w:t>
      </w:r>
      <w:r>
        <w:rPr>
          <w:rFonts w:hint="eastAsia" w:ascii="宋体" w:hAnsi="宋体"/>
          <w:szCs w:val="21"/>
          <w:u w:val="single"/>
        </w:rPr>
        <w:t xml:space="preserve">                             </w:t>
      </w:r>
    </w:p>
    <w:p>
      <w:pPr>
        <w:rPr>
          <w:rFonts w:ascii="宋体" w:hAnsi="宋体"/>
          <w:szCs w:val="21"/>
        </w:rPr>
      </w:pPr>
    </w:p>
    <w:p>
      <w:pPr>
        <w:spacing w:line="500" w:lineRule="atLeast"/>
        <w:rPr>
          <w:rFonts w:ascii="宋体" w:hAnsi="宋体"/>
          <w:sz w:val="24"/>
        </w:rPr>
      </w:pPr>
    </w:p>
    <w:p>
      <w:pPr>
        <w:pStyle w:val="133"/>
        <w:keepNext w:val="0"/>
        <w:keepLines w:val="0"/>
        <w:spacing w:before="0" w:after="0" w:line="500" w:lineRule="atLeast"/>
        <w:ind w:left="0" w:firstLine="0"/>
        <w:jc w:val="both"/>
        <w:outlineLvl w:val="9"/>
        <w:rPr>
          <w:rFonts w:ascii="宋体" w:hAnsi="宋体" w:eastAsia="宋体"/>
          <w:kern w:val="2"/>
          <w:sz w:val="24"/>
        </w:rPr>
      </w:pPr>
    </w:p>
    <w:p>
      <w:pPr>
        <w:pStyle w:val="133"/>
        <w:keepNext w:val="0"/>
        <w:keepLines w:val="0"/>
        <w:spacing w:before="0" w:after="0" w:line="500" w:lineRule="atLeast"/>
        <w:ind w:left="0" w:firstLine="0"/>
        <w:jc w:val="both"/>
        <w:outlineLvl w:val="9"/>
        <w:rPr>
          <w:rFonts w:ascii="宋体" w:hAnsi="宋体" w:eastAsia="宋体"/>
          <w:kern w:val="2"/>
          <w:sz w:val="24"/>
        </w:rPr>
      </w:pPr>
    </w:p>
    <w:p>
      <w:pPr>
        <w:spacing w:line="500" w:lineRule="atLeast"/>
        <w:jc w:val="center"/>
      </w:pPr>
      <w:bookmarkStart w:id="154" w:name="_Toc8544"/>
      <w:bookmarkStart w:id="155" w:name="_Toc430361094"/>
      <w:r>
        <w:rPr>
          <w:rFonts w:hint="eastAsia" w:ascii="宋体" w:hAnsi="宋体"/>
          <w:b/>
          <w:bCs/>
          <w:sz w:val="36"/>
        </w:rPr>
        <w:t>法人营业执照、税务登记证</w:t>
      </w:r>
      <w:bookmarkEnd w:id="154"/>
      <w:bookmarkEnd w:id="155"/>
      <w:r>
        <w:rPr>
          <w:rFonts w:hint="eastAsia" w:ascii="宋体" w:hAnsi="宋体"/>
          <w:b/>
          <w:bCs/>
          <w:sz w:val="36"/>
        </w:rPr>
        <w:t>（或三证合一）</w:t>
      </w:r>
    </w:p>
    <w:p>
      <w:pPr>
        <w:spacing w:line="500" w:lineRule="atLeast"/>
        <w:jc w:val="center"/>
        <w:rPr>
          <w:rFonts w:ascii="宋体" w:hAnsi="宋体"/>
        </w:rPr>
      </w:pPr>
    </w:p>
    <w:p>
      <w:pPr>
        <w:spacing w:line="500" w:lineRule="atLeast"/>
        <w:rPr>
          <w:rFonts w:ascii="宋体" w:hAnsi="宋体"/>
          <w:szCs w:val="21"/>
        </w:rPr>
      </w:pPr>
      <w:r>
        <w:rPr>
          <w:rFonts w:hint="eastAsia" w:ascii="宋体" w:hAnsi="宋体"/>
          <w:szCs w:val="21"/>
          <w:u w:val="single"/>
        </w:rPr>
        <w:t xml:space="preserve">福建优胜招标项目管理集团有限公司 </w:t>
      </w:r>
      <w:r>
        <w:rPr>
          <w:rFonts w:hint="eastAsia" w:ascii="宋体" w:hAnsi="宋体"/>
          <w:szCs w:val="21"/>
        </w:rPr>
        <w:t>：</w:t>
      </w:r>
    </w:p>
    <w:p>
      <w:pPr>
        <w:spacing w:line="500" w:lineRule="atLeast"/>
        <w:rPr>
          <w:rFonts w:ascii="宋体" w:hAnsi="宋体"/>
          <w:szCs w:val="21"/>
        </w:rPr>
      </w:pPr>
    </w:p>
    <w:p>
      <w:pPr>
        <w:spacing w:line="500" w:lineRule="atLeast"/>
        <w:ind w:firstLine="420" w:firstLineChars="200"/>
        <w:rPr>
          <w:rFonts w:ascii="宋体" w:hAnsi="宋体"/>
          <w:szCs w:val="21"/>
        </w:rPr>
      </w:pPr>
      <w:r>
        <w:rPr>
          <w:rFonts w:hint="eastAsia" w:ascii="宋体" w:hAnsi="宋体"/>
          <w:szCs w:val="21"/>
        </w:rPr>
        <w:t>现附上由</w:t>
      </w:r>
      <w:r>
        <w:rPr>
          <w:rFonts w:hint="eastAsia" w:ascii="宋体" w:hAnsi="宋体"/>
          <w:szCs w:val="21"/>
          <w:u w:val="single"/>
        </w:rPr>
        <w:t xml:space="preserve">                         </w:t>
      </w:r>
      <w:r>
        <w:rPr>
          <w:rFonts w:hint="eastAsia" w:ascii="宋体" w:hAnsi="宋体"/>
          <w:szCs w:val="21"/>
        </w:rPr>
        <w:t>（签发机关名称）签发的我方法人营业执照副本复印件，该执照真实有效。</w:t>
      </w:r>
    </w:p>
    <w:p>
      <w:pPr>
        <w:pStyle w:val="133"/>
        <w:keepNext w:val="0"/>
        <w:keepLines w:val="0"/>
        <w:spacing w:before="0" w:after="0" w:line="500" w:lineRule="atLeast"/>
        <w:ind w:left="0" w:firstLine="420" w:firstLineChars="200"/>
        <w:jc w:val="both"/>
        <w:outlineLvl w:val="9"/>
        <w:rPr>
          <w:rFonts w:ascii="宋体" w:hAnsi="宋体" w:eastAsia="宋体"/>
          <w:sz w:val="21"/>
          <w:szCs w:val="21"/>
        </w:rPr>
      </w:pPr>
      <w:bookmarkStart w:id="156" w:name="_Toc5650"/>
      <w:bookmarkStart w:id="157" w:name="_Toc489736829"/>
      <w:bookmarkStart w:id="158" w:name="_Toc489736858"/>
      <w:bookmarkStart w:id="159" w:name="_Toc492830297"/>
      <w:bookmarkStart w:id="160" w:name="_Toc2632"/>
      <w:bookmarkStart w:id="161" w:name="_Toc74326547"/>
      <w:bookmarkStart w:id="162" w:name="_Toc14913"/>
      <w:bookmarkStart w:id="163" w:name="_Toc26726"/>
      <w:r>
        <w:rPr>
          <w:rFonts w:hint="eastAsia" w:ascii="宋体" w:hAnsi="宋体" w:eastAsia="宋体"/>
          <w:sz w:val="21"/>
          <w:szCs w:val="21"/>
        </w:rPr>
        <w:t>现附上由</w:t>
      </w:r>
      <w:r>
        <w:rPr>
          <w:rFonts w:hint="eastAsia" w:ascii="宋体" w:hAnsi="宋体" w:eastAsia="宋体"/>
          <w:sz w:val="21"/>
          <w:szCs w:val="21"/>
          <w:u w:val="single"/>
        </w:rPr>
        <w:t xml:space="preserve">                         </w:t>
      </w:r>
      <w:r>
        <w:rPr>
          <w:rFonts w:hint="eastAsia" w:ascii="宋体" w:hAnsi="宋体" w:eastAsia="宋体"/>
          <w:sz w:val="21"/>
          <w:szCs w:val="21"/>
        </w:rPr>
        <w:t>（签发机关名称）签发的我方税务登记证副本复印件，该证真实有效。</w:t>
      </w:r>
      <w:bookmarkEnd w:id="156"/>
      <w:bookmarkEnd w:id="157"/>
      <w:bookmarkEnd w:id="158"/>
      <w:bookmarkEnd w:id="159"/>
      <w:bookmarkEnd w:id="160"/>
      <w:bookmarkEnd w:id="161"/>
      <w:bookmarkEnd w:id="162"/>
      <w:bookmarkEnd w:id="163"/>
    </w:p>
    <w:p>
      <w:pPr>
        <w:pStyle w:val="133"/>
        <w:keepNext w:val="0"/>
        <w:keepLines w:val="0"/>
        <w:spacing w:before="0" w:after="0" w:line="500" w:lineRule="atLeast"/>
        <w:ind w:left="0" w:firstLine="420" w:firstLineChars="200"/>
        <w:jc w:val="both"/>
        <w:outlineLvl w:val="9"/>
        <w:rPr>
          <w:rFonts w:ascii="宋体" w:hAnsi="宋体" w:eastAsia="宋体"/>
          <w:sz w:val="21"/>
          <w:szCs w:val="21"/>
        </w:rPr>
      </w:pPr>
    </w:p>
    <w:p>
      <w:pPr>
        <w:pStyle w:val="13"/>
        <w:spacing w:line="500" w:lineRule="atLeast"/>
        <w:ind w:firstLine="420" w:firstLineChars="200"/>
        <w:rPr>
          <w:rFonts w:ascii="宋体" w:hAnsi="宋体"/>
          <w:szCs w:val="21"/>
        </w:rPr>
      </w:pPr>
      <w:r>
        <w:rPr>
          <w:rFonts w:hint="eastAsia" w:ascii="宋体" w:hAnsi="宋体"/>
          <w:szCs w:val="21"/>
        </w:rPr>
        <w:t>（注：法人营业执照（副本）、税务登记证（副本）（或三证合一）提供复印件，由企业加盖公章并注明复印件与原件一致。）</w:t>
      </w:r>
    </w:p>
    <w:p>
      <w:pPr>
        <w:spacing w:line="500" w:lineRule="atLeast"/>
        <w:rPr>
          <w:rFonts w:ascii="宋体" w:hAnsi="宋体"/>
          <w:szCs w:val="21"/>
        </w:rPr>
      </w:pPr>
    </w:p>
    <w:p>
      <w:pPr>
        <w:spacing w:line="500" w:lineRule="atLeast"/>
        <w:rPr>
          <w:rFonts w:ascii="宋体" w:hAnsi="宋体"/>
          <w:szCs w:val="21"/>
        </w:rPr>
      </w:pPr>
    </w:p>
    <w:p>
      <w:pPr>
        <w:spacing w:line="500" w:lineRule="atLeast"/>
        <w:rPr>
          <w:rFonts w:ascii="宋体" w:hAnsi="宋体"/>
          <w:szCs w:val="21"/>
        </w:rPr>
      </w:pPr>
    </w:p>
    <w:p>
      <w:pPr>
        <w:spacing w:line="500" w:lineRule="atLeast"/>
        <w:rPr>
          <w:rFonts w:ascii="宋体" w:hAnsi="宋体"/>
          <w:szCs w:val="21"/>
        </w:rPr>
      </w:pPr>
    </w:p>
    <w:p>
      <w:pPr>
        <w:spacing w:line="500" w:lineRule="atLeast"/>
        <w:rPr>
          <w:rFonts w:ascii="宋体" w:hAnsi="宋体"/>
          <w:szCs w:val="21"/>
        </w:rPr>
      </w:pPr>
    </w:p>
    <w:p>
      <w:pPr>
        <w:spacing w:line="500" w:lineRule="atLeast"/>
        <w:rPr>
          <w:rFonts w:ascii="宋体" w:hAnsi="宋体"/>
          <w:szCs w:val="21"/>
        </w:rPr>
      </w:pPr>
    </w:p>
    <w:p>
      <w:pPr>
        <w:spacing w:line="500" w:lineRule="atLeast"/>
        <w:rPr>
          <w:rFonts w:ascii="宋体" w:hAnsi="宋体"/>
          <w:szCs w:val="21"/>
        </w:rPr>
      </w:pPr>
    </w:p>
    <w:p>
      <w:pPr>
        <w:spacing w:line="500" w:lineRule="atLeast"/>
        <w:rPr>
          <w:rFonts w:ascii="宋体" w:hAnsi="宋体"/>
          <w:szCs w:val="21"/>
        </w:rPr>
      </w:pPr>
    </w:p>
    <w:p>
      <w:pPr>
        <w:spacing w:line="500" w:lineRule="atLeast"/>
        <w:rPr>
          <w:rFonts w:ascii="宋体" w:hAnsi="宋体"/>
          <w:szCs w:val="21"/>
        </w:rPr>
      </w:pPr>
    </w:p>
    <w:p>
      <w:pPr>
        <w:spacing w:line="500" w:lineRule="atLeast"/>
        <w:rPr>
          <w:rFonts w:ascii="宋体" w:hAnsi="宋体"/>
          <w:szCs w:val="21"/>
        </w:rPr>
      </w:pPr>
      <w:r>
        <w:rPr>
          <w:rFonts w:hint="eastAsia" w:ascii="宋体" w:hAnsi="宋体"/>
          <w:szCs w:val="21"/>
        </w:rPr>
        <w:t xml:space="preserve">                         投 标 人（全称并加盖公章）：</w:t>
      </w:r>
      <w:r>
        <w:rPr>
          <w:rFonts w:hint="eastAsia" w:ascii="宋体" w:hAnsi="宋体"/>
          <w:szCs w:val="21"/>
          <w:u w:val="single"/>
        </w:rPr>
        <w:t xml:space="preserve">                 </w:t>
      </w:r>
      <w:r>
        <w:rPr>
          <w:rFonts w:hint="eastAsia" w:ascii="宋体" w:hAnsi="宋体"/>
          <w:szCs w:val="21"/>
        </w:rPr>
        <w:t xml:space="preserve">     </w:t>
      </w:r>
    </w:p>
    <w:p>
      <w:pPr>
        <w:spacing w:line="500" w:lineRule="atLeast"/>
        <w:rPr>
          <w:rFonts w:ascii="宋体" w:hAnsi="宋体"/>
          <w:szCs w:val="21"/>
        </w:rPr>
      </w:pPr>
      <w:r>
        <w:rPr>
          <w:rFonts w:hint="eastAsia" w:ascii="宋体" w:hAnsi="宋体"/>
          <w:szCs w:val="21"/>
        </w:rPr>
        <w:t xml:space="preserve">                         投标人代表签字：</w:t>
      </w:r>
      <w:r>
        <w:rPr>
          <w:rFonts w:hint="eastAsia" w:ascii="宋体" w:hAnsi="宋体"/>
          <w:szCs w:val="21"/>
          <w:u w:val="single"/>
        </w:rPr>
        <w:t xml:space="preserve">                         </w:t>
      </w:r>
    </w:p>
    <w:p>
      <w:pPr>
        <w:spacing w:line="500" w:lineRule="atLeast"/>
        <w:rPr>
          <w:rFonts w:ascii="宋体" w:hAnsi="宋体"/>
          <w:szCs w:val="21"/>
        </w:rPr>
      </w:pPr>
      <w:r>
        <w:rPr>
          <w:rFonts w:hint="eastAsia" w:ascii="宋体" w:hAnsi="宋体"/>
          <w:szCs w:val="21"/>
        </w:rPr>
        <w:t xml:space="preserve">                         日      期：</w:t>
      </w:r>
      <w:r>
        <w:rPr>
          <w:rFonts w:hint="eastAsia" w:ascii="宋体" w:hAnsi="宋体"/>
          <w:szCs w:val="21"/>
          <w:u w:val="single"/>
        </w:rPr>
        <w:t xml:space="preserve">                                </w:t>
      </w:r>
    </w:p>
    <w:p>
      <w:pPr>
        <w:pStyle w:val="133"/>
        <w:keepNext w:val="0"/>
        <w:keepLines w:val="0"/>
        <w:spacing w:before="0" w:after="0" w:line="500" w:lineRule="atLeast"/>
        <w:jc w:val="both"/>
        <w:outlineLvl w:val="9"/>
        <w:rPr>
          <w:rFonts w:ascii="宋体" w:hAnsi="宋体" w:eastAsia="宋体"/>
          <w:kern w:val="2"/>
          <w:sz w:val="24"/>
        </w:rPr>
      </w:pPr>
    </w:p>
    <w:p>
      <w:pPr>
        <w:tabs>
          <w:tab w:val="left" w:pos="900"/>
          <w:tab w:val="left" w:pos="5166"/>
        </w:tabs>
        <w:spacing w:line="620" w:lineRule="exact"/>
        <w:jc w:val="center"/>
        <w:rPr>
          <w:rFonts w:ascii="宋体" w:hAnsi="宋体"/>
          <w:b/>
          <w:sz w:val="32"/>
          <w:szCs w:val="32"/>
        </w:rPr>
      </w:pPr>
    </w:p>
    <w:p>
      <w:pPr>
        <w:tabs>
          <w:tab w:val="left" w:pos="900"/>
          <w:tab w:val="left" w:pos="5166"/>
        </w:tabs>
        <w:spacing w:line="620" w:lineRule="exact"/>
        <w:jc w:val="center"/>
        <w:rPr>
          <w:rFonts w:ascii="宋体" w:hAnsi="宋体"/>
          <w:b/>
          <w:sz w:val="32"/>
          <w:szCs w:val="32"/>
        </w:rPr>
      </w:pPr>
    </w:p>
    <w:p>
      <w:pPr>
        <w:spacing w:line="380" w:lineRule="atLeast"/>
        <w:rPr>
          <w:rFonts w:ascii="宋体" w:hAnsi="宋体"/>
          <w:b/>
          <w:sz w:val="32"/>
          <w:szCs w:val="32"/>
        </w:rPr>
      </w:pPr>
    </w:p>
    <w:p>
      <w:pPr>
        <w:spacing w:line="500" w:lineRule="atLeast"/>
        <w:jc w:val="center"/>
        <w:rPr>
          <w:rFonts w:ascii="宋体" w:hAnsi="宋体"/>
          <w:b/>
          <w:bCs/>
          <w:sz w:val="36"/>
        </w:rPr>
      </w:pPr>
      <w:bookmarkStart w:id="164" w:name="_Toc15389"/>
      <w:bookmarkStart w:id="165" w:name="_Toc430361095"/>
      <w:r>
        <w:rPr>
          <w:rFonts w:hint="eastAsia" w:ascii="宋体" w:hAnsi="宋体"/>
          <w:b/>
          <w:bCs/>
          <w:sz w:val="36"/>
        </w:rPr>
        <w:t>其他资格证明材料</w:t>
      </w:r>
      <w:bookmarkEnd w:id="164"/>
      <w:bookmarkEnd w:id="165"/>
    </w:p>
    <w:p>
      <w:pPr>
        <w:rPr>
          <w:rFonts w:ascii="宋体" w:hAnsi="宋体"/>
          <w:sz w:val="24"/>
          <w:szCs w:val="24"/>
        </w:rPr>
      </w:pPr>
    </w:p>
    <w:p>
      <w:pPr>
        <w:spacing w:line="500" w:lineRule="atLeast"/>
        <w:jc w:val="center"/>
        <w:rPr>
          <w:rFonts w:ascii="宋体" w:hAnsi="宋体"/>
          <w:sz w:val="24"/>
          <w:szCs w:val="24"/>
        </w:rPr>
      </w:pPr>
    </w:p>
    <w:p>
      <w:pPr>
        <w:spacing w:line="500" w:lineRule="atLeast"/>
        <w:rPr>
          <w:rFonts w:ascii="宋体" w:hAnsi="宋体"/>
          <w:szCs w:val="21"/>
        </w:rPr>
      </w:pPr>
      <w:r>
        <w:rPr>
          <w:rFonts w:hint="eastAsia" w:ascii="宋体" w:hAnsi="宋体"/>
          <w:szCs w:val="21"/>
          <w:u w:val="single"/>
        </w:rPr>
        <w:t xml:space="preserve">福建优胜招标项目管理集团有限公司 </w:t>
      </w:r>
      <w:r>
        <w:rPr>
          <w:rFonts w:hint="eastAsia" w:ascii="宋体" w:hAnsi="宋体"/>
          <w:szCs w:val="21"/>
        </w:rPr>
        <w:t>：</w:t>
      </w:r>
    </w:p>
    <w:p>
      <w:pPr>
        <w:spacing w:line="500" w:lineRule="atLeast"/>
        <w:rPr>
          <w:rFonts w:ascii="宋体" w:hAnsi="宋体"/>
          <w:szCs w:val="21"/>
        </w:rPr>
      </w:pPr>
      <w:r>
        <w:rPr>
          <w:rFonts w:hint="eastAsia" w:ascii="宋体" w:hAnsi="宋体"/>
          <w:szCs w:val="21"/>
        </w:rPr>
        <w:t xml:space="preserve">  现附上：</w:t>
      </w:r>
    </w:p>
    <w:p>
      <w:pPr>
        <w:spacing w:line="420" w:lineRule="exact"/>
        <w:ind w:firstLine="424" w:firstLineChars="202"/>
        <w:rPr>
          <w:rFonts w:ascii="宋体" w:hAnsi="宋体"/>
          <w:szCs w:val="21"/>
        </w:rPr>
      </w:pPr>
      <w:r>
        <w:rPr>
          <w:rFonts w:hint="eastAsia" w:ascii="宋体" w:hAnsi="宋体"/>
          <w:szCs w:val="21"/>
        </w:rPr>
        <w:t>1、财务状况报告；</w:t>
      </w:r>
    </w:p>
    <w:p>
      <w:pPr>
        <w:spacing w:line="420" w:lineRule="exact"/>
        <w:ind w:firstLine="424" w:firstLineChars="202"/>
        <w:rPr>
          <w:rFonts w:ascii="宋体" w:hAnsi="宋体"/>
          <w:szCs w:val="21"/>
        </w:rPr>
      </w:pPr>
      <w:r>
        <w:rPr>
          <w:rFonts w:hint="eastAsia" w:ascii="宋体" w:hAnsi="宋体"/>
          <w:szCs w:val="21"/>
        </w:rPr>
        <w:t>2、依法缴纳税收；</w:t>
      </w:r>
    </w:p>
    <w:p>
      <w:pPr>
        <w:spacing w:line="420" w:lineRule="exact"/>
        <w:ind w:firstLine="424" w:firstLineChars="202"/>
        <w:rPr>
          <w:rFonts w:ascii="宋体" w:hAnsi="宋体"/>
          <w:szCs w:val="21"/>
        </w:rPr>
      </w:pPr>
      <w:r>
        <w:rPr>
          <w:rFonts w:hint="eastAsia" w:ascii="宋体" w:hAnsi="宋体"/>
          <w:szCs w:val="21"/>
        </w:rPr>
        <w:t>3、缴交社保；</w:t>
      </w:r>
    </w:p>
    <w:p>
      <w:pPr>
        <w:spacing w:line="420" w:lineRule="exact"/>
        <w:ind w:firstLine="424" w:firstLineChars="202"/>
        <w:rPr>
          <w:rFonts w:ascii="宋体" w:hAnsi="宋体"/>
          <w:szCs w:val="21"/>
        </w:rPr>
      </w:pPr>
      <w:r>
        <w:rPr>
          <w:rFonts w:hint="eastAsia" w:ascii="宋体" w:hAnsi="宋体"/>
          <w:szCs w:val="21"/>
        </w:rPr>
        <w:t>4、投标人须提供参加招标活动前3年内在经营活动中没有重大违法记录的书面声明（格式自拟）。</w:t>
      </w:r>
    </w:p>
    <w:p>
      <w:pPr>
        <w:spacing w:line="420" w:lineRule="exact"/>
        <w:ind w:firstLine="424" w:firstLineChars="202"/>
        <w:rPr>
          <w:rFonts w:ascii="宋体" w:hAnsi="宋体"/>
          <w:szCs w:val="21"/>
        </w:rPr>
      </w:pPr>
      <w:r>
        <w:rPr>
          <w:rFonts w:hint="eastAsia" w:ascii="宋体" w:hAnsi="宋体"/>
          <w:szCs w:val="21"/>
        </w:rPr>
        <w:t>5、投标人须提供近三年</w:t>
      </w:r>
      <w:r>
        <w:rPr>
          <w:rFonts w:hint="eastAsia" w:ascii="宋体" w:hAnsi="宋体"/>
          <w:b/>
          <w:szCs w:val="21"/>
        </w:rPr>
        <w:t>无行贿犯罪记录声明函（格式自拟）。</w:t>
      </w:r>
    </w:p>
    <w:p>
      <w:pPr>
        <w:spacing w:line="420" w:lineRule="exact"/>
        <w:ind w:firstLine="420" w:firstLineChars="200"/>
        <w:rPr>
          <w:rFonts w:ascii="宋体" w:hAnsi="宋体"/>
          <w:b/>
        </w:rPr>
      </w:pPr>
      <w:r>
        <w:rPr>
          <w:rFonts w:hint="eastAsia" w:ascii="宋体" w:hAnsi="宋体"/>
          <w:szCs w:val="21"/>
        </w:rPr>
        <w:t>6、</w:t>
      </w:r>
      <w:r>
        <w:rPr>
          <w:rFonts w:hint="eastAsia" w:ascii="宋体" w:hAnsi="宋体"/>
          <w:b/>
        </w:rPr>
        <w:t>投标人</w:t>
      </w:r>
      <w:r>
        <w:rPr>
          <w:rFonts w:hint="eastAsia" w:ascii="宋体" w:hAnsi="宋体"/>
          <w:b/>
          <w:szCs w:val="21"/>
        </w:rPr>
        <w:t>（个体工商户、自然人除外）</w:t>
      </w:r>
      <w:r>
        <w:rPr>
          <w:rFonts w:hint="eastAsia" w:ascii="宋体" w:hAnsi="宋体"/>
          <w:b/>
        </w:rPr>
        <w:t>可在招标文件要求的截止时点前分别通过“信用中国”网站（www.creditchina.gov.cn）、中国政府采购网（www.ccgp.gov.cn）查询并打印相应的信用记录，投标人提供的查询结果为其通过上述网站获取的信用信息查询结果原始页面的打印件（或截图）。以招标代理机构在开标结束后两小时内现场分别通过“信用中国”网站（www.creditchina.gov.cn）、中国政府采购网（www.ccgp.gov.cn）查询其上述信用记录为准。查询结果存在投标人在经营活动中有重大违法记录等应被拒绝参与招投标活动相关信息的，其资格审查不合格，以无效标处理。</w:t>
      </w:r>
    </w:p>
    <w:p>
      <w:pPr>
        <w:spacing w:line="400" w:lineRule="exact"/>
        <w:ind w:firstLine="422" w:firstLineChars="200"/>
        <w:rPr>
          <w:rFonts w:ascii="宋体" w:hAnsi="宋体"/>
          <w:szCs w:val="21"/>
        </w:rPr>
      </w:pPr>
      <w:r>
        <w:rPr>
          <w:rFonts w:ascii="宋体" w:hAnsi="宋体"/>
          <w:b/>
          <w:szCs w:val="21"/>
        </w:rPr>
        <w:t>注：上述资料中，属复印件的均应加盖投标人公章，并在投标时由投标人代表携带相关复印件的原件</w:t>
      </w:r>
      <w:r>
        <w:rPr>
          <w:rFonts w:hint="eastAsia" w:ascii="宋体" w:hAnsi="宋体"/>
          <w:b/>
          <w:szCs w:val="21"/>
        </w:rPr>
        <w:t>（相关身份证原件除外）</w:t>
      </w:r>
      <w:r>
        <w:rPr>
          <w:rFonts w:ascii="宋体" w:hAnsi="宋体"/>
          <w:b/>
          <w:szCs w:val="21"/>
        </w:rPr>
        <w:t>备查。</w:t>
      </w:r>
    </w:p>
    <w:p>
      <w:pPr>
        <w:rPr>
          <w:rFonts w:ascii="宋体" w:hAnsi="宋体"/>
          <w:szCs w:val="21"/>
        </w:rPr>
      </w:pPr>
    </w:p>
    <w:p>
      <w:pPr>
        <w:spacing w:line="500" w:lineRule="atLeast"/>
        <w:jc w:val="center"/>
        <w:rPr>
          <w:rFonts w:ascii="宋体" w:hAnsi="宋体"/>
          <w:b/>
          <w:bCs/>
          <w:sz w:val="24"/>
          <w:szCs w:val="24"/>
        </w:rPr>
      </w:pPr>
    </w:p>
    <w:p>
      <w:pPr>
        <w:spacing w:line="500" w:lineRule="atLeast"/>
        <w:jc w:val="center"/>
        <w:rPr>
          <w:rFonts w:ascii="宋体" w:hAnsi="宋体"/>
          <w:b/>
          <w:bCs/>
          <w:sz w:val="24"/>
          <w:szCs w:val="24"/>
        </w:rPr>
      </w:pPr>
    </w:p>
    <w:p>
      <w:pPr>
        <w:spacing w:line="500" w:lineRule="atLeast"/>
        <w:rPr>
          <w:rFonts w:ascii="宋体" w:hAnsi="宋体"/>
          <w:b/>
          <w:bCs/>
          <w:sz w:val="24"/>
          <w:szCs w:val="24"/>
        </w:rPr>
      </w:pPr>
    </w:p>
    <w:p>
      <w:pPr>
        <w:spacing w:line="500" w:lineRule="atLeast"/>
        <w:rPr>
          <w:rFonts w:ascii="宋体" w:hAnsi="宋体"/>
          <w:b/>
          <w:bCs/>
          <w:sz w:val="24"/>
          <w:szCs w:val="24"/>
        </w:rPr>
      </w:pPr>
    </w:p>
    <w:p>
      <w:pPr>
        <w:spacing w:line="500" w:lineRule="atLeast"/>
        <w:rPr>
          <w:rFonts w:ascii="宋体" w:hAnsi="宋体"/>
          <w:b/>
          <w:bCs/>
          <w:sz w:val="24"/>
          <w:szCs w:val="24"/>
        </w:rPr>
      </w:pPr>
    </w:p>
    <w:p>
      <w:pPr>
        <w:spacing w:line="500" w:lineRule="atLeast"/>
        <w:rPr>
          <w:rFonts w:ascii="宋体" w:hAnsi="宋体"/>
          <w:b/>
          <w:bCs/>
          <w:sz w:val="24"/>
          <w:szCs w:val="24"/>
        </w:rPr>
      </w:pPr>
    </w:p>
    <w:p>
      <w:pPr>
        <w:spacing w:line="500" w:lineRule="atLeast"/>
        <w:jc w:val="center"/>
        <w:rPr>
          <w:rFonts w:ascii="宋体" w:hAnsi="宋体"/>
          <w:b/>
          <w:bCs/>
          <w:sz w:val="36"/>
        </w:rPr>
      </w:pPr>
    </w:p>
    <w:p>
      <w:pPr>
        <w:spacing w:line="500" w:lineRule="atLeast"/>
        <w:jc w:val="center"/>
        <w:rPr>
          <w:rFonts w:ascii="宋体" w:hAnsi="宋体"/>
          <w:b/>
          <w:bCs/>
          <w:sz w:val="36"/>
        </w:rPr>
      </w:pPr>
    </w:p>
    <w:p>
      <w:pPr>
        <w:spacing w:line="500" w:lineRule="atLeast"/>
        <w:jc w:val="center"/>
        <w:rPr>
          <w:rFonts w:ascii="宋体" w:hAnsi="宋体"/>
          <w:b/>
          <w:bCs/>
          <w:sz w:val="36"/>
        </w:rPr>
      </w:pPr>
    </w:p>
    <w:p>
      <w:pPr>
        <w:spacing w:line="500" w:lineRule="atLeast"/>
        <w:jc w:val="center"/>
        <w:rPr>
          <w:rFonts w:ascii="宋体" w:hAnsi="宋体"/>
          <w:b/>
          <w:bCs/>
          <w:sz w:val="36"/>
        </w:rPr>
      </w:pPr>
    </w:p>
    <w:p>
      <w:pPr>
        <w:spacing w:line="500" w:lineRule="atLeast"/>
        <w:jc w:val="center"/>
        <w:rPr>
          <w:rFonts w:ascii="宋体" w:hAnsi="宋体"/>
          <w:b/>
          <w:bCs/>
          <w:sz w:val="36"/>
        </w:rPr>
      </w:pPr>
    </w:p>
    <w:p>
      <w:pPr>
        <w:spacing w:line="500" w:lineRule="atLeast"/>
        <w:jc w:val="center"/>
        <w:rPr>
          <w:rFonts w:ascii="宋体" w:hAnsi="宋体"/>
          <w:b/>
          <w:bCs/>
          <w:sz w:val="36"/>
        </w:rPr>
      </w:pPr>
      <w:r>
        <w:rPr>
          <w:rFonts w:ascii="宋体" w:hAnsi="宋体"/>
          <w:b/>
          <w:bCs/>
          <w:sz w:val="36"/>
        </w:rPr>
        <w:br w:type="page"/>
      </w:r>
      <w:r>
        <w:rPr>
          <w:rFonts w:hint="eastAsia" w:ascii="宋体" w:hAnsi="宋体"/>
          <w:b/>
          <w:bCs/>
          <w:sz w:val="36"/>
        </w:rPr>
        <w:t>声 明 函</w:t>
      </w:r>
    </w:p>
    <w:p>
      <w:pPr>
        <w:tabs>
          <w:tab w:val="left" w:pos="900"/>
        </w:tabs>
        <w:spacing w:line="620" w:lineRule="exact"/>
        <w:jc w:val="center"/>
        <w:rPr>
          <w:rFonts w:ascii="宋体" w:hAnsi="宋体"/>
          <w:b/>
          <w:szCs w:val="21"/>
        </w:rPr>
      </w:pPr>
    </w:p>
    <w:p>
      <w:pPr>
        <w:tabs>
          <w:tab w:val="left" w:pos="5355"/>
        </w:tabs>
        <w:spacing w:line="500" w:lineRule="atLeast"/>
        <w:rPr>
          <w:rFonts w:ascii="宋体" w:hAnsi="宋体"/>
          <w:b/>
          <w:szCs w:val="21"/>
        </w:rPr>
      </w:pPr>
      <w:r>
        <w:rPr>
          <w:rFonts w:hint="eastAsia" w:ascii="宋体" w:hAnsi="宋体"/>
          <w:b/>
          <w:szCs w:val="21"/>
        </w:rPr>
        <w:t>致：福建优胜招标项目管理集团有限公司</w:t>
      </w:r>
    </w:p>
    <w:p>
      <w:pPr>
        <w:spacing w:line="480" w:lineRule="exact"/>
        <w:ind w:firstLine="359" w:firstLineChars="171"/>
        <w:rPr>
          <w:rFonts w:ascii="宋体" w:hAnsi="宋体"/>
          <w:szCs w:val="21"/>
        </w:rPr>
      </w:pPr>
      <w:r>
        <w:rPr>
          <w:rFonts w:hint="eastAsia" w:ascii="宋体" w:hAnsi="宋体"/>
          <w:szCs w:val="21"/>
        </w:rPr>
        <w:t>我们在贵公司组织的</w:t>
      </w:r>
      <w:r>
        <w:rPr>
          <w:rFonts w:hint="eastAsia" w:ascii="宋体" w:hAnsi="宋体"/>
          <w:szCs w:val="21"/>
          <w:u w:val="single"/>
        </w:rPr>
        <w:t xml:space="preserve">                      </w:t>
      </w:r>
      <w:r>
        <w:rPr>
          <w:rFonts w:hint="eastAsia" w:ascii="宋体" w:hAnsi="宋体"/>
          <w:szCs w:val="21"/>
        </w:rPr>
        <w:t>项目招标中提交投标文件（招标项目编号：</w:t>
      </w:r>
      <w:r>
        <w:rPr>
          <w:rFonts w:hint="eastAsia" w:ascii="宋体" w:hAnsi="宋体"/>
          <w:szCs w:val="21"/>
          <w:u w:val="single"/>
        </w:rPr>
        <w:t xml:space="preserve">         </w:t>
      </w:r>
      <w:r>
        <w:rPr>
          <w:rFonts w:hint="eastAsia" w:ascii="宋体" w:hAnsi="宋体"/>
          <w:szCs w:val="21"/>
        </w:rPr>
        <w:t>），现做如下声明：</w:t>
      </w:r>
    </w:p>
    <w:p>
      <w:pPr>
        <w:spacing w:line="480" w:lineRule="exact"/>
        <w:ind w:firstLine="359" w:firstLineChars="171"/>
        <w:rPr>
          <w:rFonts w:ascii="宋体" w:hAnsi="宋体"/>
          <w:szCs w:val="21"/>
        </w:rPr>
      </w:pPr>
    </w:p>
    <w:p>
      <w:pPr>
        <w:tabs>
          <w:tab w:val="left" w:pos="5355"/>
        </w:tabs>
        <w:spacing w:line="500" w:lineRule="atLeast"/>
        <w:ind w:firstLine="480"/>
        <w:rPr>
          <w:rFonts w:ascii="宋体" w:hAnsi="宋体"/>
          <w:szCs w:val="21"/>
        </w:rPr>
      </w:pPr>
      <w:r>
        <w:rPr>
          <w:rFonts w:hint="eastAsia" w:ascii="宋体" w:hAnsi="宋体"/>
          <w:szCs w:val="21"/>
        </w:rPr>
        <w:t>1、在此次招标活动中我公司未主动或被动地与具有《公开招标文件》中列明的关联关系的其他投标人共谋参与围标。我司承诺如果在整个招投标过程中如果发现与其他投标人存在下述关联关系，投标无效；如果中标，我司愿意无条件放弃中标资格，并接受招标人、招标代理公司或评标委员会依据有关法律法规、规章和招标文件相关规定进行的任何处理。</w:t>
      </w:r>
    </w:p>
    <w:p>
      <w:pPr>
        <w:tabs>
          <w:tab w:val="left" w:pos="5355"/>
        </w:tabs>
        <w:spacing w:line="500" w:lineRule="atLeast"/>
        <w:ind w:firstLine="480"/>
        <w:rPr>
          <w:rFonts w:ascii="宋体" w:hAnsi="宋体"/>
          <w:szCs w:val="21"/>
        </w:rPr>
      </w:pPr>
      <w:r>
        <w:rPr>
          <w:rFonts w:hint="eastAsia" w:ascii="宋体" w:hAnsi="宋体"/>
          <w:szCs w:val="21"/>
        </w:rPr>
        <w:t>投标人之间存在下列互为关联关系的情形：</w:t>
      </w:r>
    </w:p>
    <w:p>
      <w:pPr>
        <w:spacing w:line="480" w:lineRule="exact"/>
        <w:ind w:left="386" w:hanging="386" w:hangingChars="184"/>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）法定代表人为同一人的两个及两个以上法人；</w:t>
      </w:r>
    </w:p>
    <w:p>
      <w:pPr>
        <w:spacing w:line="480" w:lineRule="exact"/>
        <w:ind w:left="386" w:hanging="386" w:hangingChars="184"/>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）母公司与绝对控股子单位；</w:t>
      </w:r>
    </w:p>
    <w:p>
      <w:pPr>
        <w:spacing w:line="480" w:lineRule="exact"/>
        <w:ind w:left="386" w:hanging="386" w:hangingChars="184"/>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）均为同一法人或自然人直接或间接持股</w:t>
      </w:r>
      <w:r>
        <w:rPr>
          <w:rFonts w:ascii="宋体" w:hAnsi="宋体"/>
          <w:szCs w:val="21"/>
        </w:rPr>
        <w:t>50%</w:t>
      </w:r>
      <w:r>
        <w:rPr>
          <w:rFonts w:hint="eastAsia" w:ascii="宋体" w:hAnsi="宋体"/>
          <w:szCs w:val="21"/>
        </w:rPr>
        <w:t>及以上的被投资公司。</w:t>
      </w:r>
    </w:p>
    <w:p>
      <w:pPr>
        <w:tabs>
          <w:tab w:val="left" w:pos="5355"/>
        </w:tabs>
        <w:spacing w:line="500" w:lineRule="atLeast"/>
        <w:ind w:firstLine="480"/>
        <w:rPr>
          <w:rFonts w:ascii="宋体" w:hAnsi="宋体"/>
          <w:szCs w:val="21"/>
        </w:rPr>
      </w:pPr>
      <w:r>
        <w:rPr>
          <w:rFonts w:hint="eastAsia" w:ascii="宋体" w:hAnsi="宋体"/>
          <w:szCs w:val="21"/>
        </w:rPr>
        <w:t>3、我公司与本次招标项目设计、编制技术规格和其它文件的公司或提供咨询服务的公司包括其附属机构未有任何关联关系。</w:t>
      </w:r>
    </w:p>
    <w:p>
      <w:pPr>
        <w:tabs>
          <w:tab w:val="left" w:pos="5355"/>
        </w:tabs>
        <w:spacing w:line="360" w:lineRule="auto"/>
        <w:ind w:firstLine="482"/>
        <w:rPr>
          <w:rFonts w:ascii="宋体" w:hAnsi="宋体"/>
          <w:szCs w:val="21"/>
        </w:rPr>
      </w:pPr>
      <w:r>
        <w:rPr>
          <w:rFonts w:hint="eastAsia" w:ascii="宋体" w:hAnsi="宋体"/>
          <w:szCs w:val="21"/>
        </w:rPr>
        <w:t>4、具备履行合同所必需的设备和专业技术能力。</w:t>
      </w:r>
    </w:p>
    <w:p>
      <w:pPr>
        <w:tabs>
          <w:tab w:val="left" w:pos="5355"/>
        </w:tabs>
        <w:spacing w:line="360" w:lineRule="auto"/>
        <w:ind w:firstLine="482"/>
        <w:rPr>
          <w:rFonts w:ascii="宋体" w:hAnsi="宋体"/>
          <w:szCs w:val="21"/>
        </w:rPr>
      </w:pPr>
    </w:p>
    <w:p>
      <w:pPr>
        <w:tabs>
          <w:tab w:val="left" w:pos="5355"/>
        </w:tabs>
        <w:spacing w:line="500" w:lineRule="atLeast"/>
        <w:ind w:firstLine="480"/>
        <w:rPr>
          <w:rFonts w:ascii="宋体" w:hAnsi="宋体"/>
          <w:szCs w:val="21"/>
        </w:rPr>
      </w:pPr>
      <w:r>
        <w:rPr>
          <w:rFonts w:hint="eastAsia" w:ascii="宋体" w:hAnsi="宋体"/>
          <w:szCs w:val="21"/>
        </w:rPr>
        <w:t>特此声明！</w:t>
      </w:r>
    </w:p>
    <w:p>
      <w:pPr>
        <w:tabs>
          <w:tab w:val="left" w:pos="5355"/>
        </w:tabs>
        <w:spacing w:line="500" w:lineRule="atLeast"/>
        <w:ind w:firstLine="480"/>
        <w:rPr>
          <w:rFonts w:ascii="宋体" w:hAnsi="宋体"/>
          <w:szCs w:val="21"/>
        </w:rPr>
      </w:pPr>
    </w:p>
    <w:p>
      <w:pPr>
        <w:tabs>
          <w:tab w:val="left" w:pos="5355"/>
        </w:tabs>
        <w:spacing w:line="500" w:lineRule="atLeast"/>
        <w:ind w:firstLine="480"/>
        <w:rPr>
          <w:rFonts w:ascii="宋体" w:hAnsi="宋体"/>
          <w:szCs w:val="21"/>
        </w:rPr>
      </w:pPr>
    </w:p>
    <w:p>
      <w:pPr>
        <w:tabs>
          <w:tab w:val="left" w:pos="5355"/>
        </w:tabs>
        <w:spacing w:line="500" w:lineRule="exact"/>
        <w:rPr>
          <w:rFonts w:ascii="宋体" w:hAnsi="宋体"/>
          <w:kern w:val="0"/>
          <w:szCs w:val="21"/>
          <w:u w:val="single"/>
        </w:rPr>
      </w:pPr>
      <w:r>
        <w:rPr>
          <w:rFonts w:hint="eastAsia" w:ascii="宋体" w:hAnsi="宋体"/>
          <w:kern w:val="0"/>
          <w:szCs w:val="21"/>
        </w:rPr>
        <w:t>投标人：（全称并加盖公章</w:t>
      </w:r>
      <w:r>
        <w:rPr>
          <w:rFonts w:ascii="宋体" w:hAnsi="宋体"/>
          <w:kern w:val="0"/>
          <w:szCs w:val="21"/>
        </w:rPr>
        <w:t xml:space="preserve"> </w:t>
      </w:r>
      <w:r>
        <w:rPr>
          <w:rFonts w:hint="eastAsia" w:ascii="宋体" w:hAnsi="宋体"/>
          <w:kern w:val="0"/>
          <w:szCs w:val="21"/>
        </w:rPr>
        <w:t>）</w:t>
      </w:r>
      <w:r>
        <w:rPr>
          <w:rFonts w:hint="eastAsia" w:ascii="宋体" w:hAnsi="宋体"/>
          <w:kern w:val="0"/>
          <w:szCs w:val="21"/>
          <w:u w:val="single"/>
        </w:rPr>
        <w:t xml:space="preserve">                                                </w:t>
      </w:r>
    </w:p>
    <w:p>
      <w:pPr>
        <w:tabs>
          <w:tab w:val="left" w:pos="5355"/>
        </w:tabs>
        <w:spacing w:line="500" w:lineRule="exact"/>
        <w:rPr>
          <w:rFonts w:ascii="宋体" w:hAnsi="宋体"/>
          <w:kern w:val="0"/>
          <w:szCs w:val="21"/>
          <w:u w:val="single"/>
        </w:rPr>
      </w:pPr>
      <w:r>
        <w:rPr>
          <w:rFonts w:hint="eastAsia" w:ascii="宋体" w:hAnsi="宋体"/>
          <w:kern w:val="0"/>
          <w:szCs w:val="21"/>
        </w:rPr>
        <w:t>地址：</w:t>
      </w:r>
      <w:r>
        <w:rPr>
          <w:rFonts w:hint="eastAsia" w:ascii="宋体" w:hAnsi="宋体"/>
          <w:kern w:val="0"/>
          <w:szCs w:val="21"/>
          <w:u w:val="single"/>
        </w:rPr>
        <w:t xml:space="preserve">                                      </w:t>
      </w:r>
      <w:r>
        <w:rPr>
          <w:rFonts w:hint="eastAsia" w:ascii="宋体" w:hAnsi="宋体"/>
          <w:kern w:val="0"/>
          <w:szCs w:val="21"/>
        </w:rPr>
        <w:t>邮编：</w:t>
      </w:r>
      <w:r>
        <w:rPr>
          <w:rFonts w:hint="eastAsia" w:ascii="宋体" w:hAnsi="宋体"/>
          <w:kern w:val="0"/>
          <w:szCs w:val="21"/>
          <w:u w:val="single"/>
        </w:rPr>
        <w:t xml:space="preserve">                       </w:t>
      </w:r>
    </w:p>
    <w:p>
      <w:pPr>
        <w:tabs>
          <w:tab w:val="left" w:pos="5355"/>
        </w:tabs>
        <w:spacing w:line="500" w:lineRule="exact"/>
        <w:rPr>
          <w:rFonts w:ascii="宋体" w:hAnsi="宋体"/>
          <w:kern w:val="0"/>
          <w:szCs w:val="21"/>
          <w:u w:val="single"/>
        </w:rPr>
      </w:pPr>
      <w:r>
        <w:rPr>
          <w:rFonts w:hint="eastAsia" w:ascii="宋体" w:hAnsi="宋体"/>
          <w:kern w:val="0"/>
          <w:szCs w:val="21"/>
        </w:rPr>
        <w:t>电话：</w:t>
      </w:r>
      <w:r>
        <w:rPr>
          <w:rFonts w:hint="eastAsia" w:ascii="宋体" w:hAnsi="宋体"/>
          <w:kern w:val="0"/>
          <w:szCs w:val="21"/>
          <w:u w:val="single"/>
        </w:rPr>
        <w:t xml:space="preserve">                                      </w:t>
      </w:r>
      <w:r>
        <w:rPr>
          <w:rFonts w:hint="eastAsia" w:ascii="宋体" w:hAnsi="宋体"/>
          <w:kern w:val="0"/>
          <w:szCs w:val="21"/>
        </w:rPr>
        <w:t>传真：</w:t>
      </w:r>
      <w:r>
        <w:rPr>
          <w:rFonts w:hint="eastAsia" w:ascii="宋体" w:hAnsi="宋体"/>
          <w:kern w:val="0"/>
          <w:szCs w:val="21"/>
          <w:u w:val="single"/>
        </w:rPr>
        <w:t xml:space="preserve">                        </w:t>
      </w:r>
    </w:p>
    <w:p>
      <w:pPr>
        <w:tabs>
          <w:tab w:val="left" w:pos="8859"/>
        </w:tabs>
        <w:spacing w:line="500" w:lineRule="exact"/>
        <w:rPr>
          <w:rFonts w:ascii="宋体" w:hAnsi="宋体"/>
          <w:kern w:val="0"/>
          <w:szCs w:val="21"/>
          <w:u w:val="single"/>
        </w:rPr>
      </w:pPr>
      <w:r>
        <w:rPr>
          <w:rFonts w:hint="eastAsia" w:ascii="宋体" w:hAnsi="宋体"/>
          <w:kern w:val="0"/>
          <w:szCs w:val="21"/>
        </w:rPr>
        <w:t>投标人代表（签字）：</w:t>
      </w:r>
      <w:r>
        <w:rPr>
          <w:rFonts w:hint="eastAsia" w:ascii="宋体" w:hAnsi="宋体"/>
          <w:kern w:val="0"/>
          <w:szCs w:val="21"/>
          <w:u w:val="single"/>
        </w:rPr>
        <w:t xml:space="preserve">                       </w:t>
      </w:r>
      <w:r>
        <w:rPr>
          <w:rFonts w:hint="eastAsia" w:ascii="宋体" w:hAnsi="宋体"/>
          <w:kern w:val="0"/>
          <w:szCs w:val="21"/>
        </w:rPr>
        <w:t xml:space="preserve"> 日期：</w:t>
      </w:r>
      <w:r>
        <w:rPr>
          <w:rFonts w:ascii="宋体" w:hAnsi="宋体"/>
          <w:kern w:val="0"/>
          <w:szCs w:val="21"/>
          <w:u w:val="single"/>
        </w:rPr>
        <w:t xml:space="preserve">                        </w:t>
      </w:r>
    </w:p>
    <w:p>
      <w:pPr>
        <w:spacing w:line="500" w:lineRule="atLeast"/>
        <w:rPr>
          <w:rFonts w:ascii="宋体" w:hAnsi="宋体"/>
          <w:b/>
          <w:szCs w:val="21"/>
        </w:rPr>
      </w:pPr>
    </w:p>
    <w:p>
      <w:pPr>
        <w:spacing w:line="500" w:lineRule="atLeast"/>
        <w:ind w:firstLine="723" w:firstLineChars="200"/>
        <w:jc w:val="center"/>
        <w:rPr>
          <w:rFonts w:ascii="宋体" w:hAnsi="宋体"/>
          <w:b/>
          <w:bCs/>
          <w:sz w:val="36"/>
        </w:rPr>
      </w:pPr>
      <w:bookmarkStart w:id="166" w:name="_Toc430361098"/>
      <w:bookmarkStart w:id="167" w:name="_Toc10560"/>
    </w:p>
    <w:p>
      <w:pPr>
        <w:spacing w:line="500" w:lineRule="atLeast"/>
        <w:rPr>
          <w:rFonts w:ascii="宋体" w:hAnsi="宋体"/>
          <w:b/>
          <w:bCs/>
          <w:sz w:val="36"/>
        </w:rPr>
      </w:pPr>
    </w:p>
    <w:p>
      <w:pPr>
        <w:spacing w:line="500" w:lineRule="atLeast"/>
        <w:jc w:val="center"/>
        <w:rPr>
          <w:rFonts w:ascii="宋体" w:hAnsi="宋体"/>
          <w:b/>
          <w:bCs/>
          <w:sz w:val="36"/>
        </w:rPr>
      </w:pPr>
    </w:p>
    <w:p>
      <w:pPr>
        <w:spacing w:line="500" w:lineRule="atLeast"/>
        <w:jc w:val="center"/>
        <w:rPr>
          <w:rFonts w:ascii="宋体" w:hAnsi="宋体"/>
          <w:b/>
          <w:bCs/>
          <w:sz w:val="36"/>
        </w:rPr>
      </w:pPr>
      <w:r>
        <w:rPr>
          <w:rFonts w:hint="eastAsia" w:ascii="宋体" w:hAnsi="宋体"/>
          <w:b/>
          <w:bCs/>
          <w:sz w:val="36"/>
        </w:rPr>
        <w:t>投标人提交的其它资料</w:t>
      </w:r>
      <w:bookmarkEnd w:id="166"/>
      <w:bookmarkEnd w:id="167"/>
    </w:p>
    <w:p>
      <w:pPr>
        <w:spacing w:line="500" w:lineRule="atLeast"/>
        <w:jc w:val="center"/>
        <w:rPr>
          <w:rFonts w:ascii="宋体" w:hAnsi="宋体"/>
          <w:b/>
          <w:bCs/>
          <w:sz w:val="36"/>
        </w:rPr>
      </w:pPr>
      <w:r>
        <w:rPr>
          <w:rFonts w:ascii="宋体" w:hAnsi="宋体"/>
          <w:b/>
          <w:bCs/>
          <w:sz w:val="36"/>
        </w:rPr>
        <w:t xml:space="preserve"> </w:t>
      </w:r>
      <w:r>
        <w:rPr>
          <w:rFonts w:hint="eastAsia" w:ascii="宋体" w:hAnsi="宋体"/>
          <w:b/>
          <w:bCs/>
          <w:sz w:val="36"/>
        </w:rPr>
        <w:t xml:space="preserve">  </w:t>
      </w:r>
    </w:p>
    <w:p>
      <w:pPr>
        <w:spacing w:line="360" w:lineRule="auto"/>
        <w:ind w:firstLine="480"/>
        <w:rPr>
          <w:rFonts w:ascii="宋体"/>
          <w:b/>
          <w:szCs w:val="21"/>
        </w:rPr>
      </w:pPr>
      <w:r>
        <w:rPr>
          <w:rFonts w:hint="eastAsia" w:ascii="宋体"/>
          <w:b/>
          <w:szCs w:val="21"/>
        </w:rPr>
        <w:t>编制说明：</w:t>
      </w:r>
    </w:p>
    <w:p>
      <w:pPr>
        <w:spacing w:line="360" w:lineRule="auto"/>
        <w:ind w:firstLine="480"/>
        <w:rPr>
          <w:rFonts w:ascii="宋体"/>
          <w:szCs w:val="21"/>
        </w:rPr>
      </w:pPr>
    </w:p>
    <w:p>
      <w:pPr>
        <w:spacing w:line="440" w:lineRule="exact"/>
        <w:rPr>
          <w:rFonts w:ascii="宋体" w:hAnsi="宋体"/>
          <w:szCs w:val="21"/>
        </w:rPr>
      </w:pPr>
      <w:r>
        <w:rPr>
          <w:rFonts w:hint="eastAsia" w:ascii="宋体" w:hAnsi="宋体"/>
          <w:szCs w:val="21"/>
        </w:rPr>
        <w:t>1、公开招标文件要求提供的其它资格证明文件、资料等。</w:t>
      </w:r>
    </w:p>
    <w:p>
      <w:pPr>
        <w:widowControl/>
        <w:tabs>
          <w:tab w:val="left" w:pos="0"/>
        </w:tabs>
        <w:spacing w:line="460" w:lineRule="exact"/>
        <w:rPr>
          <w:rFonts w:ascii="宋体" w:hAnsi="宋体"/>
          <w:szCs w:val="21"/>
        </w:rPr>
      </w:pPr>
      <w:r>
        <w:rPr>
          <w:rFonts w:hint="eastAsia" w:ascii="宋体" w:hAnsi="宋体"/>
          <w:szCs w:val="21"/>
        </w:rPr>
        <w:t>2、根据公开招标文件要求，投标人认为应提交的其他材料（包括如业绩合同证明材料等）,或能体现自身优势的材料， 可在此附件中提交。</w:t>
      </w:r>
    </w:p>
    <w:p>
      <w:pPr>
        <w:spacing w:line="360" w:lineRule="auto"/>
        <w:ind w:left="120"/>
        <w:rPr>
          <w:rFonts w:ascii="宋体" w:hAnsi="宋体"/>
          <w:szCs w:val="21"/>
        </w:rPr>
      </w:pPr>
    </w:p>
    <w:p>
      <w:pPr>
        <w:spacing w:line="360" w:lineRule="auto"/>
        <w:ind w:left="120"/>
        <w:rPr>
          <w:rFonts w:ascii="宋体" w:hAnsi="宋体"/>
          <w:szCs w:val="21"/>
        </w:rPr>
      </w:pPr>
    </w:p>
    <w:p>
      <w:pPr>
        <w:spacing w:line="360" w:lineRule="auto"/>
        <w:jc w:val="center"/>
        <w:rPr>
          <w:rFonts w:ascii="宋体" w:hAnsi="宋体"/>
          <w:b/>
          <w:szCs w:val="21"/>
        </w:rPr>
      </w:pPr>
    </w:p>
    <w:p>
      <w:pPr>
        <w:spacing w:line="360" w:lineRule="auto"/>
        <w:rPr>
          <w:rFonts w:ascii="宋体" w:hAnsi="宋体"/>
          <w:szCs w:val="21"/>
        </w:rPr>
      </w:pPr>
      <w:r>
        <w:rPr>
          <w:rFonts w:hint="eastAsia" w:ascii="宋体" w:hAnsi="宋体"/>
          <w:szCs w:val="21"/>
        </w:rPr>
        <w:t xml:space="preserve">                         投 标 人（全称并加盖公章）：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投标人代表签字：</w:t>
      </w:r>
      <w:r>
        <w:rPr>
          <w:rFonts w:hint="eastAsia" w:ascii="宋体" w:hAnsi="宋体"/>
          <w:szCs w:val="21"/>
          <w:u w:val="single"/>
        </w:rPr>
        <w:t xml:space="preserve">                         </w:t>
      </w:r>
    </w:p>
    <w:p>
      <w:pPr>
        <w:spacing w:line="360" w:lineRule="auto"/>
        <w:ind w:firstLine="2520" w:firstLineChars="1200"/>
        <w:rPr>
          <w:szCs w:val="21"/>
        </w:rPr>
      </w:pPr>
      <w:r>
        <w:rPr>
          <w:rFonts w:hint="eastAsia"/>
          <w:szCs w:val="21"/>
        </w:rPr>
        <w:t xml:space="preserve">     日      期：                             </w:t>
      </w: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500" w:lineRule="atLeast"/>
        <w:jc w:val="center"/>
        <w:rPr>
          <w:rFonts w:ascii="宋体" w:hAnsi="宋体" w:cs="宋体"/>
        </w:rPr>
      </w:pPr>
      <w:r>
        <w:rPr>
          <w:rFonts w:ascii="宋体" w:hAnsi="宋体" w:cs="宋体"/>
          <w:b/>
          <w:sz w:val="36"/>
          <w:szCs w:val="24"/>
        </w:rPr>
        <w:br w:type="page"/>
      </w:r>
      <w:r>
        <w:rPr>
          <w:rFonts w:hint="eastAsia" w:ascii="宋体" w:hAnsi="宋体" w:cs="宋体"/>
          <w:b/>
          <w:sz w:val="36"/>
          <w:szCs w:val="24"/>
        </w:rPr>
        <w:t>招标服务费承诺书</w:t>
      </w:r>
    </w:p>
    <w:p>
      <w:pPr>
        <w:pStyle w:val="32"/>
        <w:widowControl w:val="0"/>
        <w:spacing w:before="0" w:beforeAutospacing="0" w:after="0" w:afterAutospacing="0" w:line="500" w:lineRule="atLeast"/>
        <w:ind w:firstLine="720"/>
        <w:jc w:val="center"/>
        <w:outlineLvl w:val="0"/>
        <w:rPr>
          <w:sz w:val="36"/>
          <w:szCs w:val="20"/>
        </w:rPr>
      </w:pPr>
    </w:p>
    <w:p>
      <w:pPr>
        <w:pStyle w:val="32"/>
        <w:widowControl w:val="0"/>
        <w:spacing w:before="0" w:beforeAutospacing="0" w:after="0" w:afterAutospacing="0" w:line="500" w:lineRule="atLeast"/>
        <w:ind w:firstLine="720"/>
        <w:jc w:val="center"/>
        <w:outlineLvl w:val="0"/>
        <w:rPr>
          <w:sz w:val="21"/>
          <w:szCs w:val="21"/>
        </w:rPr>
      </w:pPr>
      <w:r>
        <w:rPr>
          <w:rFonts w:hint="eastAsia"/>
          <w:kern w:val="2"/>
          <w:sz w:val="21"/>
          <w:szCs w:val="21"/>
        </w:rPr>
        <w:t xml:space="preserve">                                </w:t>
      </w:r>
    </w:p>
    <w:p>
      <w:pPr>
        <w:spacing w:line="500" w:lineRule="atLeast"/>
        <w:rPr>
          <w:rFonts w:ascii="宋体" w:hAnsi="宋体" w:cs="宋体"/>
          <w:szCs w:val="21"/>
        </w:rPr>
      </w:pPr>
      <w:r>
        <w:rPr>
          <w:rFonts w:hint="eastAsia" w:ascii="宋体" w:hAnsi="宋体" w:cs="宋体"/>
          <w:szCs w:val="21"/>
        </w:rPr>
        <w:t>致：</w:t>
      </w:r>
      <w:r>
        <w:rPr>
          <w:rFonts w:hint="eastAsia" w:ascii="宋体" w:hAnsi="宋体" w:cs="宋体"/>
          <w:szCs w:val="21"/>
          <w:u w:val="single"/>
        </w:rPr>
        <w:t>福建优胜招标项目管理集团有限公司</w:t>
      </w:r>
      <w:r>
        <w:rPr>
          <w:rFonts w:hint="eastAsia" w:ascii="宋体" w:hAnsi="宋体" w:cs="宋体"/>
          <w:szCs w:val="21"/>
        </w:rPr>
        <w:t xml:space="preserve"> </w:t>
      </w:r>
    </w:p>
    <w:p>
      <w:pPr>
        <w:spacing w:line="500" w:lineRule="atLeast"/>
        <w:rPr>
          <w:rFonts w:ascii="宋体" w:hAnsi="宋体" w:cs="宋体"/>
          <w:szCs w:val="21"/>
        </w:rPr>
      </w:pPr>
      <w:r>
        <w:rPr>
          <w:rFonts w:hint="eastAsia" w:ascii="宋体" w:hAnsi="宋体" w:cs="宋体"/>
          <w:szCs w:val="21"/>
        </w:rPr>
        <w:t xml:space="preserve">  </w:t>
      </w:r>
    </w:p>
    <w:p>
      <w:pPr>
        <w:spacing w:line="500" w:lineRule="atLeast"/>
        <w:ind w:firstLine="420" w:firstLineChars="200"/>
        <w:rPr>
          <w:rFonts w:ascii="宋体" w:hAnsi="宋体" w:cs="宋体"/>
          <w:szCs w:val="21"/>
        </w:rPr>
      </w:pPr>
      <w:r>
        <w:rPr>
          <w:rFonts w:hint="eastAsia" w:ascii="宋体" w:hAnsi="宋体" w:cs="宋体"/>
          <w:szCs w:val="21"/>
        </w:rPr>
        <w:t>我们在贵公司组织的</w:t>
      </w:r>
      <w:r>
        <w:rPr>
          <w:rFonts w:hint="eastAsia" w:ascii="宋体" w:hAnsi="宋体" w:cs="宋体"/>
          <w:szCs w:val="21"/>
          <w:u w:val="single"/>
        </w:rPr>
        <w:t xml:space="preserve">                           </w:t>
      </w:r>
      <w:r>
        <w:rPr>
          <w:rFonts w:hint="eastAsia" w:ascii="宋体" w:hAnsi="宋体" w:cs="宋体"/>
          <w:szCs w:val="21"/>
        </w:rPr>
        <w:t>项目招标中投标（招标编号：</w:t>
      </w:r>
      <w:r>
        <w:rPr>
          <w:rFonts w:hint="eastAsia" w:ascii="宋体" w:hAnsi="宋体" w:cs="宋体"/>
          <w:szCs w:val="21"/>
          <w:u w:val="single"/>
        </w:rPr>
        <w:t xml:space="preserve">     </w:t>
      </w:r>
      <w:r>
        <w:rPr>
          <w:rFonts w:hint="eastAsia" w:ascii="宋体" w:hAnsi="宋体" w:cs="宋体"/>
          <w:szCs w:val="21"/>
        </w:rPr>
        <w:t>），如获成交，我们保证按公开招标文件的规定，以支票、汇票、电汇、现金或经贵公司认可的其他付款方式，向贵公司缴交招标服务费。</w:t>
      </w:r>
    </w:p>
    <w:p>
      <w:pPr>
        <w:spacing w:line="500" w:lineRule="atLeast"/>
        <w:ind w:firstLine="420" w:firstLineChars="200"/>
        <w:rPr>
          <w:rFonts w:ascii="宋体" w:hAnsi="宋体" w:cs="宋体"/>
          <w:szCs w:val="21"/>
        </w:rPr>
      </w:pPr>
      <w:r>
        <w:rPr>
          <w:rFonts w:hint="eastAsia" w:ascii="宋体" w:hAnsi="宋体" w:cs="宋体"/>
          <w:szCs w:val="21"/>
        </w:rPr>
        <w:t>我方如违反上述承诺，所提交的上述项目的投标保证金将不予退还我方，我方对此无异议。</w:t>
      </w:r>
    </w:p>
    <w:p>
      <w:pPr>
        <w:spacing w:line="500" w:lineRule="atLeast"/>
        <w:rPr>
          <w:rFonts w:ascii="宋体" w:hAnsi="宋体" w:cs="宋体"/>
          <w:szCs w:val="21"/>
        </w:rPr>
      </w:pPr>
    </w:p>
    <w:p>
      <w:pPr>
        <w:spacing w:line="500" w:lineRule="atLeast"/>
        <w:ind w:firstLine="420" w:firstLineChars="200"/>
        <w:rPr>
          <w:rFonts w:ascii="宋体" w:hAnsi="宋体" w:cs="宋体"/>
          <w:szCs w:val="21"/>
        </w:rPr>
      </w:pPr>
      <w:r>
        <w:rPr>
          <w:rFonts w:hint="eastAsia" w:ascii="宋体" w:hAnsi="宋体" w:cs="宋体"/>
          <w:szCs w:val="21"/>
        </w:rPr>
        <w:t>特此承诺！</w:t>
      </w:r>
    </w:p>
    <w:p>
      <w:pPr>
        <w:spacing w:line="500" w:lineRule="atLeast"/>
        <w:rPr>
          <w:rFonts w:ascii="宋体" w:hAnsi="宋体" w:cs="宋体"/>
          <w:szCs w:val="21"/>
        </w:rPr>
      </w:pPr>
      <w:r>
        <w:rPr>
          <w:rFonts w:hint="eastAsia" w:ascii="宋体" w:hAnsi="宋体" w:cs="宋体"/>
          <w:szCs w:val="21"/>
        </w:rPr>
        <w:t xml:space="preserve">  </w:t>
      </w:r>
    </w:p>
    <w:p>
      <w:pPr>
        <w:spacing w:line="500" w:lineRule="atLeast"/>
        <w:rPr>
          <w:rFonts w:ascii="宋体" w:hAnsi="宋体" w:cs="宋体"/>
          <w:szCs w:val="21"/>
        </w:rPr>
      </w:pPr>
      <w:r>
        <w:rPr>
          <w:rFonts w:hint="eastAsia" w:ascii="宋体" w:hAnsi="宋体" w:cs="宋体"/>
          <w:szCs w:val="21"/>
        </w:rPr>
        <w:t xml:space="preserve">                           </w:t>
      </w:r>
    </w:p>
    <w:p>
      <w:pPr>
        <w:spacing w:line="500" w:lineRule="atLeast"/>
        <w:rPr>
          <w:rFonts w:ascii="宋体" w:hAnsi="宋体" w:cs="宋体"/>
          <w:szCs w:val="21"/>
        </w:rPr>
      </w:pPr>
    </w:p>
    <w:p>
      <w:pPr>
        <w:spacing w:line="500" w:lineRule="atLeast"/>
        <w:rPr>
          <w:rFonts w:ascii="宋体" w:hAnsi="宋体" w:cs="宋体"/>
          <w:szCs w:val="21"/>
        </w:rPr>
      </w:pPr>
    </w:p>
    <w:p>
      <w:pPr>
        <w:spacing w:line="500" w:lineRule="atLeast"/>
        <w:ind w:firstLine="2835" w:firstLineChars="1350"/>
        <w:rPr>
          <w:rFonts w:ascii="宋体" w:hAnsi="宋体" w:cs="宋体"/>
          <w:szCs w:val="21"/>
          <w:u w:val="single"/>
        </w:rPr>
      </w:pPr>
      <w:r>
        <w:rPr>
          <w:rFonts w:hint="eastAsia" w:ascii="宋体" w:hAnsi="宋体" w:cs="宋体"/>
          <w:szCs w:val="21"/>
        </w:rPr>
        <w:t xml:space="preserve">投标人（全称并加盖公章）： </w:t>
      </w:r>
      <w:r>
        <w:rPr>
          <w:rFonts w:hint="eastAsia" w:ascii="宋体" w:hAnsi="宋体" w:cs="宋体"/>
          <w:szCs w:val="21"/>
          <w:u w:val="single"/>
        </w:rPr>
        <w:t xml:space="preserve">                          </w:t>
      </w:r>
    </w:p>
    <w:p>
      <w:pPr>
        <w:spacing w:line="500" w:lineRule="atLeast"/>
        <w:rPr>
          <w:rFonts w:ascii="宋体" w:hAnsi="宋体" w:cs="宋体"/>
          <w:szCs w:val="21"/>
        </w:rPr>
      </w:pPr>
      <w:r>
        <w:rPr>
          <w:rFonts w:hint="eastAsia" w:ascii="宋体" w:hAnsi="宋体" w:cs="宋体"/>
          <w:szCs w:val="21"/>
        </w:rPr>
        <w:t xml:space="preserve">                            投标人代表签字：</w:t>
      </w:r>
      <w:r>
        <w:rPr>
          <w:rFonts w:hint="eastAsia" w:ascii="宋体" w:hAnsi="宋体" w:cs="宋体"/>
          <w:szCs w:val="21"/>
          <w:u w:val="single"/>
        </w:rPr>
        <w:t xml:space="preserve">                         </w:t>
      </w:r>
    </w:p>
    <w:p>
      <w:pPr>
        <w:spacing w:line="500" w:lineRule="atLeast"/>
        <w:ind w:firstLine="2940" w:firstLineChars="1400"/>
        <w:rPr>
          <w:rFonts w:ascii="宋体" w:hAnsi="宋体" w:cs="宋体"/>
          <w:szCs w:val="21"/>
          <w:u w:val="single"/>
        </w:rPr>
      </w:pPr>
      <w:r>
        <w:rPr>
          <w:rFonts w:hint="eastAsia" w:ascii="宋体" w:hAnsi="宋体" w:cs="宋体"/>
          <w:szCs w:val="21"/>
        </w:rPr>
        <w:t>邮 编：</w:t>
      </w:r>
      <w:r>
        <w:rPr>
          <w:rFonts w:hint="eastAsia" w:ascii="宋体" w:hAnsi="宋体" w:cs="宋体"/>
          <w:szCs w:val="21"/>
          <w:u w:val="single"/>
        </w:rPr>
        <w:t xml:space="preserve">           </w:t>
      </w:r>
      <w:r>
        <w:rPr>
          <w:rFonts w:hint="eastAsia" w:ascii="宋体" w:hAnsi="宋体" w:cs="宋体"/>
          <w:szCs w:val="21"/>
        </w:rPr>
        <w:t>电 话：</w:t>
      </w:r>
      <w:r>
        <w:rPr>
          <w:rFonts w:hint="eastAsia" w:ascii="宋体" w:hAnsi="宋体" w:cs="宋体"/>
          <w:szCs w:val="21"/>
          <w:u w:val="single"/>
        </w:rPr>
        <w:t xml:space="preserve">          </w:t>
      </w:r>
    </w:p>
    <w:p>
      <w:pPr>
        <w:pStyle w:val="32"/>
        <w:widowControl w:val="0"/>
        <w:tabs>
          <w:tab w:val="left" w:pos="816"/>
        </w:tabs>
        <w:spacing w:before="0" w:beforeAutospacing="0" w:after="0" w:afterAutospacing="0" w:line="500" w:lineRule="atLeast"/>
        <w:ind w:left="816" w:hanging="816"/>
        <w:jc w:val="both"/>
        <w:rPr>
          <w:sz w:val="21"/>
          <w:szCs w:val="21"/>
          <w:u w:val="single"/>
        </w:rPr>
      </w:pPr>
      <w:r>
        <w:rPr>
          <w:rFonts w:hint="eastAsia"/>
          <w:kern w:val="44"/>
          <w:sz w:val="21"/>
          <w:szCs w:val="21"/>
        </w:rPr>
        <w:t xml:space="preserve">                            </w:t>
      </w:r>
      <w:bookmarkStart w:id="168" w:name="_Toc460273961"/>
      <w:r>
        <w:rPr>
          <w:rFonts w:hint="eastAsia"/>
          <w:kern w:val="44"/>
          <w:sz w:val="21"/>
          <w:szCs w:val="21"/>
        </w:rPr>
        <w:t>传 真：</w:t>
      </w:r>
      <w:r>
        <w:rPr>
          <w:rFonts w:hint="eastAsia"/>
          <w:kern w:val="44"/>
          <w:sz w:val="21"/>
          <w:szCs w:val="21"/>
          <w:u w:val="single"/>
        </w:rPr>
        <w:t xml:space="preserve">           </w:t>
      </w:r>
      <w:r>
        <w:rPr>
          <w:rFonts w:hint="eastAsia"/>
          <w:kern w:val="44"/>
          <w:sz w:val="21"/>
          <w:szCs w:val="21"/>
        </w:rPr>
        <w:t>日 期：</w:t>
      </w:r>
      <w:bookmarkEnd w:id="168"/>
      <w:r>
        <w:rPr>
          <w:rFonts w:hint="eastAsia"/>
          <w:kern w:val="44"/>
          <w:sz w:val="21"/>
          <w:szCs w:val="21"/>
        </w:rPr>
        <w:t xml:space="preserve"> </w:t>
      </w:r>
      <w:r>
        <w:rPr>
          <w:rFonts w:hint="eastAsia"/>
          <w:kern w:val="44"/>
          <w:sz w:val="21"/>
          <w:szCs w:val="21"/>
          <w:u w:val="single"/>
        </w:rPr>
        <w:t xml:space="preserve">         </w:t>
      </w:r>
    </w:p>
    <w:p>
      <w:pPr>
        <w:spacing w:line="360" w:lineRule="auto"/>
        <w:jc w:val="center"/>
        <w:rPr>
          <w:rFonts w:ascii="宋体" w:hAnsi="宋体"/>
          <w:b/>
          <w:bCs/>
          <w:szCs w:val="21"/>
        </w:rPr>
      </w:pPr>
    </w:p>
    <w:p>
      <w:pPr>
        <w:spacing w:line="500" w:lineRule="atLeast"/>
        <w:rPr>
          <w:rFonts w:ascii="宋体" w:hAnsi="宋体"/>
          <w:b/>
          <w:bCs/>
          <w:sz w:val="36"/>
        </w:rPr>
        <w:sectPr>
          <w:pgSz w:w="11906" w:h="16838"/>
          <w:pgMar w:top="1361" w:right="1304" w:bottom="1440" w:left="1474" w:header="851" w:footer="992" w:gutter="0"/>
          <w:cols w:space="720" w:num="1"/>
          <w:titlePg/>
          <w:docGrid w:linePitch="312" w:charSpace="0"/>
        </w:sectPr>
      </w:pPr>
    </w:p>
    <w:p>
      <w:pPr>
        <w:pStyle w:val="133"/>
        <w:keepNext w:val="0"/>
        <w:keepLines w:val="0"/>
        <w:spacing w:before="0" w:after="0" w:line="500" w:lineRule="atLeast"/>
        <w:ind w:left="0" w:firstLine="0"/>
        <w:jc w:val="both"/>
        <w:outlineLvl w:val="9"/>
        <w:rPr>
          <w:rFonts w:ascii="宋体" w:hAnsi="宋体" w:eastAsia="宋体"/>
          <w:sz w:val="24"/>
          <w:u w:val="single"/>
        </w:rPr>
      </w:pPr>
    </w:p>
    <w:p>
      <w:pPr>
        <w:spacing w:line="500" w:lineRule="atLeast"/>
        <w:jc w:val="center"/>
        <w:rPr>
          <w:rFonts w:ascii="宋体" w:hAnsi="宋体"/>
          <w:b/>
          <w:bCs/>
          <w:sz w:val="36"/>
        </w:rPr>
      </w:pPr>
      <w:bookmarkStart w:id="169" w:name="_Toc430361100"/>
      <w:bookmarkStart w:id="170" w:name="_Toc19388"/>
      <w:r>
        <w:rPr>
          <w:rFonts w:hint="eastAsia" w:ascii="宋体" w:hAnsi="宋体"/>
          <w:b/>
          <w:bCs/>
          <w:sz w:val="36"/>
        </w:rPr>
        <w:t>投标保证金缴交凭证</w:t>
      </w:r>
      <w:bookmarkEnd w:id="169"/>
      <w:bookmarkEnd w:id="170"/>
    </w:p>
    <w:p>
      <w:pPr>
        <w:spacing w:line="500" w:lineRule="atLeast"/>
        <w:rPr>
          <w:rFonts w:ascii="宋体" w:hAnsi="宋体"/>
          <w:sz w:val="24"/>
        </w:rPr>
      </w:pPr>
    </w:p>
    <w:p>
      <w:pPr>
        <w:spacing w:line="500" w:lineRule="atLeast"/>
        <w:rPr>
          <w:rFonts w:ascii="宋体" w:hAnsi="宋体"/>
          <w:sz w:val="24"/>
        </w:rPr>
      </w:pPr>
    </w:p>
    <w:p>
      <w:pPr>
        <w:spacing w:line="500" w:lineRule="atLeast"/>
        <w:rPr>
          <w:rFonts w:ascii="宋体" w:hAnsi="宋体"/>
          <w:sz w:val="24"/>
        </w:rPr>
      </w:pPr>
    </w:p>
    <w:p>
      <w:pPr>
        <w:spacing w:line="500" w:lineRule="atLeast"/>
        <w:rPr>
          <w:rFonts w:ascii="宋体" w:hAnsi="宋体"/>
          <w:sz w:val="24"/>
        </w:rPr>
      </w:pPr>
    </w:p>
    <w:p>
      <w:pPr>
        <w:spacing w:line="500" w:lineRule="atLeast"/>
        <w:jc w:val="center"/>
        <w:rPr>
          <w:rFonts w:ascii="宋体" w:hAnsi="宋体"/>
          <w:szCs w:val="21"/>
        </w:rPr>
      </w:pPr>
      <w:r>
        <w:rPr>
          <w:rFonts w:hint="eastAsia" w:ascii="宋体" w:hAnsi="宋体"/>
          <w:szCs w:val="21"/>
        </w:rPr>
        <w:t>可扫描打印或黏贴缴交投标保证金凭证</w:t>
      </w:r>
    </w:p>
    <w:p>
      <w:pPr>
        <w:spacing w:line="500" w:lineRule="atLeast"/>
        <w:rPr>
          <w:rFonts w:ascii="宋体" w:hAnsi="宋体"/>
          <w:szCs w:val="21"/>
        </w:rPr>
      </w:pPr>
    </w:p>
    <w:p>
      <w:pPr>
        <w:spacing w:line="500" w:lineRule="atLeast"/>
        <w:rPr>
          <w:rFonts w:ascii="宋体" w:hAnsi="宋体"/>
          <w:szCs w:val="21"/>
        </w:rPr>
      </w:pPr>
    </w:p>
    <w:p>
      <w:pPr>
        <w:spacing w:line="500" w:lineRule="atLeast"/>
        <w:rPr>
          <w:rFonts w:ascii="宋体" w:hAnsi="宋体"/>
          <w:szCs w:val="21"/>
        </w:rPr>
      </w:pPr>
    </w:p>
    <w:p>
      <w:pPr>
        <w:spacing w:line="500" w:lineRule="atLeast"/>
        <w:rPr>
          <w:rFonts w:ascii="宋体" w:hAnsi="宋体"/>
          <w:szCs w:val="21"/>
        </w:rPr>
      </w:pPr>
    </w:p>
    <w:p>
      <w:pPr>
        <w:spacing w:line="500" w:lineRule="atLeast"/>
        <w:rPr>
          <w:rFonts w:ascii="宋体" w:hAnsi="宋体"/>
          <w:szCs w:val="21"/>
        </w:rPr>
      </w:pPr>
    </w:p>
    <w:p>
      <w:pPr>
        <w:spacing w:line="500" w:lineRule="atLeast"/>
        <w:rPr>
          <w:rFonts w:ascii="宋体" w:hAnsi="宋体"/>
          <w:szCs w:val="21"/>
        </w:rPr>
      </w:pPr>
    </w:p>
    <w:p>
      <w:pPr>
        <w:spacing w:line="500" w:lineRule="atLeast"/>
        <w:rPr>
          <w:rFonts w:ascii="宋体" w:hAnsi="宋体"/>
          <w:szCs w:val="21"/>
        </w:rPr>
      </w:pPr>
      <w:r>
        <w:rPr>
          <w:rFonts w:hint="eastAsia" w:ascii="宋体" w:hAnsi="宋体"/>
          <w:szCs w:val="21"/>
        </w:rPr>
        <w:t xml:space="preserve">                         投 标 人（全称并加盖公章）：</w:t>
      </w:r>
      <w:r>
        <w:rPr>
          <w:rFonts w:hint="eastAsia" w:ascii="宋体" w:hAnsi="宋体"/>
          <w:szCs w:val="21"/>
          <w:u w:val="single"/>
        </w:rPr>
        <w:t xml:space="preserve">                 </w:t>
      </w:r>
      <w:r>
        <w:rPr>
          <w:rFonts w:hint="eastAsia" w:ascii="宋体" w:hAnsi="宋体"/>
          <w:szCs w:val="21"/>
        </w:rPr>
        <w:t xml:space="preserve">     </w:t>
      </w:r>
    </w:p>
    <w:p>
      <w:pPr>
        <w:spacing w:line="500" w:lineRule="atLeast"/>
        <w:rPr>
          <w:rFonts w:ascii="宋体" w:hAnsi="宋体"/>
          <w:szCs w:val="21"/>
        </w:rPr>
      </w:pPr>
      <w:r>
        <w:rPr>
          <w:rFonts w:hint="eastAsia" w:ascii="宋体" w:hAnsi="宋体"/>
          <w:szCs w:val="21"/>
        </w:rPr>
        <w:t xml:space="preserve">                         投标人代表签字：</w:t>
      </w:r>
      <w:r>
        <w:rPr>
          <w:rFonts w:hint="eastAsia" w:ascii="宋体" w:hAnsi="宋体"/>
          <w:szCs w:val="21"/>
          <w:u w:val="single"/>
        </w:rPr>
        <w:t xml:space="preserve">                         </w:t>
      </w:r>
    </w:p>
    <w:p>
      <w:pPr>
        <w:spacing w:line="500" w:lineRule="atLeast"/>
        <w:rPr>
          <w:rFonts w:ascii="宋体" w:hAnsi="宋体"/>
          <w:szCs w:val="21"/>
          <w:u w:val="single"/>
        </w:rPr>
      </w:pPr>
      <w:r>
        <w:rPr>
          <w:rFonts w:hint="eastAsia" w:ascii="宋体" w:hAnsi="宋体"/>
          <w:szCs w:val="21"/>
        </w:rPr>
        <w:t xml:space="preserve">                         日      期：</w:t>
      </w:r>
      <w:r>
        <w:rPr>
          <w:rFonts w:hint="eastAsia" w:ascii="宋体" w:hAnsi="宋体"/>
          <w:szCs w:val="21"/>
          <w:u w:val="single"/>
        </w:rPr>
        <w:t xml:space="preserve">                     </w:t>
      </w:r>
    </w:p>
    <w:p>
      <w:pPr>
        <w:spacing w:line="500" w:lineRule="atLeast"/>
        <w:rPr>
          <w:rFonts w:ascii="宋体" w:hAnsi="宋体"/>
          <w:sz w:val="24"/>
          <w:u w:val="single"/>
        </w:rPr>
      </w:pPr>
    </w:p>
    <w:p>
      <w:pPr>
        <w:spacing w:line="500" w:lineRule="atLeast"/>
        <w:rPr>
          <w:rFonts w:ascii="宋体" w:hAnsi="宋体"/>
          <w:sz w:val="24"/>
          <w:u w:val="single"/>
        </w:rPr>
      </w:pPr>
    </w:p>
    <w:p>
      <w:pPr>
        <w:spacing w:line="500" w:lineRule="atLeast"/>
        <w:rPr>
          <w:rFonts w:ascii="宋体" w:hAnsi="宋体"/>
          <w:sz w:val="24"/>
          <w:u w:val="single"/>
        </w:rPr>
      </w:pPr>
    </w:p>
    <w:p>
      <w:pPr>
        <w:spacing w:line="500" w:lineRule="atLeast"/>
        <w:rPr>
          <w:rFonts w:ascii="宋体" w:hAnsi="宋体"/>
          <w:sz w:val="24"/>
          <w:u w:val="single"/>
        </w:rPr>
      </w:pPr>
    </w:p>
    <w:p>
      <w:pPr>
        <w:spacing w:line="500" w:lineRule="atLeast"/>
        <w:rPr>
          <w:rFonts w:ascii="宋体" w:hAnsi="宋体"/>
          <w:sz w:val="24"/>
          <w:u w:val="single"/>
        </w:rPr>
      </w:pPr>
    </w:p>
    <w:p>
      <w:pPr>
        <w:spacing w:line="500" w:lineRule="atLeast"/>
        <w:rPr>
          <w:rFonts w:ascii="宋体" w:hAnsi="宋体"/>
          <w:sz w:val="24"/>
          <w:u w:val="single"/>
        </w:rPr>
      </w:pPr>
    </w:p>
    <w:p>
      <w:pPr>
        <w:spacing w:line="500" w:lineRule="atLeast"/>
        <w:rPr>
          <w:rFonts w:ascii="宋体" w:hAnsi="宋体"/>
          <w:sz w:val="24"/>
          <w:u w:val="single"/>
        </w:rPr>
      </w:pPr>
    </w:p>
    <w:p>
      <w:pPr>
        <w:spacing w:line="500" w:lineRule="atLeast"/>
        <w:rPr>
          <w:rFonts w:ascii="宋体" w:hAnsi="宋体"/>
          <w:sz w:val="24"/>
          <w:u w:val="single"/>
        </w:rPr>
      </w:pPr>
    </w:p>
    <w:p>
      <w:pPr>
        <w:spacing w:line="500" w:lineRule="atLeast"/>
        <w:rPr>
          <w:rFonts w:ascii="宋体" w:hAnsi="宋体"/>
          <w:sz w:val="24"/>
          <w:u w:val="single"/>
        </w:rPr>
      </w:pPr>
    </w:p>
    <w:p>
      <w:pPr>
        <w:spacing w:line="500" w:lineRule="atLeast"/>
        <w:rPr>
          <w:rFonts w:ascii="宋体" w:hAnsi="宋体"/>
          <w:sz w:val="24"/>
          <w:u w:val="single"/>
        </w:rPr>
      </w:pPr>
    </w:p>
    <w:p>
      <w:pPr>
        <w:spacing w:line="500" w:lineRule="atLeast"/>
        <w:rPr>
          <w:rFonts w:ascii="宋体" w:hAnsi="宋体"/>
          <w:sz w:val="24"/>
          <w:u w:val="single"/>
        </w:rPr>
      </w:pPr>
    </w:p>
    <w:p>
      <w:pPr>
        <w:rPr>
          <w:rFonts w:ascii="宋体" w:hAnsi="宋体"/>
          <w:b/>
          <w:bCs/>
          <w:sz w:val="36"/>
          <w:szCs w:val="36"/>
        </w:rPr>
      </w:pPr>
    </w:p>
    <w:sectPr>
      <w:pgSz w:w="11906" w:h="16838"/>
      <w:pgMar w:top="1361" w:right="1304" w:bottom="1440" w:left="147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Sans Serif">
    <w:altName w:val="Courier New"/>
    <w:panose1 w:val="00000000000000000000"/>
    <w:charset w:val="00"/>
    <w:family w:val="swiss"/>
    <w:pitch w:val="default"/>
    <w:sig w:usb0="00000000" w:usb1="00000000" w:usb2="00000000" w:usb3="00000000" w:csb0="00000001" w:csb1="00000000"/>
  </w:font>
  <w:font w:name="方正姚体">
    <w:panose1 w:val="02010601030101010101"/>
    <w:charset w:val="86"/>
    <w:family w:val="auto"/>
    <w:pitch w:val="default"/>
    <w:sig w:usb0="00000003"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2049" o:spid="_x0000_s2049" o:spt="202" type="#_x0000_t202" style="position:absolute;left:0pt;margin-top:0pt;height:10.35pt;width:4.55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2050" o:spid="_x0000_s2050" o:spt="202" type="#_x0000_t202" style="position:absolute;left:0pt;margin-top:0pt;height:10.35pt;width:4.55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hd w:val="pct10" w:color="auto" w:fill="auto"/>
      <w:jc w:val="right"/>
    </w:pPr>
    <w:r>
      <w:rPr>
        <w:rFonts w:hint="eastAsia"/>
      </w:rPr>
      <w:t>福建优胜招标项目管理集团有限公司公开招标文件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rPr>
        <w:shd w:val="pct10" w:color="auto" w:fill="FFFFFF"/>
      </w:rPr>
    </w:pPr>
    <w:r>
      <w:rPr>
        <w:rFonts w:hint="eastAsia"/>
      </w:rPr>
      <w:t xml:space="preserve">                                               </w:t>
    </w:r>
    <w:r>
      <w:rPr>
        <w:rFonts w:hint="eastAsia"/>
        <w:shd w:val="pct10" w:color="auto" w:fill="FFFFFF"/>
      </w:rPr>
      <w:t xml:space="preserve"> 福建优胜招标项目管理集团有限公司公开招标文件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rFonts w:hint="eastAsia"/>
        <w:shd w:val="pct10" w:color="auto" w:fill="FFFFFF"/>
      </w:rPr>
      <w:t>福建优胜招标项目管理集团有限公司公开招标文件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singleLevel"/>
    <w:tmpl w:val="0000000D"/>
    <w:lvl w:ilvl="0" w:tentative="0">
      <w:start w:val="1"/>
      <w:numFmt w:val="bullet"/>
      <w:pStyle w:val="217"/>
      <w:lvlText w:val=""/>
      <w:lvlJc w:val="left"/>
      <w:pPr>
        <w:tabs>
          <w:tab w:val="left" w:pos="425"/>
        </w:tabs>
        <w:ind w:left="425" w:hanging="425"/>
      </w:pPr>
      <w:rPr>
        <w:rFonts w:hint="default" w:ascii="Wingdings" w:hAnsi="Wingdings"/>
      </w:rPr>
    </w:lvl>
  </w:abstractNum>
  <w:abstractNum w:abstractNumId="1">
    <w:nsid w:val="0000000F"/>
    <w:multiLevelType w:val="multilevel"/>
    <w:tmpl w:val="0000000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13"/>
    <w:multiLevelType w:val="multilevel"/>
    <w:tmpl w:val="00000013"/>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914343C"/>
    <w:multiLevelType w:val="singleLevel"/>
    <w:tmpl w:val="1914343C"/>
    <w:lvl w:ilvl="0" w:tentative="0">
      <w:start w:val="1"/>
      <w:numFmt w:val="decimal"/>
      <w:suff w:val="nothing"/>
      <w:lvlText w:val="（%1）"/>
      <w:lvlJc w:val="left"/>
    </w:lvl>
  </w:abstractNum>
  <w:abstractNum w:abstractNumId="4">
    <w:nsid w:val="2AC458F1"/>
    <w:multiLevelType w:val="multilevel"/>
    <w:tmpl w:val="2AC458F1"/>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53467D3D"/>
    <w:multiLevelType w:val="multilevel"/>
    <w:tmpl w:val="53467D3D"/>
    <w:lvl w:ilvl="0" w:tentative="0">
      <w:start w:val="1"/>
      <w:numFmt w:val="bullet"/>
      <w:lvlText w:val=""/>
      <w:lvlJc w:val="left"/>
      <w:pPr>
        <w:tabs>
          <w:tab w:val="left" w:pos="993"/>
        </w:tabs>
        <w:ind w:left="993" w:hanging="420"/>
      </w:pPr>
      <w:rPr>
        <w:rFonts w:hint="default" w:ascii="Wingdings" w:hAnsi="Wingdings"/>
      </w:rPr>
    </w:lvl>
    <w:lvl w:ilvl="1" w:tentative="0">
      <w:start w:val="1"/>
      <w:numFmt w:val="bullet"/>
      <w:lvlText w:val=""/>
      <w:lvlJc w:val="left"/>
      <w:pPr>
        <w:tabs>
          <w:tab w:val="left" w:pos="1413"/>
        </w:tabs>
        <w:ind w:left="1413" w:hanging="420"/>
      </w:pPr>
      <w:rPr>
        <w:rFonts w:hint="default" w:ascii="Wingdings" w:hAnsi="Wingdings"/>
      </w:rPr>
    </w:lvl>
    <w:lvl w:ilvl="2" w:tentative="0">
      <w:start w:val="1"/>
      <w:numFmt w:val="bullet"/>
      <w:lvlText w:val=""/>
      <w:lvlJc w:val="left"/>
      <w:pPr>
        <w:tabs>
          <w:tab w:val="left" w:pos="1833"/>
        </w:tabs>
        <w:ind w:left="1833" w:hanging="420"/>
      </w:pPr>
      <w:rPr>
        <w:rFonts w:hint="default" w:ascii="Wingdings" w:hAnsi="Wingdings"/>
      </w:rPr>
    </w:lvl>
    <w:lvl w:ilvl="3" w:tentative="0">
      <w:start w:val="1"/>
      <w:numFmt w:val="bullet"/>
      <w:lvlText w:val=""/>
      <w:lvlJc w:val="left"/>
      <w:pPr>
        <w:tabs>
          <w:tab w:val="left" w:pos="2253"/>
        </w:tabs>
        <w:ind w:left="2253" w:hanging="420"/>
      </w:pPr>
      <w:rPr>
        <w:rFonts w:hint="default" w:ascii="Wingdings" w:hAnsi="Wingdings"/>
      </w:rPr>
    </w:lvl>
    <w:lvl w:ilvl="4" w:tentative="0">
      <w:start w:val="1"/>
      <w:numFmt w:val="bullet"/>
      <w:lvlText w:val=""/>
      <w:lvlJc w:val="left"/>
      <w:pPr>
        <w:tabs>
          <w:tab w:val="left" w:pos="2673"/>
        </w:tabs>
        <w:ind w:left="2673" w:hanging="420"/>
      </w:pPr>
      <w:rPr>
        <w:rFonts w:hint="default" w:ascii="Wingdings" w:hAnsi="Wingdings"/>
      </w:rPr>
    </w:lvl>
    <w:lvl w:ilvl="5" w:tentative="0">
      <w:start w:val="1"/>
      <w:numFmt w:val="bullet"/>
      <w:lvlText w:val=""/>
      <w:lvlJc w:val="left"/>
      <w:pPr>
        <w:tabs>
          <w:tab w:val="left" w:pos="3093"/>
        </w:tabs>
        <w:ind w:left="3093" w:hanging="420"/>
      </w:pPr>
      <w:rPr>
        <w:rFonts w:hint="default" w:ascii="Wingdings" w:hAnsi="Wingdings"/>
      </w:rPr>
    </w:lvl>
    <w:lvl w:ilvl="6" w:tentative="0">
      <w:start w:val="1"/>
      <w:numFmt w:val="bullet"/>
      <w:lvlText w:val=""/>
      <w:lvlJc w:val="left"/>
      <w:pPr>
        <w:tabs>
          <w:tab w:val="left" w:pos="3513"/>
        </w:tabs>
        <w:ind w:left="3513" w:hanging="420"/>
      </w:pPr>
      <w:rPr>
        <w:rFonts w:hint="default" w:ascii="Wingdings" w:hAnsi="Wingdings"/>
      </w:rPr>
    </w:lvl>
    <w:lvl w:ilvl="7" w:tentative="0">
      <w:start w:val="1"/>
      <w:numFmt w:val="bullet"/>
      <w:lvlText w:val=""/>
      <w:lvlJc w:val="left"/>
      <w:pPr>
        <w:tabs>
          <w:tab w:val="left" w:pos="3933"/>
        </w:tabs>
        <w:ind w:left="3933" w:hanging="420"/>
      </w:pPr>
      <w:rPr>
        <w:rFonts w:hint="default" w:ascii="Wingdings" w:hAnsi="Wingdings"/>
      </w:rPr>
    </w:lvl>
    <w:lvl w:ilvl="8" w:tentative="0">
      <w:start w:val="1"/>
      <w:numFmt w:val="bullet"/>
      <w:lvlText w:val=""/>
      <w:lvlJc w:val="left"/>
      <w:pPr>
        <w:tabs>
          <w:tab w:val="left" w:pos="4353"/>
        </w:tabs>
        <w:ind w:left="4353" w:hanging="420"/>
      </w:pPr>
      <w:rPr>
        <w:rFonts w:hint="default" w:ascii="Wingdings" w:hAnsi="Wingdings"/>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794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964"/>
    <w:rsid w:val="00001C2C"/>
    <w:rsid w:val="0000217C"/>
    <w:rsid w:val="00002F4B"/>
    <w:rsid w:val="00003ADA"/>
    <w:rsid w:val="00004CC6"/>
    <w:rsid w:val="00005965"/>
    <w:rsid w:val="00006542"/>
    <w:rsid w:val="00010192"/>
    <w:rsid w:val="00010A3A"/>
    <w:rsid w:val="0001125F"/>
    <w:rsid w:val="00011669"/>
    <w:rsid w:val="000119A0"/>
    <w:rsid w:val="00012D44"/>
    <w:rsid w:val="00012E7D"/>
    <w:rsid w:val="0001315A"/>
    <w:rsid w:val="00013E35"/>
    <w:rsid w:val="000148E5"/>
    <w:rsid w:val="00014935"/>
    <w:rsid w:val="00014D46"/>
    <w:rsid w:val="0001513B"/>
    <w:rsid w:val="0001513E"/>
    <w:rsid w:val="0001517E"/>
    <w:rsid w:val="00016587"/>
    <w:rsid w:val="0001675F"/>
    <w:rsid w:val="000200AE"/>
    <w:rsid w:val="000200C2"/>
    <w:rsid w:val="00020180"/>
    <w:rsid w:val="0002068B"/>
    <w:rsid w:val="00020F2D"/>
    <w:rsid w:val="00020F76"/>
    <w:rsid w:val="000212E2"/>
    <w:rsid w:val="00021E93"/>
    <w:rsid w:val="00022450"/>
    <w:rsid w:val="00023E71"/>
    <w:rsid w:val="000242C4"/>
    <w:rsid w:val="000242C5"/>
    <w:rsid w:val="0002537C"/>
    <w:rsid w:val="000257B4"/>
    <w:rsid w:val="00025A92"/>
    <w:rsid w:val="00026D33"/>
    <w:rsid w:val="00027235"/>
    <w:rsid w:val="00027344"/>
    <w:rsid w:val="00027723"/>
    <w:rsid w:val="00027FA8"/>
    <w:rsid w:val="00030448"/>
    <w:rsid w:val="00030BE7"/>
    <w:rsid w:val="0003221C"/>
    <w:rsid w:val="00032C13"/>
    <w:rsid w:val="000332A3"/>
    <w:rsid w:val="000332D0"/>
    <w:rsid w:val="00033949"/>
    <w:rsid w:val="00035E3E"/>
    <w:rsid w:val="000369D4"/>
    <w:rsid w:val="00036D57"/>
    <w:rsid w:val="0003746D"/>
    <w:rsid w:val="0004020B"/>
    <w:rsid w:val="00040A72"/>
    <w:rsid w:val="00040B3B"/>
    <w:rsid w:val="00040E13"/>
    <w:rsid w:val="00041256"/>
    <w:rsid w:val="00041A39"/>
    <w:rsid w:val="000425B8"/>
    <w:rsid w:val="00043CF1"/>
    <w:rsid w:val="00044BC1"/>
    <w:rsid w:val="00045014"/>
    <w:rsid w:val="000458C4"/>
    <w:rsid w:val="00046209"/>
    <w:rsid w:val="00046EC5"/>
    <w:rsid w:val="00047233"/>
    <w:rsid w:val="00047440"/>
    <w:rsid w:val="00047B86"/>
    <w:rsid w:val="00050336"/>
    <w:rsid w:val="00050AB6"/>
    <w:rsid w:val="00050FE7"/>
    <w:rsid w:val="0005105C"/>
    <w:rsid w:val="00051869"/>
    <w:rsid w:val="00052402"/>
    <w:rsid w:val="00053AE4"/>
    <w:rsid w:val="0005527D"/>
    <w:rsid w:val="000554E0"/>
    <w:rsid w:val="000568D4"/>
    <w:rsid w:val="00056EE0"/>
    <w:rsid w:val="00057DF0"/>
    <w:rsid w:val="000602FE"/>
    <w:rsid w:val="00060A57"/>
    <w:rsid w:val="0006199D"/>
    <w:rsid w:val="00061DE3"/>
    <w:rsid w:val="00062837"/>
    <w:rsid w:val="00062B80"/>
    <w:rsid w:val="00063B65"/>
    <w:rsid w:val="00063DD3"/>
    <w:rsid w:val="00063F7B"/>
    <w:rsid w:val="00064481"/>
    <w:rsid w:val="00065164"/>
    <w:rsid w:val="0006622A"/>
    <w:rsid w:val="00066A5E"/>
    <w:rsid w:val="000671A3"/>
    <w:rsid w:val="00067C3E"/>
    <w:rsid w:val="00070438"/>
    <w:rsid w:val="00070D2F"/>
    <w:rsid w:val="00071D7F"/>
    <w:rsid w:val="00072843"/>
    <w:rsid w:val="000732D7"/>
    <w:rsid w:val="00073903"/>
    <w:rsid w:val="0007394C"/>
    <w:rsid w:val="0007413C"/>
    <w:rsid w:val="0007710A"/>
    <w:rsid w:val="000810C1"/>
    <w:rsid w:val="00082148"/>
    <w:rsid w:val="00082258"/>
    <w:rsid w:val="00082558"/>
    <w:rsid w:val="00082ABA"/>
    <w:rsid w:val="00082AEA"/>
    <w:rsid w:val="00082CB1"/>
    <w:rsid w:val="00082E07"/>
    <w:rsid w:val="000839F8"/>
    <w:rsid w:val="00084903"/>
    <w:rsid w:val="000849C9"/>
    <w:rsid w:val="000856FB"/>
    <w:rsid w:val="00086054"/>
    <w:rsid w:val="00086CEE"/>
    <w:rsid w:val="00086D0E"/>
    <w:rsid w:val="00086F3C"/>
    <w:rsid w:val="00090A2A"/>
    <w:rsid w:val="00090DDF"/>
    <w:rsid w:val="00094267"/>
    <w:rsid w:val="000944E7"/>
    <w:rsid w:val="00094B15"/>
    <w:rsid w:val="00095219"/>
    <w:rsid w:val="00095309"/>
    <w:rsid w:val="0009651C"/>
    <w:rsid w:val="000A0008"/>
    <w:rsid w:val="000A08C2"/>
    <w:rsid w:val="000A0DE8"/>
    <w:rsid w:val="000A0ECC"/>
    <w:rsid w:val="000A12FF"/>
    <w:rsid w:val="000A169E"/>
    <w:rsid w:val="000A20D6"/>
    <w:rsid w:val="000A24A0"/>
    <w:rsid w:val="000A34B9"/>
    <w:rsid w:val="000A3886"/>
    <w:rsid w:val="000A48AC"/>
    <w:rsid w:val="000A48ED"/>
    <w:rsid w:val="000A56ED"/>
    <w:rsid w:val="000A57F3"/>
    <w:rsid w:val="000A5CE4"/>
    <w:rsid w:val="000A6EC2"/>
    <w:rsid w:val="000A7D88"/>
    <w:rsid w:val="000B02F8"/>
    <w:rsid w:val="000B0EDB"/>
    <w:rsid w:val="000B34A6"/>
    <w:rsid w:val="000B362D"/>
    <w:rsid w:val="000B3CA3"/>
    <w:rsid w:val="000B4945"/>
    <w:rsid w:val="000B51F5"/>
    <w:rsid w:val="000B56B2"/>
    <w:rsid w:val="000B6B6B"/>
    <w:rsid w:val="000B6CFE"/>
    <w:rsid w:val="000B6EDA"/>
    <w:rsid w:val="000B7376"/>
    <w:rsid w:val="000B748E"/>
    <w:rsid w:val="000B787D"/>
    <w:rsid w:val="000C13FF"/>
    <w:rsid w:val="000C238D"/>
    <w:rsid w:val="000C2CCF"/>
    <w:rsid w:val="000C3C43"/>
    <w:rsid w:val="000C6A88"/>
    <w:rsid w:val="000C6AE9"/>
    <w:rsid w:val="000C7F29"/>
    <w:rsid w:val="000D1723"/>
    <w:rsid w:val="000D1E23"/>
    <w:rsid w:val="000D25C3"/>
    <w:rsid w:val="000D3E4A"/>
    <w:rsid w:val="000D44D3"/>
    <w:rsid w:val="000D4BB4"/>
    <w:rsid w:val="000D5199"/>
    <w:rsid w:val="000D6A6A"/>
    <w:rsid w:val="000D6D6D"/>
    <w:rsid w:val="000D70E0"/>
    <w:rsid w:val="000E0148"/>
    <w:rsid w:val="000E0DEB"/>
    <w:rsid w:val="000E1AA9"/>
    <w:rsid w:val="000E1B1D"/>
    <w:rsid w:val="000E2599"/>
    <w:rsid w:val="000E291F"/>
    <w:rsid w:val="000E38A6"/>
    <w:rsid w:val="000E3C16"/>
    <w:rsid w:val="000E479B"/>
    <w:rsid w:val="000E4F88"/>
    <w:rsid w:val="000E564C"/>
    <w:rsid w:val="000E647A"/>
    <w:rsid w:val="000E6D2D"/>
    <w:rsid w:val="000E7098"/>
    <w:rsid w:val="000E72ED"/>
    <w:rsid w:val="000E7A5F"/>
    <w:rsid w:val="000F069A"/>
    <w:rsid w:val="000F08DC"/>
    <w:rsid w:val="000F108A"/>
    <w:rsid w:val="000F1EB7"/>
    <w:rsid w:val="000F24DB"/>
    <w:rsid w:val="000F4AAD"/>
    <w:rsid w:val="000F5059"/>
    <w:rsid w:val="000F5A94"/>
    <w:rsid w:val="000F5DDF"/>
    <w:rsid w:val="000F6462"/>
    <w:rsid w:val="000F711C"/>
    <w:rsid w:val="000F7FA2"/>
    <w:rsid w:val="001005AB"/>
    <w:rsid w:val="0010158B"/>
    <w:rsid w:val="00103182"/>
    <w:rsid w:val="00105087"/>
    <w:rsid w:val="0010523C"/>
    <w:rsid w:val="00105543"/>
    <w:rsid w:val="00105947"/>
    <w:rsid w:val="001067D2"/>
    <w:rsid w:val="00107A21"/>
    <w:rsid w:val="00107A3E"/>
    <w:rsid w:val="00107B68"/>
    <w:rsid w:val="00110F8C"/>
    <w:rsid w:val="00111604"/>
    <w:rsid w:val="0011176E"/>
    <w:rsid w:val="00111BA9"/>
    <w:rsid w:val="00111FD8"/>
    <w:rsid w:val="00112221"/>
    <w:rsid w:val="00112B4D"/>
    <w:rsid w:val="00112D71"/>
    <w:rsid w:val="00112DF9"/>
    <w:rsid w:val="00113FDD"/>
    <w:rsid w:val="00114261"/>
    <w:rsid w:val="00114593"/>
    <w:rsid w:val="00114A60"/>
    <w:rsid w:val="00115B6D"/>
    <w:rsid w:val="001175BC"/>
    <w:rsid w:val="001204F0"/>
    <w:rsid w:val="00121711"/>
    <w:rsid w:val="001217C7"/>
    <w:rsid w:val="00121EC6"/>
    <w:rsid w:val="0012220E"/>
    <w:rsid w:val="00122698"/>
    <w:rsid w:val="001229A3"/>
    <w:rsid w:val="00123113"/>
    <w:rsid w:val="00123A82"/>
    <w:rsid w:val="00124C67"/>
    <w:rsid w:val="001254DE"/>
    <w:rsid w:val="001258F7"/>
    <w:rsid w:val="001263DD"/>
    <w:rsid w:val="00126940"/>
    <w:rsid w:val="00126B2D"/>
    <w:rsid w:val="00126EBA"/>
    <w:rsid w:val="00127090"/>
    <w:rsid w:val="00130B09"/>
    <w:rsid w:val="00130D1E"/>
    <w:rsid w:val="00130DB7"/>
    <w:rsid w:val="00132D24"/>
    <w:rsid w:val="00133598"/>
    <w:rsid w:val="00134285"/>
    <w:rsid w:val="001357D0"/>
    <w:rsid w:val="00135978"/>
    <w:rsid w:val="00135F34"/>
    <w:rsid w:val="00136A3A"/>
    <w:rsid w:val="00136AED"/>
    <w:rsid w:val="00142023"/>
    <w:rsid w:val="00142226"/>
    <w:rsid w:val="00142B3B"/>
    <w:rsid w:val="00143493"/>
    <w:rsid w:val="00144B2E"/>
    <w:rsid w:val="00145AE6"/>
    <w:rsid w:val="00147343"/>
    <w:rsid w:val="00147454"/>
    <w:rsid w:val="001476DC"/>
    <w:rsid w:val="00147C43"/>
    <w:rsid w:val="00150009"/>
    <w:rsid w:val="00150E77"/>
    <w:rsid w:val="0015124F"/>
    <w:rsid w:val="00151491"/>
    <w:rsid w:val="0015201B"/>
    <w:rsid w:val="00152571"/>
    <w:rsid w:val="00152676"/>
    <w:rsid w:val="001530E1"/>
    <w:rsid w:val="00153885"/>
    <w:rsid w:val="00155159"/>
    <w:rsid w:val="00155795"/>
    <w:rsid w:val="00156021"/>
    <w:rsid w:val="001564CE"/>
    <w:rsid w:val="00156C9C"/>
    <w:rsid w:val="00156CFA"/>
    <w:rsid w:val="00157A3D"/>
    <w:rsid w:val="00157BB7"/>
    <w:rsid w:val="00157DC8"/>
    <w:rsid w:val="00157DDD"/>
    <w:rsid w:val="0016034B"/>
    <w:rsid w:val="0016038C"/>
    <w:rsid w:val="00161256"/>
    <w:rsid w:val="00161AD1"/>
    <w:rsid w:val="001643D9"/>
    <w:rsid w:val="00164504"/>
    <w:rsid w:val="00164983"/>
    <w:rsid w:val="00166E6C"/>
    <w:rsid w:val="00167D3C"/>
    <w:rsid w:val="00170499"/>
    <w:rsid w:val="00170CEA"/>
    <w:rsid w:val="001727B5"/>
    <w:rsid w:val="00172972"/>
    <w:rsid w:val="00172A27"/>
    <w:rsid w:val="00173562"/>
    <w:rsid w:val="0017402B"/>
    <w:rsid w:val="00174B86"/>
    <w:rsid w:val="00174FBE"/>
    <w:rsid w:val="00174FCF"/>
    <w:rsid w:val="001755C5"/>
    <w:rsid w:val="001757BA"/>
    <w:rsid w:val="001760B3"/>
    <w:rsid w:val="0017672E"/>
    <w:rsid w:val="00176910"/>
    <w:rsid w:val="00176944"/>
    <w:rsid w:val="00176F1B"/>
    <w:rsid w:val="00177970"/>
    <w:rsid w:val="00177E39"/>
    <w:rsid w:val="00180BDF"/>
    <w:rsid w:val="001810BA"/>
    <w:rsid w:val="001811D5"/>
    <w:rsid w:val="00181340"/>
    <w:rsid w:val="001817D0"/>
    <w:rsid w:val="001835A8"/>
    <w:rsid w:val="001839B5"/>
    <w:rsid w:val="00183BFB"/>
    <w:rsid w:val="00183DB2"/>
    <w:rsid w:val="00183F7F"/>
    <w:rsid w:val="00184066"/>
    <w:rsid w:val="001843A3"/>
    <w:rsid w:val="00184CEA"/>
    <w:rsid w:val="0018519B"/>
    <w:rsid w:val="001855FC"/>
    <w:rsid w:val="00185704"/>
    <w:rsid w:val="00185EE6"/>
    <w:rsid w:val="001874E9"/>
    <w:rsid w:val="00187559"/>
    <w:rsid w:val="00187900"/>
    <w:rsid w:val="00190D4B"/>
    <w:rsid w:val="00192004"/>
    <w:rsid w:val="0019276B"/>
    <w:rsid w:val="001932AC"/>
    <w:rsid w:val="001934CA"/>
    <w:rsid w:val="00193B92"/>
    <w:rsid w:val="00193ECD"/>
    <w:rsid w:val="0019465D"/>
    <w:rsid w:val="00196084"/>
    <w:rsid w:val="001968FC"/>
    <w:rsid w:val="00197457"/>
    <w:rsid w:val="001A043A"/>
    <w:rsid w:val="001A0D0D"/>
    <w:rsid w:val="001A1758"/>
    <w:rsid w:val="001A250D"/>
    <w:rsid w:val="001A2D71"/>
    <w:rsid w:val="001A38F8"/>
    <w:rsid w:val="001A42CD"/>
    <w:rsid w:val="001A48E1"/>
    <w:rsid w:val="001A5ADA"/>
    <w:rsid w:val="001A5ADB"/>
    <w:rsid w:val="001A6C8C"/>
    <w:rsid w:val="001A6C8E"/>
    <w:rsid w:val="001A7529"/>
    <w:rsid w:val="001A773D"/>
    <w:rsid w:val="001A7EDC"/>
    <w:rsid w:val="001B0D78"/>
    <w:rsid w:val="001B1260"/>
    <w:rsid w:val="001B2C1B"/>
    <w:rsid w:val="001B303D"/>
    <w:rsid w:val="001B42B5"/>
    <w:rsid w:val="001B5ADA"/>
    <w:rsid w:val="001B66E0"/>
    <w:rsid w:val="001B6A30"/>
    <w:rsid w:val="001B6A96"/>
    <w:rsid w:val="001B788D"/>
    <w:rsid w:val="001B7AA9"/>
    <w:rsid w:val="001B7C31"/>
    <w:rsid w:val="001B7FC4"/>
    <w:rsid w:val="001C0870"/>
    <w:rsid w:val="001C0DE5"/>
    <w:rsid w:val="001C0F33"/>
    <w:rsid w:val="001C1B89"/>
    <w:rsid w:val="001C1DC1"/>
    <w:rsid w:val="001C2398"/>
    <w:rsid w:val="001C2A30"/>
    <w:rsid w:val="001C2D93"/>
    <w:rsid w:val="001C3486"/>
    <w:rsid w:val="001C3DA1"/>
    <w:rsid w:val="001C4D73"/>
    <w:rsid w:val="001C5397"/>
    <w:rsid w:val="001C6243"/>
    <w:rsid w:val="001C6709"/>
    <w:rsid w:val="001C6EB7"/>
    <w:rsid w:val="001D2614"/>
    <w:rsid w:val="001D38F4"/>
    <w:rsid w:val="001D4E59"/>
    <w:rsid w:val="001D5009"/>
    <w:rsid w:val="001D5D1D"/>
    <w:rsid w:val="001D651C"/>
    <w:rsid w:val="001D7D2E"/>
    <w:rsid w:val="001E0168"/>
    <w:rsid w:val="001E0F99"/>
    <w:rsid w:val="001E1774"/>
    <w:rsid w:val="001E18C8"/>
    <w:rsid w:val="001E24BB"/>
    <w:rsid w:val="001E2A68"/>
    <w:rsid w:val="001E36A7"/>
    <w:rsid w:val="001E3ACF"/>
    <w:rsid w:val="001E3DCD"/>
    <w:rsid w:val="001E41EA"/>
    <w:rsid w:val="001E4AAB"/>
    <w:rsid w:val="001E55FE"/>
    <w:rsid w:val="001E568F"/>
    <w:rsid w:val="001E5AA7"/>
    <w:rsid w:val="001E5C93"/>
    <w:rsid w:val="001E5DE3"/>
    <w:rsid w:val="001E61BD"/>
    <w:rsid w:val="001E6250"/>
    <w:rsid w:val="001E6AA2"/>
    <w:rsid w:val="001E724E"/>
    <w:rsid w:val="001F0970"/>
    <w:rsid w:val="001F1071"/>
    <w:rsid w:val="001F15CC"/>
    <w:rsid w:val="001F1A61"/>
    <w:rsid w:val="001F2ACC"/>
    <w:rsid w:val="001F3503"/>
    <w:rsid w:val="001F3E65"/>
    <w:rsid w:val="001F4C58"/>
    <w:rsid w:val="001F4C86"/>
    <w:rsid w:val="001F506E"/>
    <w:rsid w:val="001F5783"/>
    <w:rsid w:val="001F63C2"/>
    <w:rsid w:val="001F7B88"/>
    <w:rsid w:val="001F7D44"/>
    <w:rsid w:val="0020001A"/>
    <w:rsid w:val="002000F4"/>
    <w:rsid w:val="002003BB"/>
    <w:rsid w:val="0020132B"/>
    <w:rsid w:val="002019B7"/>
    <w:rsid w:val="00201F1B"/>
    <w:rsid w:val="0020265D"/>
    <w:rsid w:val="00202988"/>
    <w:rsid w:val="00203B9A"/>
    <w:rsid w:val="00204D2E"/>
    <w:rsid w:val="00204F7C"/>
    <w:rsid w:val="002053C8"/>
    <w:rsid w:val="00205C24"/>
    <w:rsid w:val="00206424"/>
    <w:rsid w:val="00210259"/>
    <w:rsid w:val="0021094A"/>
    <w:rsid w:val="00210D56"/>
    <w:rsid w:val="002110F7"/>
    <w:rsid w:val="00211358"/>
    <w:rsid w:val="00211F9D"/>
    <w:rsid w:val="00212471"/>
    <w:rsid w:val="00212F22"/>
    <w:rsid w:val="00213E05"/>
    <w:rsid w:val="002149CE"/>
    <w:rsid w:val="00215269"/>
    <w:rsid w:val="00215648"/>
    <w:rsid w:val="00216419"/>
    <w:rsid w:val="002164E6"/>
    <w:rsid w:val="00221295"/>
    <w:rsid w:val="00221355"/>
    <w:rsid w:val="00222005"/>
    <w:rsid w:val="00222446"/>
    <w:rsid w:val="002224D9"/>
    <w:rsid w:val="00222894"/>
    <w:rsid w:val="0022312D"/>
    <w:rsid w:val="002232EF"/>
    <w:rsid w:val="00223FE5"/>
    <w:rsid w:val="00224254"/>
    <w:rsid w:val="00225BA6"/>
    <w:rsid w:val="002279EE"/>
    <w:rsid w:val="00227CE2"/>
    <w:rsid w:val="00230636"/>
    <w:rsid w:val="00230688"/>
    <w:rsid w:val="00230745"/>
    <w:rsid w:val="0023080F"/>
    <w:rsid w:val="00230BE4"/>
    <w:rsid w:val="00231AB0"/>
    <w:rsid w:val="00232264"/>
    <w:rsid w:val="0023273D"/>
    <w:rsid w:val="0023299B"/>
    <w:rsid w:val="00233EC4"/>
    <w:rsid w:val="00234858"/>
    <w:rsid w:val="0023507B"/>
    <w:rsid w:val="00235F9A"/>
    <w:rsid w:val="0023626C"/>
    <w:rsid w:val="00236329"/>
    <w:rsid w:val="00236BEB"/>
    <w:rsid w:val="002371DA"/>
    <w:rsid w:val="0023731F"/>
    <w:rsid w:val="00240107"/>
    <w:rsid w:val="0024014B"/>
    <w:rsid w:val="00240618"/>
    <w:rsid w:val="00240872"/>
    <w:rsid w:val="00241C8B"/>
    <w:rsid w:val="00241F68"/>
    <w:rsid w:val="002425C5"/>
    <w:rsid w:val="00244089"/>
    <w:rsid w:val="00244773"/>
    <w:rsid w:val="00246480"/>
    <w:rsid w:val="00247F43"/>
    <w:rsid w:val="00247F57"/>
    <w:rsid w:val="002506F0"/>
    <w:rsid w:val="00250864"/>
    <w:rsid w:val="00250A72"/>
    <w:rsid w:val="00250E90"/>
    <w:rsid w:val="00251EF6"/>
    <w:rsid w:val="00251EF9"/>
    <w:rsid w:val="00252750"/>
    <w:rsid w:val="00252960"/>
    <w:rsid w:val="00252CCB"/>
    <w:rsid w:val="0025359F"/>
    <w:rsid w:val="002543AF"/>
    <w:rsid w:val="00255A1B"/>
    <w:rsid w:val="00255ACB"/>
    <w:rsid w:val="00255B84"/>
    <w:rsid w:val="00255EAD"/>
    <w:rsid w:val="00255F60"/>
    <w:rsid w:val="0025697D"/>
    <w:rsid w:val="002574A3"/>
    <w:rsid w:val="002577E1"/>
    <w:rsid w:val="002600E0"/>
    <w:rsid w:val="00260326"/>
    <w:rsid w:val="00260D83"/>
    <w:rsid w:val="00260D91"/>
    <w:rsid w:val="00261F8A"/>
    <w:rsid w:val="002620C3"/>
    <w:rsid w:val="00262345"/>
    <w:rsid w:val="002633A8"/>
    <w:rsid w:val="002639E1"/>
    <w:rsid w:val="00263C0D"/>
    <w:rsid w:val="00264853"/>
    <w:rsid w:val="00265045"/>
    <w:rsid w:val="00265850"/>
    <w:rsid w:val="00265EA5"/>
    <w:rsid w:val="00265FB1"/>
    <w:rsid w:val="00266B8F"/>
    <w:rsid w:val="00266E5A"/>
    <w:rsid w:val="00267115"/>
    <w:rsid w:val="002674F2"/>
    <w:rsid w:val="00267CC2"/>
    <w:rsid w:val="0027065F"/>
    <w:rsid w:val="00270B77"/>
    <w:rsid w:val="00271401"/>
    <w:rsid w:val="00271578"/>
    <w:rsid w:val="002715EC"/>
    <w:rsid w:val="00271E39"/>
    <w:rsid w:val="00272099"/>
    <w:rsid w:val="002725A0"/>
    <w:rsid w:val="00272E10"/>
    <w:rsid w:val="00274A62"/>
    <w:rsid w:val="00274C02"/>
    <w:rsid w:val="002751D6"/>
    <w:rsid w:val="002752B4"/>
    <w:rsid w:val="00277277"/>
    <w:rsid w:val="002777EF"/>
    <w:rsid w:val="00277F52"/>
    <w:rsid w:val="00280BD2"/>
    <w:rsid w:val="00281857"/>
    <w:rsid w:val="002828F4"/>
    <w:rsid w:val="002833F3"/>
    <w:rsid w:val="00284278"/>
    <w:rsid w:val="00284B06"/>
    <w:rsid w:val="00284D02"/>
    <w:rsid w:val="00284FB3"/>
    <w:rsid w:val="00285225"/>
    <w:rsid w:val="00291394"/>
    <w:rsid w:val="00291F1F"/>
    <w:rsid w:val="0029246D"/>
    <w:rsid w:val="00293233"/>
    <w:rsid w:val="00293FC4"/>
    <w:rsid w:val="002945EE"/>
    <w:rsid w:val="00294661"/>
    <w:rsid w:val="00294A4C"/>
    <w:rsid w:val="00294B75"/>
    <w:rsid w:val="00294E95"/>
    <w:rsid w:val="00295360"/>
    <w:rsid w:val="00295956"/>
    <w:rsid w:val="002968C1"/>
    <w:rsid w:val="002968DA"/>
    <w:rsid w:val="00297ABD"/>
    <w:rsid w:val="00297CB5"/>
    <w:rsid w:val="00297FC3"/>
    <w:rsid w:val="002A1A1C"/>
    <w:rsid w:val="002A1AF4"/>
    <w:rsid w:val="002A1DEF"/>
    <w:rsid w:val="002A2614"/>
    <w:rsid w:val="002A2878"/>
    <w:rsid w:val="002A2E7D"/>
    <w:rsid w:val="002A3EDE"/>
    <w:rsid w:val="002A46CD"/>
    <w:rsid w:val="002A48B0"/>
    <w:rsid w:val="002A59A7"/>
    <w:rsid w:val="002A610F"/>
    <w:rsid w:val="002A64DC"/>
    <w:rsid w:val="002A6A82"/>
    <w:rsid w:val="002A72EA"/>
    <w:rsid w:val="002A7429"/>
    <w:rsid w:val="002A7DA0"/>
    <w:rsid w:val="002A7F86"/>
    <w:rsid w:val="002B06BC"/>
    <w:rsid w:val="002B0A6D"/>
    <w:rsid w:val="002B1933"/>
    <w:rsid w:val="002B1A37"/>
    <w:rsid w:val="002B1B8C"/>
    <w:rsid w:val="002B3A1F"/>
    <w:rsid w:val="002B3C2F"/>
    <w:rsid w:val="002B43DD"/>
    <w:rsid w:val="002B4765"/>
    <w:rsid w:val="002B54C2"/>
    <w:rsid w:val="002B56B1"/>
    <w:rsid w:val="002B578C"/>
    <w:rsid w:val="002B610D"/>
    <w:rsid w:val="002B667F"/>
    <w:rsid w:val="002B6740"/>
    <w:rsid w:val="002B78B8"/>
    <w:rsid w:val="002B7D4C"/>
    <w:rsid w:val="002B7E69"/>
    <w:rsid w:val="002C06FC"/>
    <w:rsid w:val="002C0A62"/>
    <w:rsid w:val="002C1160"/>
    <w:rsid w:val="002C13CE"/>
    <w:rsid w:val="002C1AE3"/>
    <w:rsid w:val="002C3287"/>
    <w:rsid w:val="002C3736"/>
    <w:rsid w:val="002C47AB"/>
    <w:rsid w:val="002C4842"/>
    <w:rsid w:val="002C4E86"/>
    <w:rsid w:val="002C5C7E"/>
    <w:rsid w:val="002C62F5"/>
    <w:rsid w:val="002C636B"/>
    <w:rsid w:val="002C676F"/>
    <w:rsid w:val="002C6800"/>
    <w:rsid w:val="002C6D8D"/>
    <w:rsid w:val="002C7060"/>
    <w:rsid w:val="002C75DB"/>
    <w:rsid w:val="002C7910"/>
    <w:rsid w:val="002C7B6A"/>
    <w:rsid w:val="002C7BA4"/>
    <w:rsid w:val="002D007F"/>
    <w:rsid w:val="002D08C5"/>
    <w:rsid w:val="002D128D"/>
    <w:rsid w:val="002D4932"/>
    <w:rsid w:val="002D4D9E"/>
    <w:rsid w:val="002D4EAD"/>
    <w:rsid w:val="002D63E0"/>
    <w:rsid w:val="002D6A34"/>
    <w:rsid w:val="002D6CA0"/>
    <w:rsid w:val="002D70FC"/>
    <w:rsid w:val="002D71FA"/>
    <w:rsid w:val="002D75B9"/>
    <w:rsid w:val="002D7EAA"/>
    <w:rsid w:val="002E05EB"/>
    <w:rsid w:val="002E09C1"/>
    <w:rsid w:val="002E0E0C"/>
    <w:rsid w:val="002E1315"/>
    <w:rsid w:val="002E156A"/>
    <w:rsid w:val="002E2501"/>
    <w:rsid w:val="002E26FC"/>
    <w:rsid w:val="002E4504"/>
    <w:rsid w:val="002E5794"/>
    <w:rsid w:val="002E5B51"/>
    <w:rsid w:val="002E5D7A"/>
    <w:rsid w:val="002E62CC"/>
    <w:rsid w:val="002E6A98"/>
    <w:rsid w:val="002E6C66"/>
    <w:rsid w:val="002E71A0"/>
    <w:rsid w:val="002F02A8"/>
    <w:rsid w:val="002F129C"/>
    <w:rsid w:val="002F1798"/>
    <w:rsid w:val="002F19A4"/>
    <w:rsid w:val="002F2C6C"/>
    <w:rsid w:val="002F4E0C"/>
    <w:rsid w:val="002F53CF"/>
    <w:rsid w:val="002F57EC"/>
    <w:rsid w:val="002F68C3"/>
    <w:rsid w:val="002F6902"/>
    <w:rsid w:val="002F711B"/>
    <w:rsid w:val="002F742D"/>
    <w:rsid w:val="002F79AB"/>
    <w:rsid w:val="002F7A0D"/>
    <w:rsid w:val="002F7EA3"/>
    <w:rsid w:val="00300308"/>
    <w:rsid w:val="003005D4"/>
    <w:rsid w:val="003006AE"/>
    <w:rsid w:val="00300CA7"/>
    <w:rsid w:val="00301693"/>
    <w:rsid w:val="0030271B"/>
    <w:rsid w:val="00303E3D"/>
    <w:rsid w:val="00305F89"/>
    <w:rsid w:val="00306D03"/>
    <w:rsid w:val="00306F02"/>
    <w:rsid w:val="00306FA8"/>
    <w:rsid w:val="003101B2"/>
    <w:rsid w:val="003109D6"/>
    <w:rsid w:val="003118A4"/>
    <w:rsid w:val="0031209E"/>
    <w:rsid w:val="00313AEB"/>
    <w:rsid w:val="00313DFE"/>
    <w:rsid w:val="00315211"/>
    <w:rsid w:val="00315347"/>
    <w:rsid w:val="003156A5"/>
    <w:rsid w:val="00315979"/>
    <w:rsid w:val="00315FE8"/>
    <w:rsid w:val="00316FC4"/>
    <w:rsid w:val="0031737C"/>
    <w:rsid w:val="003179BA"/>
    <w:rsid w:val="00317A70"/>
    <w:rsid w:val="00317B44"/>
    <w:rsid w:val="00317ED3"/>
    <w:rsid w:val="003202C8"/>
    <w:rsid w:val="00320574"/>
    <w:rsid w:val="003210A5"/>
    <w:rsid w:val="003210D7"/>
    <w:rsid w:val="0032159B"/>
    <w:rsid w:val="003239E7"/>
    <w:rsid w:val="003256DB"/>
    <w:rsid w:val="003278CE"/>
    <w:rsid w:val="00330FEA"/>
    <w:rsid w:val="00331627"/>
    <w:rsid w:val="003318DF"/>
    <w:rsid w:val="00331AE9"/>
    <w:rsid w:val="00332439"/>
    <w:rsid w:val="003325E0"/>
    <w:rsid w:val="0033337D"/>
    <w:rsid w:val="00333EA7"/>
    <w:rsid w:val="00334101"/>
    <w:rsid w:val="00334FA0"/>
    <w:rsid w:val="003357D3"/>
    <w:rsid w:val="00335C53"/>
    <w:rsid w:val="00336246"/>
    <w:rsid w:val="00336E12"/>
    <w:rsid w:val="003372A7"/>
    <w:rsid w:val="00337748"/>
    <w:rsid w:val="00337C0A"/>
    <w:rsid w:val="0034012C"/>
    <w:rsid w:val="0034089B"/>
    <w:rsid w:val="00340974"/>
    <w:rsid w:val="003458F6"/>
    <w:rsid w:val="003478D5"/>
    <w:rsid w:val="003478F2"/>
    <w:rsid w:val="003512EA"/>
    <w:rsid w:val="00351662"/>
    <w:rsid w:val="003520B0"/>
    <w:rsid w:val="0035255B"/>
    <w:rsid w:val="003528B4"/>
    <w:rsid w:val="003528E4"/>
    <w:rsid w:val="00353042"/>
    <w:rsid w:val="00354F67"/>
    <w:rsid w:val="0035521A"/>
    <w:rsid w:val="00355FA8"/>
    <w:rsid w:val="00356B35"/>
    <w:rsid w:val="00356BD7"/>
    <w:rsid w:val="00357C58"/>
    <w:rsid w:val="00357CFB"/>
    <w:rsid w:val="003602B0"/>
    <w:rsid w:val="003614A3"/>
    <w:rsid w:val="00361A33"/>
    <w:rsid w:val="00362376"/>
    <w:rsid w:val="0036267F"/>
    <w:rsid w:val="00362D46"/>
    <w:rsid w:val="00362F8C"/>
    <w:rsid w:val="003632FA"/>
    <w:rsid w:val="00365E7C"/>
    <w:rsid w:val="0037147C"/>
    <w:rsid w:val="003727F1"/>
    <w:rsid w:val="00372CF2"/>
    <w:rsid w:val="003734B3"/>
    <w:rsid w:val="00374068"/>
    <w:rsid w:val="00374F70"/>
    <w:rsid w:val="003765CA"/>
    <w:rsid w:val="00377100"/>
    <w:rsid w:val="003772E5"/>
    <w:rsid w:val="00377A65"/>
    <w:rsid w:val="0038075A"/>
    <w:rsid w:val="00381039"/>
    <w:rsid w:val="00381B38"/>
    <w:rsid w:val="00381CC4"/>
    <w:rsid w:val="0038235A"/>
    <w:rsid w:val="00383197"/>
    <w:rsid w:val="003839E2"/>
    <w:rsid w:val="00383CAE"/>
    <w:rsid w:val="00384655"/>
    <w:rsid w:val="0038491B"/>
    <w:rsid w:val="00385D2D"/>
    <w:rsid w:val="00385E6B"/>
    <w:rsid w:val="003871FC"/>
    <w:rsid w:val="00387AE2"/>
    <w:rsid w:val="00391194"/>
    <w:rsid w:val="00391496"/>
    <w:rsid w:val="00392911"/>
    <w:rsid w:val="00392DB5"/>
    <w:rsid w:val="00393321"/>
    <w:rsid w:val="00393533"/>
    <w:rsid w:val="00393D52"/>
    <w:rsid w:val="0039405C"/>
    <w:rsid w:val="00394837"/>
    <w:rsid w:val="00395181"/>
    <w:rsid w:val="00395224"/>
    <w:rsid w:val="00395AAB"/>
    <w:rsid w:val="00396AED"/>
    <w:rsid w:val="003970F2"/>
    <w:rsid w:val="003A0237"/>
    <w:rsid w:val="003A07B4"/>
    <w:rsid w:val="003A0A7F"/>
    <w:rsid w:val="003A13A9"/>
    <w:rsid w:val="003A2343"/>
    <w:rsid w:val="003A2845"/>
    <w:rsid w:val="003A2A06"/>
    <w:rsid w:val="003A2F66"/>
    <w:rsid w:val="003A3759"/>
    <w:rsid w:val="003A3B0A"/>
    <w:rsid w:val="003A3B3D"/>
    <w:rsid w:val="003A3C5F"/>
    <w:rsid w:val="003A3E46"/>
    <w:rsid w:val="003A5744"/>
    <w:rsid w:val="003A6404"/>
    <w:rsid w:val="003B009E"/>
    <w:rsid w:val="003B00BB"/>
    <w:rsid w:val="003B0427"/>
    <w:rsid w:val="003B157E"/>
    <w:rsid w:val="003B270E"/>
    <w:rsid w:val="003B2BD1"/>
    <w:rsid w:val="003B3710"/>
    <w:rsid w:val="003B3D2B"/>
    <w:rsid w:val="003B3F82"/>
    <w:rsid w:val="003B42BF"/>
    <w:rsid w:val="003B55D8"/>
    <w:rsid w:val="003B5B96"/>
    <w:rsid w:val="003B6151"/>
    <w:rsid w:val="003B75A5"/>
    <w:rsid w:val="003C08BF"/>
    <w:rsid w:val="003C0CD7"/>
    <w:rsid w:val="003C12CD"/>
    <w:rsid w:val="003C12F5"/>
    <w:rsid w:val="003C139F"/>
    <w:rsid w:val="003C1D36"/>
    <w:rsid w:val="003C2AE2"/>
    <w:rsid w:val="003C2E91"/>
    <w:rsid w:val="003C33E0"/>
    <w:rsid w:val="003C33FC"/>
    <w:rsid w:val="003C4E9C"/>
    <w:rsid w:val="003C5DC8"/>
    <w:rsid w:val="003D037C"/>
    <w:rsid w:val="003D1A09"/>
    <w:rsid w:val="003D1B31"/>
    <w:rsid w:val="003D1DFA"/>
    <w:rsid w:val="003D21BB"/>
    <w:rsid w:val="003D29DB"/>
    <w:rsid w:val="003D31F6"/>
    <w:rsid w:val="003D3274"/>
    <w:rsid w:val="003D3756"/>
    <w:rsid w:val="003D41CF"/>
    <w:rsid w:val="003D49E9"/>
    <w:rsid w:val="003D528B"/>
    <w:rsid w:val="003D54BB"/>
    <w:rsid w:val="003D560B"/>
    <w:rsid w:val="003D5697"/>
    <w:rsid w:val="003D575E"/>
    <w:rsid w:val="003D59D9"/>
    <w:rsid w:val="003D5D5D"/>
    <w:rsid w:val="003D5D97"/>
    <w:rsid w:val="003D72CB"/>
    <w:rsid w:val="003D78A8"/>
    <w:rsid w:val="003D7F65"/>
    <w:rsid w:val="003E0164"/>
    <w:rsid w:val="003E0834"/>
    <w:rsid w:val="003E14DD"/>
    <w:rsid w:val="003E1A53"/>
    <w:rsid w:val="003E20EC"/>
    <w:rsid w:val="003E2E1D"/>
    <w:rsid w:val="003E4E6E"/>
    <w:rsid w:val="003E524E"/>
    <w:rsid w:val="003E579E"/>
    <w:rsid w:val="003E5B35"/>
    <w:rsid w:val="003E6DCF"/>
    <w:rsid w:val="003F08B5"/>
    <w:rsid w:val="003F093E"/>
    <w:rsid w:val="003F0D0A"/>
    <w:rsid w:val="003F1603"/>
    <w:rsid w:val="003F1B87"/>
    <w:rsid w:val="003F26BD"/>
    <w:rsid w:val="003F3765"/>
    <w:rsid w:val="003F3931"/>
    <w:rsid w:val="003F4ABB"/>
    <w:rsid w:val="003F55A1"/>
    <w:rsid w:val="003F5A0F"/>
    <w:rsid w:val="003F5C20"/>
    <w:rsid w:val="003F5EA3"/>
    <w:rsid w:val="003F62B9"/>
    <w:rsid w:val="003F6AEB"/>
    <w:rsid w:val="003F7F37"/>
    <w:rsid w:val="00400383"/>
    <w:rsid w:val="0040066E"/>
    <w:rsid w:val="004018A4"/>
    <w:rsid w:val="00402CB7"/>
    <w:rsid w:val="004046A5"/>
    <w:rsid w:val="00404B7A"/>
    <w:rsid w:val="00404E91"/>
    <w:rsid w:val="00405AAC"/>
    <w:rsid w:val="00405EF7"/>
    <w:rsid w:val="004061AD"/>
    <w:rsid w:val="00407D66"/>
    <w:rsid w:val="00407D87"/>
    <w:rsid w:val="00410097"/>
    <w:rsid w:val="00410BDD"/>
    <w:rsid w:val="00410CA5"/>
    <w:rsid w:val="00410ED7"/>
    <w:rsid w:val="00411593"/>
    <w:rsid w:val="00411770"/>
    <w:rsid w:val="004118AD"/>
    <w:rsid w:val="004128DE"/>
    <w:rsid w:val="004131EA"/>
    <w:rsid w:val="004146C9"/>
    <w:rsid w:val="00414FED"/>
    <w:rsid w:val="004158E1"/>
    <w:rsid w:val="00415C24"/>
    <w:rsid w:val="00415F7F"/>
    <w:rsid w:val="00416681"/>
    <w:rsid w:val="00416D1A"/>
    <w:rsid w:val="004173F0"/>
    <w:rsid w:val="00417971"/>
    <w:rsid w:val="00417D3D"/>
    <w:rsid w:val="00420035"/>
    <w:rsid w:val="0042040A"/>
    <w:rsid w:val="0042129D"/>
    <w:rsid w:val="00422B00"/>
    <w:rsid w:val="00427D61"/>
    <w:rsid w:val="00430757"/>
    <w:rsid w:val="0043077F"/>
    <w:rsid w:val="00431229"/>
    <w:rsid w:val="00431D44"/>
    <w:rsid w:val="00431D9F"/>
    <w:rsid w:val="00432350"/>
    <w:rsid w:val="00432D07"/>
    <w:rsid w:val="0043341C"/>
    <w:rsid w:val="00434135"/>
    <w:rsid w:val="00434250"/>
    <w:rsid w:val="00434677"/>
    <w:rsid w:val="0043474D"/>
    <w:rsid w:val="0043477A"/>
    <w:rsid w:val="004359EF"/>
    <w:rsid w:val="00435B73"/>
    <w:rsid w:val="004361FF"/>
    <w:rsid w:val="0043674E"/>
    <w:rsid w:val="00436A90"/>
    <w:rsid w:val="00437437"/>
    <w:rsid w:val="00440963"/>
    <w:rsid w:val="00440AAE"/>
    <w:rsid w:val="0044135C"/>
    <w:rsid w:val="00442757"/>
    <w:rsid w:val="0044358D"/>
    <w:rsid w:val="00443B9E"/>
    <w:rsid w:val="00443D0E"/>
    <w:rsid w:val="0044512E"/>
    <w:rsid w:val="00447B35"/>
    <w:rsid w:val="00447B7F"/>
    <w:rsid w:val="00453692"/>
    <w:rsid w:val="00453947"/>
    <w:rsid w:val="004540A1"/>
    <w:rsid w:val="00454D5B"/>
    <w:rsid w:val="00454F52"/>
    <w:rsid w:val="00455407"/>
    <w:rsid w:val="00455CD6"/>
    <w:rsid w:val="00457FBE"/>
    <w:rsid w:val="004603CE"/>
    <w:rsid w:val="00460651"/>
    <w:rsid w:val="00460895"/>
    <w:rsid w:val="00460A92"/>
    <w:rsid w:val="00460BF3"/>
    <w:rsid w:val="004610EF"/>
    <w:rsid w:val="00461A8D"/>
    <w:rsid w:val="00461F53"/>
    <w:rsid w:val="00462634"/>
    <w:rsid w:val="00462B84"/>
    <w:rsid w:val="0046302C"/>
    <w:rsid w:val="004634D3"/>
    <w:rsid w:val="00463B9A"/>
    <w:rsid w:val="00463E21"/>
    <w:rsid w:val="004641D9"/>
    <w:rsid w:val="00465226"/>
    <w:rsid w:val="00465A54"/>
    <w:rsid w:val="00465FFB"/>
    <w:rsid w:val="004660FC"/>
    <w:rsid w:val="00466F2F"/>
    <w:rsid w:val="00467548"/>
    <w:rsid w:val="004677C1"/>
    <w:rsid w:val="0047024A"/>
    <w:rsid w:val="00471638"/>
    <w:rsid w:val="004718FE"/>
    <w:rsid w:val="00471A71"/>
    <w:rsid w:val="00473B6A"/>
    <w:rsid w:val="00474352"/>
    <w:rsid w:val="004743BD"/>
    <w:rsid w:val="00474E16"/>
    <w:rsid w:val="004754A0"/>
    <w:rsid w:val="004758DB"/>
    <w:rsid w:val="00476612"/>
    <w:rsid w:val="00477164"/>
    <w:rsid w:val="00477488"/>
    <w:rsid w:val="00477A89"/>
    <w:rsid w:val="00477EBE"/>
    <w:rsid w:val="00477ED7"/>
    <w:rsid w:val="00477F42"/>
    <w:rsid w:val="00480B7A"/>
    <w:rsid w:val="00480C84"/>
    <w:rsid w:val="00480D5F"/>
    <w:rsid w:val="0048114D"/>
    <w:rsid w:val="0048170C"/>
    <w:rsid w:val="00481DD7"/>
    <w:rsid w:val="00482A75"/>
    <w:rsid w:val="004850A6"/>
    <w:rsid w:val="00485414"/>
    <w:rsid w:val="00485595"/>
    <w:rsid w:val="0048574E"/>
    <w:rsid w:val="0048674C"/>
    <w:rsid w:val="0048729E"/>
    <w:rsid w:val="00487824"/>
    <w:rsid w:val="004904DA"/>
    <w:rsid w:val="00490AB8"/>
    <w:rsid w:val="00491783"/>
    <w:rsid w:val="004917EB"/>
    <w:rsid w:val="00491A72"/>
    <w:rsid w:val="00491C65"/>
    <w:rsid w:val="0049236E"/>
    <w:rsid w:val="00492516"/>
    <w:rsid w:val="00492742"/>
    <w:rsid w:val="00493572"/>
    <w:rsid w:val="0049405B"/>
    <w:rsid w:val="00494273"/>
    <w:rsid w:val="0049564B"/>
    <w:rsid w:val="00495AEC"/>
    <w:rsid w:val="00496199"/>
    <w:rsid w:val="004964ED"/>
    <w:rsid w:val="004969CA"/>
    <w:rsid w:val="00497388"/>
    <w:rsid w:val="004978C2"/>
    <w:rsid w:val="00497C00"/>
    <w:rsid w:val="00497F72"/>
    <w:rsid w:val="00497FED"/>
    <w:rsid w:val="004A0A01"/>
    <w:rsid w:val="004A1254"/>
    <w:rsid w:val="004A14BC"/>
    <w:rsid w:val="004A16C2"/>
    <w:rsid w:val="004A1EEC"/>
    <w:rsid w:val="004A22A4"/>
    <w:rsid w:val="004A2BF4"/>
    <w:rsid w:val="004A35F5"/>
    <w:rsid w:val="004A3F43"/>
    <w:rsid w:val="004A402B"/>
    <w:rsid w:val="004A5391"/>
    <w:rsid w:val="004A55FB"/>
    <w:rsid w:val="004A6FA6"/>
    <w:rsid w:val="004A7462"/>
    <w:rsid w:val="004A7F4C"/>
    <w:rsid w:val="004B05E1"/>
    <w:rsid w:val="004B157D"/>
    <w:rsid w:val="004B24E0"/>
    <w:rsid w:val="004B3530"/>
    <w:rsid w:val="004B4589"/>
    <w:rsid w:val="004B49D0"/>
    <w:rsid w:val="004B4D4C"/>
    <w:rsid w:val="004B6F01"/>
    <w:rsid w:val="004B704E"/>
    <w:rsid w:val="004B763D"/>
    <w:rsid w:val="004B7657"/>
    <w:rsid w:val="004C01A2"/>
    <w:rsid w:val="004C0EE1"/>
    <w:rsid w:val="004C1080"/>
    <w:rsid w:val="004C1F99"/>
    <w:rsid w:val="004C221B"/>
    <w:rsid w:val="004C2E86"/>
    <w:rsid w:val="004C3035"/>
    <w:rsid w:val="004C3A72"/>
    <w:rsid w:val="004C3E95"/>
    <w:rsid w:val="004C5230"/>
    <w:rsid w:val="004C58D3"/>
    <w:rsid w:val="004C64C1"/>
    <w:rsid w:val="004C6BE1"/>
    <w:rsid w:val="004C735A"/>
    <w:rsid w:val="004C7E71"/>
    <w:rsid w:val="004D07C8"/>
    <w:rsid w:val="004D0A8B"/>
    <w:rsid w:val="004D0D3B"/>
    <w:rsid w:val="004D15B8"/>
    <w:rsid w:val="004D17F7"/>
    <w:rsid w:val="004D2EC5"/>
    <w:rsid w:val="004D4632"/>
    <w:rsid w:val="004D4A38"/>
    <w:rsid w:val="004D4B05"/>
    <w:rsid w:val="004D4C6E"/>
    <w:rsid w:val="004D6630"/>
    <w:rsid w:val="004D6F0F"/>
    <w:rsid w:val="004D7515"/>
    <w:rsid w:val="004D79B0"/>
    <w:rsid w:val="004D7B45"/>
    <w:rsid w:val="004E020B"/>
    <w:rsid w:val="004E088A"/>
    <w:rsid w:val="004E0912"/>
    <w:rsid w:val="004E0DC6"/>
    <w:rsid w:val="004E11D9"/>
    <w:rsid w:val="004E21ED"/>
    <w:rsid w:val="004E337A"/>
    <w:rsid w:val="004E37F6"/>
    <w:rsid w:val="004E3E67"/>
    <w:rsid w:val="004E3E81"/>
    <w:rsid w:val="004E40FA"/>
    <w:rsid w:val="004E41BD"/>
    <w:rsid w:val="004E5A04"/>
    <w:rsid w:val="004E6626"/>
    <w:rsid w:val="004E66F4"/>
    <w:rsid w:val="004E7183"/>
    <w:rsid w:val="004E7250"/>
    <w:rsid w:val="004F10A9"/>
    <w:rsid w:val="004F129C"/>
    <w:rsid w:val="004F194B"/>
    <w:rsid w:val="004F2AA9"/>
    <w:rsid w:val="004F2C87"/>
    <w:rsid w:val="004F2EE0"/>
    <w:rsid w:val="004F4E15"/>
    <w:rsid w:val="004F5269"/>
    <w:rsid w:val="004F5939"/>
    <w:rsid w:val="004F5A31"/>
    <w:rsid w:val="004F5BA1"/>
    <w:rsid w:val="004F5DB4"/>
    <w:rsid w:val="004F600D"/>
    <w:rsid w:val="004F62E7"/>
    <w:rsid w:val="004F6870"/>
    <w:rsid w:val="004F6D92"/>
    <w:rsid w:val="00500620"/>
    <w:rsid w:val="00502A7E"/>
    <w:rsid w:val="00502D16"/>
    <w:rsid w:val="0050382F"/>
    <w:rsid w:val="00503C44"/>
    <w:rsid w:val="00504611"/>
    <w:rsid w:val="005046C0"/>
    <w:rsid w:val="00504E04"/>
    <w:rsid w:val="00505911"/>
    <w:rsid w:val="00507624"/>
    <w:rsid w:val="005078D1"/>
    <w:rsid w:val="00510487"/>
    <w:rsid w:val="005105A6"/>
    <w:rsid w:val="005109AA"/>
    <w:rsid w:val="00510DF3"/>
    <w:rsid w:val="005112DB"/>
    <w:rsid w:val="005123ED"/>
    <w:rsid w:val="005128DE"/>
    <w:rsid w:val="00512EC7"/>
    <w:rsid w:val="00513D51"/>
    <w:rsid w:val="00514EB3"/>
    <w:rsid w:val="00514EE4"/>
    <w:rsid w:val="0051656A"/>
    <w:rsid w:val="005171F2"/>
    <w:rsid w:val="00520B11"/>
    <w:rsid w:val="00521493"/>
    <w:rsid w:val="005221E1"/>
    <w:rsid w:val="005234A7"/>
    <w:rsid w:val="005243B3"/>
    <w:rsid w:val="005248E6"/>
    <w:rsid w:val="00525238"/>
    <w:rsid w:val="005256F4"/>
    <w:rsid w:val="00525794"/>
    <w:rsid w:val="00525FFD"/>
    <w:rsid w:val="00526156"/>
    <w:rsid w:val="00526FCE"/>
    <w:rsid w:val="00527B88"/>
    <w:rsid w:val="005317AB"/>
    <w:rsid w:val="0053228B"/>
    <w:rsid w:val="00533EC5"/>
    <w:rsid w:val="00534969"/>
    <w:rsid w:val="00535A8A"/>
    <w:rsid w:val="00536899"/>
    <w:rsid w:val="0053744C"/>
    <w:rsid w:val="005375BA"/>
    <w:rsid w:val="00537A3A"/>
    <w:rsid w:val="00537E47"/>
    <w:rsid w:val="005400E2"/>
    <w:rsid w:val="0054038F"/>
    <w:rsid w:val="00541BDE"/>
    <w:rsid w:val="00541EFC"/>
    <w:rsid w:val="00542143"/>
    <w:rsid w:val="005427CC"/>
    <w:rsid w:val="005434E0"/>
    <w:rsid w:val="00543738"/>
    <w:rsid w:val="0054397A"/>
    <w:rsid w:val="0054533C"/>
    <w:rsid w:val="0054575F"/>
    <w:rsid w:val="00545DEF"/>
    <w:rsid w:val="005471FF"/>
    <w:rsid w:val="0054731B"/>
    <w:rsid w:val="005478D7"/>
    <w:rsid w:val="00547D34"/>
    <w:rsid w:val="005508A6"/>
    <w:rsid w:val="005510AE"/>
    <w:rsid w:val="005569B7"/>
    <w:rsid w:val="00556A13"/>
    <w:rsid w:val="00556BD8"/>
    <w:rsid w:val="00556C9B"/>
    <w:rsid w:val="005606BD"/>
    <w:rsid w:val="00560CF0"/>
    <w:rsid w:val="00561464"/>
    <w:rsid w:val="00561B21"/>
    <w:rsid w:val="00563FED"/>
    <w:rsid w:val="00564A77"/>
    <w:rsid w:val="00564AE1"/>
    <w:rsid w:val="00564FF6"/>
    <w:rsid w:val="00566577"/>
    <w:rsid w:val="00567486"/>
    <w:rsid w:val="0057035D"/>
    <w:rsid w:val="0057117E"/>
    <w:rsid w:val="0057127B"/>
    <w:rsid w:val="00571EA8"/>
    <w:rsid w:val="00572594"/>
    <w:rsid w:val="00572BB3"/>
    <w:rsid w:val="00573A97"/>
    <w:rsid w:val="00574FD8"/>
    <w:rsid w:val="00575293"/>
    <w:rsid w:val="00575DB3"/>
    <w:rsid w:val="00575EEE"/>
    <w:rsid w:val="00576824"/>
    <w:rsid w:val="00577E64"/>
    <w:rsid w:val="00580A2D"/>
    <w:rsid w:val="00580C05"/>
    <w:rsid w:val="0058151A"/>
    <w:rsid w:val="00581556"/>
    <w:rsid w:val="00581E52"/>
    <w:rsid w:val="00582244"/>
    <w:rsid w:val="00583622"/>
    <w:rsid w:val="00584017"/>
    <w:rsid w:val="005847F0"/>
    <w:rsid w:val="00584D35"/>
    <w:rsid w:val="005851E9"/>
    <w:rsid w:val="005852E1"/>
    <w:rsid w:val="00586156"/>
    <w:rsid w:val="00586893"/>
    <w:rsid w:val="005868C7"/>
    <w:rsid w:val="00586A3F"/>
    <w:rsid w:val="00587BE9"/>
    <w:rsid w:val="00590529"/>
    <w:rsid w:val="00590B32"/>
    <w:rsid w:val="00590C75"/>
    <w:rsid w:val="005919BC"/>
    <w:rsid w:val="00591E54"/>
    <w:rsid w:val="0059234A"/>
    <w:rsid w:val="0059244D"/>
    <w:rsid w:val="0059381E"/>
    <w:rsid w:val="005940DD"/>
    <w:rsid w:val="005943B0"/>
    <w:rsid w:val="0059478B"/>
    <w:rsid w:val="00595706"/>
    <w:rsid w:val="00596F54"/>
    <w:rsid w:val="0059715A"/>
    <w:rsid w:val="00597228"/>
    <w:rsid w:val="005973E1"/>
    <w:rsid w:val="005974AC"/>
    <w:rsid w:val="005974E6"/>
    <w:rsid w:val="00597B47"/>
    <w:rsid w:val="005A0BF4"/>
    <w:rsid w:val="005A2016"/>
    <w:rsid w:val="005A2042"/>
    <w:rsid w:val="005A25A2"/>
    <w:rsid w:val="005A29E2"/>
    <w:rsid w:val="005A5345"/>
    <w:rsid w:val="005A53DC"/>
    <w:rsid w:val="005A5E1F"/>
    <w:rsid w:val="005A6DC2"/>
    <w:rsid w:val="005A7691"/>
    <w:rsid w:val="005A7CA9"/>
    <w:rsid w:val="005B0263"/>
    <w:rsid w:val="005B05D1"/>
    <w:rsid w:val="005B0E9E"/>
    <w:rsid w:val="005B13EF"/>
    <w:rsid w:val="005B2AEA"/>
    <w:rsid w:val="005B32DC"/>
    <w:rsid w:val="005B4A78"/>
    <w:rsid w:val="005B4D37"/>
    <w:rsid w:val="005B53B1"/>
    <w:rsid w:val="005B5F81"/>
    <w:rsid w:val="005B6AAC"/>
    <w:rsid w:val="005B6F37"/>
    <w:rsid w:val="005B7CF2"/>
    <w:rsid w:val="005C0102"/>
    <w:rsid w:val="005C08F4"/>
    <w:rsid w:val="005C1EB9"/>
    <w:rsid w:val="005C1F0E"/>
    <w:rsid w:val="005C3EAA"/>
    <w:rsid w:val="005C4C6D"/>
    <w:rsid w:val="005C546F"/>
    <w:rsid w:val="005C6EF1"/>
    <w:rsid w:val="005C7546"/>
    <w:rsid w:val="005C7A24"/>
    <w:rsid w:val="005D01F3"/>
    <w:rsid w:val="005D2101"/>
    <w:rsid w:val="005D279D"/>
    <w:rsid w:val="005D3561"/>
    <w:rsid w:val="005D398C"/>
    <w:rsid w:val="005D3D7B"/>
    <w:rsid w:val="005D443D"/>
    <w:rsid w:val="005D49EA"/>
    <w:rsid w:val="005D4B2D"/>
    <w:rsid w:val="005E0B4E"/>
    <w:rsid w:val="005E1053"/>
    <w:rsid w:val="005E1240"/>
    <w:rsid w:val="005E1A91"/>
    <w:rsid w:val="005E3C07"/>
    <w:rsid w:val="005E4909"/>
    <w:rsid w:val="005E55B7"/>
    <w:rsid w:val="005E5EAA"/>
    <w:rsid w:val="005E6001"/>
    <w:rsid w:val="005E7797"/>
    <w:rsid w:val="005E7AB5"/>
    <w:rsid w:val="005E7B56"/>
    <w:rsid w:val="005F0513"/>
    <w:rsid w:val="005F0BBE"/>
    <w:rsid w:val="005F1623"/>
    <w:rsid w:val="005F1923"/>
    <w:rsid w:val="005F2388"/>
    <w:rsid w:val="005F2A4E"/>
    <w:rsid w:val="005F2E3D"/>
    <w:rsid w:val="005F3000"/>
    <w:rsid w:val="005F38F7"/>
    <w:rsid w:val="005F3A01"/>
    <w:rsid w:val="005F3B86"/>
    <w:rsid w:val="005F3F05"/>
    <w:rsid w:val="005F4830"/>
    <w:rsid w:val="005F73EA"/>
    <w:rsid w:val="005F7DDF"/>
    <w:rsid w:val="0060068F"/>
    <w:rsid w:val="00601092"/>
    <w:rsid w:val="006011A2"/>
    <w:rsid w:val="00601CBF"/>
    <w:rsid w:val="00602CA5"/>
    <w:rsid w:val="00602E30"/>
    <w:rsid w:val="00604CAC"/>
    <w:rsid w:val="00605DDE"/>
    <w:rsid w:val="006066D4"/>
    <w:rsid w:val="00607484"/>
    <w:rsid w:val="00607BBE"/>
    <w:rsid w:val="00607E33"/>
    <w:rsid w:val="00607F89"/>
    <w:rsid w:val="00610724"/>
    <w:rsid w:val="00610BDE"/>
    <w:rsid w:val="00612022"/>
    <w:rsid w:val="00613953"/>
    <w:rsid w:val="00613BA3"/>
    <w:rsid w:val="00613D34"/>
    <w:rsid w:val="0061427F"/>
    <w:rsid w:val="0061485D"/>
    <w:rsid w:val="00614DAE"/>
    <w:rsid w:val="00614F96"/>
    <w:rsid w:val="00615684"/>
    <w:rsid w:val="00616069"/>
    <w:rsid w:val="00616457"/>
    <w:rsid w:val="0061667F"/>
    <w:rsid w:val="00616C61"/>
    <w:rsid w:val="00620049"/>
    <w:rsid w:val="006212A8"/>
    <w:rsid w:val="00623AEC"/>
    <w:rsid w:val="00624AC7"/>
    <w:rsid w:val="00624B70"/>
    <w:rsid w:val="006250D8"/>
    <w:rsid w:val="0062549D"/>
    <w:rsid w:val="00625BA5"/>
    <w:rsid w:val="00625CD5"/>
    <w:rsid w:val="00626538"/>
    <w:rsid w:val="00626649"/>
    <w:rsid w:val="006269C5"/>
    <w:rsid w:val="00626F2C"/>
    <w:rsid w:val="006311EC"/>
    <w:rsid w:val="006332F2"/>
    <w:rsid w:val="006340AE"/>
    <w:rsid w:val="00634563"/>
    <w:rsid w:val="0063480E"/>
    <w:rsid w:val="00634DAC"/>
    <w:rsid w:val="00634DF2"/>
    <w:rsid w:val="006355EE"/>
    <w:rsid w:val="006359DF"/>
    <w:rsid w:val="00635FD3"/>
    <w:rsid w:val="00636A43"/>
    <w:rsid w:val="006370CE"/>
    <w:rsid w:val="00637114"/>
    <w:rsid w:val="00637121"/>
    <w:rsid w:val="006373AD"/>
    <w:rsid w:val="00637B2D"/>
    <w:rsid w:val="00641700"/>
    <w:rsid w:val="00642219"/>
    <w:rsid w:val="00642C24"/>
    <w:rsid w:val="006439A1"/>
    <w:rsid w:val="00643C16"/>
    <w:rsid w:val="00644523"/>
    <w:rsid w:val="00644A9A"/>
    <w:rsid w:val="0064607D"/>
    <w:rsid w:val="006460CA"/>
    <w:rsid w:val="00646BA5"/>
    <w:rsid w:val="0065008F"/>
    <w:rsid w:val="00651DFE"/>
    <w:rsid w:val="006524B6"/>
    <w:rsid w:val="006525E7"/>
    <w:rsid w:val="00652E54"/>
    <w:rsid w:val="006540AF"/>
    <w:rsid w:val="006548FF"/>
    <w:rsid w:val="00655C0D"/>
    <w:rsid w:val="00656E1B"/>
    <w:rsid w:val="00657672"/>
    <w:rsid w:val="006600B8"/>
    <w:rsid w:val="00660138"/>
    <w:rsid w:val="006620AC"/>
    <w:rsid w:val="006620CB"/>
    <w:rsid w:val="00662C69"/>
    <w:rsid w:val="00662CA7"/>
    <w:rsid w:val="00663154"/>
    <w:rsid w:val="006653FA"/>
    <w:rsid w:val="00665884"/>
    <w:rsid w:val="00665CF2"/>
    <w:rsid w:val="00665D15"/>
    <w:rsid w:val="006664AE"/>
    <w:rsid w:val="0066656D"/>
    <w:rsid w:val="00666747"/>
    <w:rsid w:val="00667212"/>
    <w:rsid w:val="006736BD"/>
    <w:rsid w:val="00673FF3"/>
    <w:rsid w:val="006742A5"/>
    <w:rsid w:val="006744B4"/>
    <w:rsid w:val="0067486B"/>
    <w:rsid w:val="00675964"/>
    <w:rsid w:val="00675F47"/>
    <w:rsid w:val="00676918"/>
    <w:rsid w:val="00676D61"/>
    <w:rsid w:val="00676FAC"/>
    <w:rsid w:val="0067768B"/>
    <w:rsid w:val="00680712"/>
    <w:rsid w:val="006813E3"/>
    <w:rsid w:val="00682866"/>
    <w:rsid w:val="006834E6"/>
    <w:rsid w:val="006847F7"/>
    <w:rsid w:val="00685F9E"/>
    <w:rsid w:val="006874C9"/>
    <w:rsid w:val="00690578"/>
    <w:rsid w:val="006909E4"/>
    <w:rsid w:val="00690A6D"/>
    <w:rsid w:val="00690D15"/>
    <w:rsid w:val="00690D38"/>
    <w:rsid w:val="0069116A"/>
    <w:rsid w:val="006913B3"/>
    <w:rsid w:val="006917E4"/>
    <w:rsid w:val="00692377"/>
    <w:rsid w:val="00692810"/>
    <w:rsid w:val="006934AD"/>
    <w:rsid w:val="00693B0E"/>
    <w:rsid w:val="00694580"/>
    <w:rsid w:val="0069591E"/>
    <w:rsid w:val="0069591F"/>
    <w:rsid w:val="00695BD7"/>
    <w:rsid w:val="00696315"/>
    <w:rsid w:val="00696BBC"/>
    <w:rsid w:val="006971BD"/>
    <w:rsid w:val="0069728D"/>
    <w:rsid w:val="006A168F"/>
    <w:rsid w:val="006A1C05"/>
    <w:rsid w:val="006A1FCB"/>
    <w:rsid w:val="006A202E"/>
    <w:rsid w:val="006A20A6"/>
    <w:rsid w:val="006A3C2A"/>
    <w:rsid w:val="006A3E06"/>
    <w:rsid w:val="006A41E3"/>
    <w:rsid w:val="006A4596"/>
    <w:rsid w:val="006A49CA"/>
    <w:rsid w:val="006A4B1E"/>
    <w:rsid w:val="006A5AEA"/>
    <w:rsid w:val="006A5D79"/>
    <w:rsid w:val="006A72F6"/>
    <w:rsid w:val="006A7C8B"/>
    <w:rsid w:val="006B01D1"/>
    <w:rsid w:val="006B1273"/>
    <w:rsid w:val="006B1A2B"/>
    <w:rsid w:val="006B1EA1"/>
    <w:rsid w:val="006B2E3D"/>
    <w:rsid w:val="006B3388"/>
    <w:rsid w:val="006B3E36"/>
    <w:rsid w:val="006B3F71"/>
    <w:rsid w:val="006B44BC"/>
    <w:rsid w:val="006B4A84"/>
    <w:rsid w:val="006B52E5"/>
    <w:rsid w:val="006B5A05"/>
    <w:rsid w:val="006B5C64"/>
    <w:rsid w:val="006B627E"/>
    <w:rsid w:val="006B6BA1"/>
    <w:rsid w:val="006B7BBB"/>
    <w:rsid w:val="006C0915"/>
    <w:rsid w:val="006C1D56"/>
    <w:rsid w:val="006C23B9"/>
    <w:rsid w:val="006C2B07"/>
    <w:rsid w:val="006C32E7"/>
    <w:rsid w:val="006C3C20"/>
    <w:rsid w:val="006C4EDC"/>
    <w:rsid w:val="006C4FAB"/>
    <w:rsid w:val="006C6942"/>
    <w:rsid w:val="006C77C3"/>
    <w:rsid w:val="006D00BC"/>
    <w:rsid w:val="006D02D2"/>
    <w:rsid w:val="006D082E"/>
    <w:rsid w:val="006D2739"/>
    <w:rsid w:val="006D3190"/>
    <w:rsid w:val="006D3473"/>
    <w:rsid w:val="006D3EB0"/>
    <w:rsid w:val="006D416A"/>
    <w:rsid w:val="006D4374"/>
    <w:rsid w:val="006D46B6"/>
    <w:rsid w:val="006D496A"/>
    <w:rsid w:val="006D5FB5"/>
    <w:rsid w:val="006D61BE"/>
    <w:rsid w:val="006D6AC4"/>
    <w:rsid w:val="006E03D5"/>
    <w:rsid w:val="006E1278"/>
    <w:rsid w:val="006E17B7"/>
    <w:rsid w:val="006E18A6"/>
    <w:rsid w:val="006E1B8F"/>
    <w:rsid w:val="006E1C75"/>
    <w:rsid w:val="006E2D9A"/>
    <w:rsid w:val="006E4955"/>
    <w:rsid w:val="006E6082"/>
    <w:rsid w:val="006E617F"/>
    <w:rsid w:val="006E6A04"/>
    <w:rsid w:val="006F007A"/>
    <w:rsid w:val="006F0B4C"/>
    <w:rsid w:val="006F15BD"/>
    <w:rsid w:val="006F2934"/>
    <w:rsid w:val="006F2D8F"/>
    <w:rsid w:val="006F422D"/>
    <w:rsid w:val="006F518D"/>
    <w:rsid w:val="006F5201"/>
    <w:rsid w:val="006F5ABA"/>
    <w:rsid w:val="006F6530"/>
    <w:rsid w:val="006F726B"/>
    <w:rsid w:val="00700BBF"/>
    <w:rsid w:val="00700BE8"/>
    <w:rsid w:val="00700F3D"/>
    <w:rsid w:val="007037C2"/>
    <w:rsid w:val="00703892"/>
    <w:rsid w:val="007047D2"/>
    <w:rsid w:val="00704897"/>
    <w:rsid w:val="0070500B"/>
    <w:rsid w:val="0070590A"/>
    <w:rsid w:val="007060B3"/>
    <w:rsid w:val="00706B21"/>
    <w:rsid w:val="00710025"/>
    <w:rsid w:val="00710F70"/>
    <w:rsid w:val="00711BB7"/>
    <w:rsid w:val="00712625"/>
    <w:rsid w:val="00713EEB"/>
    <w:rsid w:val="00714B56"/>
    <w:rsid w:val="00716C42"/>
    <w:rsid w:val="00716DE4"/>
    <w:rsid w:val="007173E6"/>
    <w:rsid w:val="00720150"/>
    <w:rsid w:val="00720969"/>
    <w:rsid w:val="00720AB1"/>
    <w:rsid w:val="00720C1A"/>
    <w:rsid w:val="007220C5"/>
    <w:rsid w:val="007226FF"/>
    <w:rsid w:val="00722C86"/>
    <w:rsid w:val="0072347D"/>
    <w:rsid w:val="00723709"/>
    <w:rsid w:val="0072370E"/>
    <w:rsid w:val="007240CE"/>
    <w:rsid w:val="007244A1"/>
    <w:rsid w:val="0072470C"/>
    <w:rsid w:val="00724DA4"/>
    <w:rsid w:val="007254D9"/>
    <w:rsid w:val="0072578C"/>
    <w:rsid w:val="00725C5B"/>
    <w:rsid w:val="00725C62"/>
    <w:rsid w:val="00726A4B"/>
    <w:rsid w:val="00730664"/>
    <w:rsid w:val="00730CDA"/>
    <w:rsid w:val="00730E9A"/>
    <w:rsid w:val="00731B91"/>
    <w:rsid w:val="00732021"/>
    <w:rsid w:val="0073251E"/>
    <w:rsid w:val="00732B54"/>
    <w:rsid w:val="00734526"/>
    <w:rsid w:val="0073595C"/>
    <w:rsid w:val="00735F99"/>
    <w:rsid w:val="007361DA"/>
    <w:rsid w:val="00736866"/>
    <w:rsid w:val="00737398"/>
    <w:rsid w:val="00737D0E"/>
    <w:rsid w:val="00740935"/>
    <w:rsid w:val="00740B69"/>
    <w:rsid w:val="007410AC"/>
    <w:rsid w:val="00741573"/>
    <w:rsid w:val="00741FEA"/>
    <w:rsid w:val="0074360E"/>
    <w:rsid w:val="00743BEC"/>
    <w:rsid w:val="00743DC5"/>
    <w:rsid w:val="007454BD"/>
    <w:rsid w:val="00745814"/>
    <w:rsid w:val="00745BBA"/>
    <w:rsid w:val="00746746"/>
    <w:rsid w:val="007469DE"/>
    <w:rsid w:val="00746E05"/>
    <w:rsid w:val="00746FCF"/>
    <w:rsid w:val="007472A3"/>
    <w:rsid w:val="0074739B"/>
    <w:rsid w:val="00747EAB"/>
    <w:rsid w:val="007506E2"/>
    <w:rsid w:val="007508D9"/>
    <w:rsid w:val="00751CF3"/>
    <w:rsid w:val="00751D4E"/>
    <w:rsid w:val="007525A6"/>
    <w:rsid w:val="00752AAF"/>
    <w:rsid w:val="00752E22"/>
    <w:rsid w:val="0075308B"/>
    <w:rsid w:val="007540CF"/>
    <w:rsid w:val="00754659"/>
    <w:rsid w:val="007546D1"/>
    <w:rsid w:val="00754C18"/>
    <w:rsid w:val="00754E07"/>
    <w:rsid w:val="00755098"/>
    <w:rsid w:val="00755160"/>
    <w:rsid w:val="00756344"/>
    <w:rsid w:val="0075645E"/>
    <w:rsid w:val="007564AC"/>
    <w:rsid w:val="00756CA9"/>
    <w:rsid w:val="0075707D"/>
    <w:rsid w:val="00757632"/>
    <w:rsid w:val="00760AAE"/>
    <w:rsid w:val="00760CC8"/>
    <w:rsid w:val="007624F3"/>
    <w:rsid w:val="00762D77"/>
    <w:rsid w:val="007634F6"/>
    <w:rsid w:val="00764039"/>
    <w:rsid w:val="007640A3"/>
    <w:rsid w:val="0076479C"/>
    <w:rsid w:val="00765208"/>
    <w:rsid w:val="007654F2"/>
    <w:rsid w:val="00765C46"/>
    <w:rsid w:val="00765CB2"/>
    <w:rsid w:val="007662D1"/>
    <w:rsid w:val="0076702B"/>
    <w:rsid w:val="00767625"/>
    <w:rsid w:val="007678F7"/>
    <w:rsid w:val="00767FF5"/>
    <w:rsid w:val="00767FF6"/>
    <w:rsid w:val="007709E5"/>
    <w:rsid w:val="00771D84"/>
    <w:rsid w:val="0077269D"/>
    <w:rsid w:val="00773842"/>
    <w:rsid w:val="0077384A"/>
    <w:rsid w:val="00773910"/>
    <w:rsid w:val="00773E61"/>
    <w:rsid w:val="00773EC6"/>
    <w:rsid w:val="00774432"/>
    <w:rsid w:val="00774803"/>
    <w:rsid w:val="0077568A"/>
    <w:rsid w:val="00775ACE"/>
    <w:rsid w:val="00776D05"/>
    <w:rsid w:val="00776F1D"/>
    <w:rsid w:val="00777201"/>
    <w:rsid w:val="00777A47"/>
    <w:rsid w:val="00777B43"/>
    <w:rsid w:val="007806F2"/>
    <w:rsid w:val="00780D35"/>
    <w:rsid w:val="00780EDC"/>
    <w:rsid w:val="00781BFF"/>
    <w:rsid w:val="00782B7C"/>
    <w:rsid w:val="00782E4B"/>
    <w:rsid w:val="0078310D"/>
    <w:rsid w:val="007848C2"/>
    <w:rsid w:val="00785639"/>
    <w:rsid w:val="007859D4"/>
    <w:rsid w:val="00785A87"/>
    <w:rsid w:val="00785CF5"/>
    <w:rsid w:val="00785EA5"/>
    <w:rsid w:val="0078618C"/>
    <w:rsid w:val="0078644B"/>
    <w:rsid w:val="0078706D"/>
    <w:rsid w:val="0078777F"/>
    <w:rsid w:val="00790FAA"/>
    <w:rsid w:val="007925C8"/>
    <w:rsid w:val="0079271D"/>
    <w:rsid w:val="0079430C"/>
    <w:rsid w:val="00794692"/>
    <w:rsid w:val="00795650"/>
    <w:rsid w:val="00795B38"/>
    <w:rsid w:val="00795BCB"/>
    <w:rsid w:val="00795CEA"/>
    <w:rsid w:val="007961DD"/>
    <w:rsid w:val="007975ED"/>
    <w:rsid w:val="007A0D2C"/>
    <w:rsid w:val="007A120F"/>
    <w:rsid w:val="007A15D1"/>
    <w:rsid w:val="007A16C1"/>
    <w:rsid w:val="007A1839"/>
    <w:rsid w:val="007A2B61"/>
    <w:rsid w:val="007A4482"/>
    <w:rsid w:val="007A47CB"/>
    <w:rsid w:val="007A552B"/>
    <w:rsid w:val="007A617E"/>
    <w:rsid w:val="007A6451"/>
    <w:rsid w:val="007A7C76"/>
    <w:rsid w:val="007B02F1"/>
    <w:rsid w:val="007B079F"/>
    <w:rsid w:val="007B1F5B"/>
    <w:rsid w:val="007B4D16"/>
    <w:rsid w:val="007B5642"/>
    <w:rsid w:val="007B5B78"/>
    <w:rsid w:val="007B64B6"/>
    <w:rsid w:val="007B6999"/>
    <w:rsid w:val="007B7385"/>
    <w:rsid w:val="007B7EE5"/>
    <w:rsid w:val="007C08F6"/>
    <w:rsid w:val="007C0AD1"/>
    <w:rsid w:val="007C0E5F"/>
    <w:rsid w:val="007C24B6"/>
    <w:rsid w:val="007C2D25"/>
    <w:rsid w:val="007C2E11"/>
    <w:rsid w:val="007C2E1A"/>
    <w:rsid w:val="007C2E61"/>
    <w:rsid w:val="007C31A4"/>
    <w:rsid w:val="007C3673"/>
    <w:rsid w:val="007C4AAF"/>
    <w:rsid w:val="007C576A"/>
    <w:rsid w:val="007C6BEC"/>
    <w:rsid w:val="007C6F26"/>
    <w:rsid w:val="007C7402"/>
    <w:rsid w:val="007C7955"/>
    <w:rsid w:val="007C7B56"/>
    <w:rsid w:val="007C7CFD"/>
    <w:rsid w:val="007D0C41"/>
    <w:rsid w:val="007D123C"/>
    <w:rsid w:val="007D1B00"/>
    <w:rsid w:val="007D1D1D"/>
    <w:rsid w:val="007D2E09"/>
    <w:rsid w:val="007D30FB"/>
    <w:rsid w:val="007D480A"/>
    <w:rsid w:val="007D4AF6"/>
    <w:rsid w:val="007D4C3B"/>
    <w:rsid w:val="007D4E9F"/>
    <w:rsid w:val="007D5ABC"/>
    <w:rsid w:val="007D5B92"/>
    <w:rsid w:val="007D6052"/>
    <w:rsid w:val="007D62F1"/>
    <w:rsid w:val="007D6DE2"/>
    <w:rsid w:val="007D7B4A"/>
    <w:rsid w:val="007E0366"/>
    <w:rsid w:val="007E0B10"/>
    <w:rsid w:val="007E1E48"/>
    <w:rsid w:val="007E1F8B"/>
    <w:rsid w:val="007E25BC"/>
    <w:rsid w:val="007E26EF"/>
    <w:rsid w:val="007E2AC2"/>
    <w:rsid w:val="007E2DF8"/>
    <w:rsid w:val="007E4D25"/>
    <w:rsid w:val="007E5FA9"/>
    <w:rsid w:val="007E60AC"/>
    <w:rsid w:val="007E6A2F"/>
    <w:rsid w:val="007E7E2D"/>
    <w:rsid w:val="007E7EC3"/>
    <w:rsid w:val="007F1C03"/>
    <w:rsid w:val="007F2DE9"/>
    <w:rsid w:val="007F2E75"/>
    <w:rsid w:val="007F3B30"/>
    <w:rsid w:val="007F3E24"/>
    <w:rsid w:val="007F4445"/>
    <w:rsid w:val="007F4A78"/>
    <w:rsid w:val="007F4C40"/>
    <w:rsid w:val="007F50B4"/>
    <w:rsid w:val="007F6632"/>
    <w:rsid w:val="007F66FB"/>
    <w:rsid w:val="007F6E05"/>
    <w:rsid w:val="007F6EF5"/>
    <w:rsid w:val="007F7A92"/>
    <w:rsid w:val="008006DA"/>
    <w:rsid w:val="008017F3"/>
    <w:rsid w:val="00801A34"/>
    <w:rsid w:val="00801CC8"/>
    <w:rsid w:val="00801F05"/>
    <w:rsid w:val="008022B7"/>
    <w:rsid w:val="00802738"/>
    <w:rsid w:val="00802D16"/>
    <w:rsid w:val="00802FB3"/>
    <w:rsid w:val="00803B33"/>
    <w:rsid w:val="00803B75"/>
    <w:rsid w:val="00804C8F"/>
    <w:rsid w:val="00804FC9"/>
    <w:rsid w:val="00805395"/>
    <w:rsid w:val="0080541E"/>
    <w:rsid w:val="00805808"/>
    <w:rsid w:val="00805ED7"/>
    <w:rsid w:val="008077AB"/>
    <w:rsid w:val="00807BF7"/>
    <w:rsid w:val="00807CA5"/>
    <w:rsid w:val="00810350"/>
    <w:rsid w:val="008105E9"/>
    <w:rsid w:val="008117AE"/>
    <w:rsid w:val="008125B3"/>
    <w:rsid w:val="00812793"/>
    <w:rsid w:val="00812847"/>
    <w:rsid w:val="00812A44"/>
    <w:rsid w:val="00813248"/>
    <w:rsid w:val="00813333"/>
    <w:rsid w:val="008139DE"/>
    <w:rsid w:val="00814267"/>
    <w:rsid w:val="00815171"/>
    <w:rsid w:val="00815FCF"/>
    <w:rsid w:val="008165CA"/>
    <w:rsid w:val="0081682C"/>
    <w:rsid w:val="00816F09"/>
    <w:rsid w:val="00817676"/>
    <w:rsid w:val="00822A82"/>
    <w:rsid w:val="00823563"/>
    <w:rsid w:val="0082411D"/>
    <w:rsid w:val="008243EC"/>
    <w:rsid w:val="008249D7"/>
    <w:rsid w:val="00824C75"/>
    <w:rsid w:val="00825CA8"/>
    <w:rsid w:val="00826181"/>
    <w:rsid w:val="00826B2B"/>
    <w:rsid w:val="008271B4"/>
    <w:rsid w:val="008275C2"/>
    <w:rsid w:val="008317EE"/>
    <w:rsid w:val="008318E0"/>
    <w:rsid w:val="008338BC"/>
    <w:rsid w:val="00833B1F"/>
    <w:rsid w:val="00834219"/>
    <w:rsid w:val="00834551"/>
    <w:rsid w:val="00834D6C"/>
    <w:rsid w:val="00834FB0"/>
    <w:rsid w:val="008353A3"/>
    <w:rsid w:val="00835F19"/>
    <w:rsid w:val="0083655A"/>
    <w:rsid w:val="00836A24"/>
    <w:rsid w:val="00836DB1"/>
    <w:rsid w:val="00837A3F"/>
    <w:rsid w:val="00840574"/>
    <w:rsid w:val="008408D5"/>
    <w:rsid w:val="00840A96"/>
    <w:rsid w:val="00841319"/>
    <w:rsid w:val="00841AF3"/>
    <w:rsid w:val="00842864"/>
    <w:rsid w:val="00842CF5"/>
    <w:rsid w:val="00843397"/>
    <w:rsid w:val="00843D52"/>
    <w:rsid w:val="00844AA4"/>
    <w:rsid w:val="008479BF"/>
    <w:rsid w:val="00850036"/>
    <w:rsid w:val="00850740"/>
    <w:rsid w:val="00850AEC"/>
    <w:rsid w:val="00850B2A"/>
    <w:rsid w:val="00851518"/>
    <w:rsid w:val="00851875"/>
    <w:rsid w:val="00851CDB"/>
    <w:rsid w:val="00854225"/>
    <w:rsid w:val="00854294"/>
    <w:rsid w:val="00854901"/>
    <w:rsid w:val="00854FDF"/>
    <w:rsid w:val="00855C68"/>
    <w:rsid w:val="00855C88"/>
    <w:rsid w:val="00855D58"/>
    <w:rsid w:val="00855D69"/>
    <w:rsid w:val="00856E50"/>
    <w:rsid w:val="0085799D"/>
    <w:rsid w:val="00857FD1"/>
    <w:rsid w:val="00860374"/>
    <w:rsid w:val="00860E56"/>
    <w:rsid w:val="00860FA1"/>
    <w:rsid w:val="0086144B"/>
    <w:rsid w:val="0086165F"/>
    <w:rsid w:val="008623C0"/>
    <w:rsid w:val="0086274E"/>
    <w:rsid w:val="008627CC"/>
    <w:rsid w:val="00862835"/>
    <w:rsid w:val="0086343C"/>
    <w:rsid w:val="00863BDF"/>
    <w:rsid w:val="00863D4E"/>
    <w:rsid w:val="00864365"/>
    <w:rsid w:val="00864B4E"/>
    <w:rsid w:val="00864B8C"/>
    <w:rsid w:val="00865077"/>
    <w:rsid w:val="00866954"/>
    <w:rsid w:val="00866B9A"/>
    <w:rsid w:val="00867FA0"/>
    <w:rsid w:val="00870595"/>
    <w:rsid w:val="008725DD"/>
    <w:rsid w:val="008728DC"/>
    <w:rsid w:val="0087299E"/>
    <w:rsid w:val="008729E8"/>
    <w:rsid w:val="008736BF"/>
    <w:rsid w:val="00873B5F"/>
    <w:rsid w:val="00873B7A"/>
    <w:rsid w:val="00873C67"/>
    <w:rsid w:val="00874EAA"/>
    <w:rsid w:val="008760BC"/>
    <w:rsid w:val="0087652F"/>
    <w:rsid w:val="00876D9F"/>
    <w:rsid w:val="00876E88"/>
    <w:rsid w:val="008779FA"/>
    <w:rsid w:val="008803D2"/>
    <w:rsid w:val="00880B86"/>
    <w:rsid w:val="00881BAC"/>
    <w:rsid w:val="0088209F"/>
    <w:rsid w:val="008822AE"/>
    <w:rsid w:val="00882DDE"/>
    <w:rsid w:val="00883A31"/>
    <w:rsid w:val="008842A8"/>
    <w:rsid w:val="008845DC"/>
    <w:rsid w:val="008855A4"/>
    <w:rsid w:val="00885BD1"/>
    <w:rsid w:val="00885F9A"/>
    <w:rsid w:val="0088658D"/>
    <w:rsid w:val="00890AE5"/>
    <w:rsid w:val="00890E23"/>
    <w:rsid w:val="00892078"/>
    <w:rsid w:val="00892ECD"/>
    <w:rsid w:val="008944AD"/>
    <w:rsid w:val="00895408"/>
    <w:rsid w:val="00896430"/>
    <w:rsid w:val="00896B52"/>
    <w:rsid w:val="00896C3C"/>
    <w:rsid w:val="00896E31"/>
    <w:rsid w:val="008A0AFE"/>
    <w:rsid w:val="008A0F84"/>
    <w:rsid w:val="008A20B0"/>
    <w:rsid w:val="008A32B5"/>
    <w:rsid w:val="008A5170"/>
    <w:rsid w:val="008A6976"/>
    <w:rsid w:val="008B0270"/>
    <w:rsid w:val="008B0506"/>
    <w:rsid w:val="008B0D4A"/>
    <w:rsid w:val="008B0E5D"/>
    <w:rsid w:val="008B167A"/>
    <w:rsid w:val="008B2948"/>
    <w:rsid w:val="008B2B4F"/>
    <w:rsid w:val="008B2BE4"/>
    <w:rsid w:val="008B30FB"/>
    <w:rsid w:val="008B312D"/>
    <w:rsid w:val="008B3E4A"/>
    <w:rsid w:val="008B44E9"/>
    <w:rsid w:val="008B4F29"/>
    <w:rsid w:val="008B5E19"/>
    <w:rsid w:val="008B6E15"/>
    <w:rsid w:val="008B7586"/>
    <w:rsid w:val="008B78F9"/>
    <w:rsid w:val="008C0A3C"/>
    <w:rsid w:val="008C27DE"/>
    <w:rsid w:val="008C30C2"/>
    <w:rsid w:val="008C3140"/>
    <w:rsid w:val="008C3660"/>
    <w:rsid w:val="008C3707"/>
    <w:rsid w:val="008C3C11"/>
    <w:rsid w:val="008C4E1B"/>
    <w:rsid w:val="008C580E"/>
    <w:rsid w:val="008C5962"/>
    <w:rsid w:val="008C6D6A"/>
    <w:rsid w:val="008C70BD"/>
    <w:rsid w:val="008C7968"/>
    <w:rsid w:val="008D09E2"/>
    <w:rsid w:val="008D0D4A"/>
    <w:rsid w:val="008D2EF4"/>
    <w:rsid w:val="008D39E4"/>
    <w:rsid w:val="008D3ED2"/>
    <w:rsid w:val="008D4067"/>
    <w:rsid w:val="008D4994"/>
    <w:rsid w:val="008D4C7A"/>
    <w:rsid w:val="008D5819"/>
    <w:rsid w:val="008D7BED"/>
    <w:rsid w:val="008E145B"/>
    <w:rsid w:val="008E155B"/>
    <w:rsid w:val="008E1EB1"/>
    <w:rsid w:val="008E2264"/>
    <w:rsid w:val="008E4906"/>
    <w:rsid w:val="008E4993"/>
    <w:rsid w:val="008E50C6"/>
    <w:rsid w:val="008E7353"/>
    <w:rsid w:val="008F00D0"/>
    <w:rsid w:val="008F1749"/>
    <w:rsid w:val="008F2068"/>
    <w:rsid w:val="008F270A"/>
    <w:rsid w:val="008F441D"/>
    <w:rsid w:val="008F450D"/>
    <w:rsid w:val="008F4FA3"/>
    <w:rsid w:val="008F533C"/>
    <w:rsid w:val="008F57C1"/>
    <w:rsid w:val="008F5F48"/>
    <w:rsid w:val="008F5FCE"/>
    <w:rsid w:val="008F625B"/>
    <w:rsid w:val="008F679A"/>
    <w:rsid w:val="008F6C8F"/>
    <w:rsid w:val="008F6F5C"/>
    <w:rsid w:val="008F76C0"/>
    <w:rsid w:val="008F77D5"/>
    <w:rsid w:val="009017A2"/>
    <w:rsid w:val="00901875"/>
    <w:rsid w:val="00902173"/>
    <w:rsid w:val="009028E3"/>
    <w:rsid w:val="0090295A"/>
    <w:rsid w:val="0090360A"/>
    <w:rsid w:val="0090493B"/>
    <w:rsid w:val="00904960"/>
    <w:rsid w:val="00904D97"/>
    <w:rsid w:val="00905194"/>
    <w:rsid w:val="00906AAC"/>
    <w:rsid w:val="0090798B"/>
    <w:rsid w:val="00907B51"/>
    <w:rsid w:val="00907E92"/>
    <w:rsid w:val="00907F83"/>
    <w:rsid w:val="00910911"/>
    <w:rsid w:val="009109F2"/>
    <w:rsid w:val="009124FE"/>
    <w:rsid w:val="00915885"/>
    <w:rsid w:val="00915F70"/>
    <w:rsid w:val="0091626F"/>
    <w:rsid w:val="00916419"/>
    <w:rsid w:val="0091649E"/>
    <w:rsid w:val="0091691A"/>
    <w:rsid w:val="00916A46"/>
    <w:rsid w:val="0091764F"/>
    <w:rsid w:val="00917CDE"/>
    <w:rsid w:val="00921173"/>
    <w:rsid w:val="0092170C"/>
    <w:rsid w:val="00921D62"/>
    <w:rsid w:val="00922723"/>
    <w:rsid w:val="00922FD2"/>
    <w:rsid w:val="0092304E"/>
    <w:rsid w:val="009237DB"/>
    <w:rsid w:val="00923DDF"/>
    <w:rsid w:val="00924655"/>
    <w:rsid w:val="00926042"/>
    <w:rsid w:val="00926C29"/>
    <w:rsid w:val="00927294"/>
    <w:rsid w:val="0092741C"/>
    <w:rsid w:val="009302E8"/>
    <w:rsid w:val="00930691"/>
    <w:rsid w:val="009319D0"/>
    <w:rsid w:val="00931B6C"/>
    <w:rsid w:val="009324DA"/>
    <w:rsid w:val="0093263D"/>
    <w:rsid w:val="0093282C"/>
    <w:rsid w:val="00932A2C"/>
    <w:rsid w:val="00932CEB"/>
    <w:rsid w:val="00932D85"/>
    <w:rsid w:val="00933241"/>
    <w:rsid w:val="009347CA"/>
    <w:rsid w:val="00934A3F"/>
    <w:rsid w:val="00934DA3"/>
    <w:rsid w:val="0093534E"/>
    <w:rsid w:val="00935ED2"/>
    <w:rsid w:val="00936010"/>
    <w:rsid w:val="00936BE2"/>
    <w:rsid w:val="009377A8"/>
    <w:rsid w:val="00940BC9"/>
    <w:rsid w:val="00941467"/>
    <w:rsid w:val="009420A1"/>
    <w:rsid w:val="00942DCC"/>
    <w:rsid w:val="00943788"/>
    <w:rsid w:val="00943A75"/>
    <w:rsid w:val="009441B9"/>
    <w:rsid w:val="009444C0"/>
    <w:rsid w:val="00945359"/>
    <w:rsid w:val="00945A27"/>
    <w:rsid w:val="00945D8D"/>
    <w:rsid w:val="00946337"/>
    <w:rsid w:val="00946DBE"/>
    <w:rsid w:val="00947B91"/>
    <w:rsid w:val="00947C81"/>
    <w:rsid w:val="00950082"/>
    <w:rsid w:val="00950253"/>
    <w:rsid w:val="0095030D"/>
    <w:rsid w:val="00950871"/>
    <w:rsid w:val="00950FD7"/>
    <w:rsid w:val="009526AB"/>
    <w:rsid w:val="00953E87"/>
    <w:rsid w:val="009551F7"/>
    <w:rsid w:val="00955216"/>
    <w:rsid w:val="0095545A"/>
    <w:rsid w:val="00955791"/>
    <w:rsid w:val="009563BC"/>
    <w:rsid w:val="00956C7D"/>
    <w:rsid w:val="00957095"/>
    <w:rsid w:val="009575A7"/>
    <w:rsid w:val="00957623"/>
    <w:rsid w:val="00957A78"/>
    <w:rsid w:val="00957FDC"/>
    <w:rsid w:val="00960269"/>
    <w:rsid w:val="00961FBB"/>
    <w:rsid w:val="0096257F"/>
    <w:rsid w:val="0096286D"/>
    <w:rsid w:val="00963E57"/>
    <w:rsid w:val="009641A9"/>
    <w:rsid w:val="0096446D"/>
    <w:rsid w:val="009648BD"/>
    <w:rsid w:val="00964B30"/>
    <w:rsid w:val="00964C5C"/>
    <w:rsid w:val="00964F94"/>
    <w:rsid w:val="009654C2"/>
    <w:rsid w:val="00965A7A"/>
    <w:rsid w:val="00965DD2"/>
    <w:rsid w:val="00965E3D"/>
    <w:rsid w:val="00965F36"/>
    <w:rsid w:val="00966D38"/>
    <w:rsid w:val="0096747E"/>
    <w:rsid w:val="009676BE"/>
    <w:rsid w:val="00971D49"/>
    <w:rsid w:val="00972BD8"/>
    <w:rsid w:val="00972E2B"/>
    <w:rsid w:val="00972F07"/>
    <w:rsid w:val="0097454C"/>
    <w:rsid w:val="00974857"/>
    <w:rsid w:val="009753CA"/>
    <w:rsid w:val="00975ADB"/>
    <w:rsid w:val="00975E84"/>
    <w:rsid w:val="00977B39"/>
    <w:rsid w:val="009805F8"/>
    <w:rsid w:val="009811B2"/>
    <w:rsid w:val="009811E6"/>
    <w:rsid w:val="009821DC"/>
    <w:rsid w:val="00982512"/>
    <w:rsid w:val="009836D5"/>
    <w:rsid w:val="00983D67"/>
    <w:rsid w:val="00985836"/>
    <w:rsid w:val="00985B72"/>
    <w:rsid w:val="00986265"/>
    <w:rsid w:val="00986645"/>
    <w:rsid w:val="00986912"/>
    <w:rsid w:val="0098691B"/>
    <w:rsid w:val="00986E97"/>
    <w:rsid w:val="009878EB"/>
    <w:rsid w:val="00990F52"/>
    <w:rsid w:val="009913F5"/>
    <w:rsid w:val="0099195E"/>
    <w:rsid w:val="0099238E"/>
    <w:rsid w:val="009925C2"/>
    <w:rsid w:val="00992BBE"/>
    <w:rsid w:val="00992F53"/>
    <w:rsid w:val="00993034"/>
    <w:rsid w:val="00993BF5"/>
    <w:rsid w:val="0099469A"/>
    <w:rsid w:val="0099510F"/>
    <w:rsid w:val="00995D26"/>
    <w:rsid w:val="00996DB6"/>
    <w:rsid w:val="009971B6"/>
    <w:rsid w:val="009979A3"/>
    <w:rsid w:val="00997C9E"/>
    <w:rsid w:val="009A0061"/>
    <w:rsid w:val="009A0154"/>
    <w:rsid w:val="009A03D2"/>
    <w:rsid w:val="009A175C"/>
    <w:rsid w:val="009A1F44"/>
    <w:rsid w:val="009A333E"/>
    <w:rsid w:val="009A3C55"/>
    <w:rsid w:val="009A538A"/>
    <w:rsid w:val="009A5723"/>
    <w:rsid w:val="009A5B62"/>
    <w:rsid w:val="009A6076"/>
    <w:rsid w:val="009A77D2"/>
    <w:rsid w:val="009B16F8"/>
    <w:rsid w:val="009B2240"/>
    <w:rsid w:val="009B25D5"/>
    <w:rsid w:val="009B32BD"/>
    <w:rsid w:val="009B4141"/>
    <w:rsid w:val="009B4BBB"/>
    <w:rsid w:val="009B569F"/>
    <w:rsid w:val="009B5B2E"/>
    <w:rsid w:val="009B6BF8"/>
    <w:rsid w:val="009B6E6B"/>
    <w:rsid w:val="009B74CD"/>
    <w:rsid w:val="009B79A1"/>
    <w:rsid w:val="009C0E06"/>
    <w:rsid w:val="009C13E3"/>
    <w:rsid w:val="009C1F6B"/>
    <w:rsid w:val="009C299B"/>
    <w:rsid w:val="009C3235"/>
    <w:rsid w:val="009C3E60"/>
    <w:rsid w:val="009C42AD"/>
    <w:rsid w:val="009C493F"/>
    <w:rsid w:val="009C6207"/>
    <w:rsid w:val="009C6AC2"/>
    <w:rsid w:val="009C798B"/>
    <w:rsid w:val="009D0600"/>
    <w:rsid w:val="009D07B3"/>
    <w:rsid w:val="009D0CBC"/>
    <w:rsid w:val="009D0F9C"/>
    <w:rsid w:val="009D149C"/>
    <w:rsid w:val="009D210E"/>
    <w:rsid w:val="009D232B"/>
    <w:rsid w:val="009D31B1"/>
    <w:rsid w:val="009D5AF0"/>
    <w:rsid w:val="009D6C84"/>
    <w:rsid w:val="009D6C94"/>
    <w:rsid w:val="009D6E1D"/>
    <w:rsid w:val="009D6F67"/>
    <w:rsid w:val="009D7442"/>
    <w:rsid w:val="009E1174"/>
    <w:rsid w:val="009E2982"/>
    <w:rsid w:val="009E3B1E"/>
    <w:rsid w:val="009E3D45"/>
    <w:rsid w:val="009E3F98"/>
    <w:rsid w:val="009E51ED"/>
    <w:rsid w:val="009E53C0"/>
    <w:rsid w:val="009E56CE"/>
    <w:rsid w:val="009E5BD0"/>
    <w:rsid w:val="009E61D6"/>
    <w:rsid w:val="009E61D7"/>
    <w:rsid w:val="009E64AE"/>
    <w:rsid w:val="009E6537"/>
    <w:rsid w:val="009E72B5"/>
    <w:rsid w:val="009E7376"/>
    <w:rsid w:val="009E7645"/>
    <w:rsid w:val="009E7FC7"/>
    <w:rsid w:val="009F0741"/>
    <w:rsid w:val="009F10B8"/>
    <w:rsid w:val="009F196A"/>
    <w:rsid w:val="009F1A81"/>
    <w:rsid w:val="009F2606"/>
    <w:rsid w:val="009F316B"/>
    <w:rsid w:val="009F3366"/>
    <w:rsid w:val="009F3694"/>
    <w:rsid w:val="009F386D"/>
    <w:rsid w:val="009F47B0"/>
    <w:rsid w:val="009F4F32"/>
    <w:rsid w:val="009F54B4"/>
    <w:rsid w:val="009F55F1"/>
    <w:rsid w:val="009F5FD6"/>
    <w:rsid w:val="009F79DA"/>
    <w:rsid w:val="009F7AA5"/>
    <w:rsid w:val="009F7E74"/>
    <w:rsid w:val="00A002DA"/>
    <w:rsid w:val="00A0112B"/>
    <w:rsid w:val="00A01C5E"/>
    <w:rsid w:val="00A01CE9"/>
    <w:rsid w:val="00A022DB"/>
    <w:rsid w:val="00A02ED9"/>
    <w:rsid w:val="00A0376C"/>
    <w:rsid w:val="00A0411E"/>
    <w:rsid w:val="00A042F4"/>
    <w:rsid w:val="00A04EC5"/>
    <w:rsid w:val="00A05BBB"/>
    <w:rsid w:val="00A060F9"/>
    <w:rsid w:val="00A064F8"/>
    <w:rsid w:val="00A065A2"/>
    <w:rsid w:val="00A07589"/>
    <w:rsid w:val="00A1014B"/>
    <w:rsid w:val="00A10907"/>
    <w:rsid w:val="00A11D7E"/>
    <w:rsid w:val="00A12516"/>
    <w:rsid w:val="00A12B76"/>
    <w:rsid w:val="00A12BAD"/>
    <w:rsid w:val="00A12FD6"/>
    <w:rsid w:val="00A1458A"/>
    <w:rsid w:val="00A14A9B"/>
    <w:rsid w:val="00A1511D"/>
    <w:rsid w:val="00A15335"/>
    <w:rsid w:val="00A16CBC"/>
    <w:rsid w:val="00A16F39"/>
    <w:rsid w:val="00A1738E"/>
    <w:rsid w:val="00A174F7"/>
    <w:rsid w:val="00A17724"/>
    <w:rsid w:val="00A2172B"/>
    <w:rsid w:val="00A22B4E"/>
    <w:rsid w:val="00A23030"/>
    <w:rsid w:val="00A23257"/>
    <w:rsid w:val="00A23D6D"/>
    <w:rsid w:val="00A23FB2"/>
    <w:rsid w:val="00A242AD"/>
    <w:rsid w:val="00A24F7C"/>
    <w:rsid w:val="00A266DB"/>
    <w:rsid w:val="00A26EB4"/>
    <w:rsid w:val="00A2761B"/>
    <w:rsid w:val="00A27FDD"/>
    <w:rsid w:val="00A30226"/>
    <w:rsid w:val="00A30413"/>
    <w:rsid w:val="00A30533"/>
    <w:rsid w:val="00A3112C"/>
    <w:rsid w:val="00A32B32"/>
    <w:rsid w:val="00A3329F"/>
    <w:rsid w:val="00A347F4"/>
    <w:rsid w:val="00A35A8F"/>
    <w:rsid w:val="00A35D8B"/>
    <w:rsid w:val="00A3630F"/>
    <w:rsid w:val="00A36CC9"/>
    <w:rsid w:val="00A36D7D"/>
    <w:rsid w:val="00A373A8"/>
    <w:rsid w:val="00A41BE0"/>
    <w:rsid w:val="00A42043"/>
    <w:rsid w:val="00A432AF"/>
    <w:rsid w:val="00A43ABD"/>
    <w:rsid w:val="00A43C57"/>
    <w:rsid w:val="00A440FE"/>
    <w:rsid w:val="00A44160"/>
    <w:rsid w:val="00A44A5A"/>
    <w:rsid w:val="00A44F15"/>
    <w:rsid w:val="00A50009"/>
    <w:rsid w:val="00A50467"/>
    <w:rsid w:val="00A50BB1"/>
    <w:rsid w:val="00A51278"/>
    <w:rsid w:val="00A514CF"/>
    <w:rsid w:val="00A51D92"/>
    <w:rsid w:val="00A52076"/>
    <w:rsid w:val="00A5269F"/>
    <w:rsid w:val="00A52B3E"/>
    <w:rsid w:val="00A52F53"/>
    <w:rsid w:val="00A54445"/>
    <w:rsid w:val="00A553C3"/>
    <w:rsid w:val="00A556C8"/>
    <w:rsid w:val="00A55BEF"/>
    <w:rsid w:val="00A57156"/>
    <w:rsid w:val="00A57EED"/>
    <w:rsid w:val="00A606E2"/>
    <w:rsid w:val="00A60AD2"/>
    <w:rsid w:val="00A60BB0"/>
    <w:rsid w:val="00A61527"/>
    <w:rsid w:val="00A63109"/>
    <w:rsid w:val="00A634A3"/>
    <w:rsid w:val="00A63762"/>
    <w:rsid w:val="00A65011"/>
    <w:rsid w:val="00A65214"/>
    <w:rsid w:val="00A6543F"/>
    <w:rsid w:val="00A65CAA"/>
    <w:rsid w:val="00A65FC7"/>
    <w:rsid w:val="00A667C3"/>
    <w:rsid w:val="00A66A50"/>
    <w:rsid w:val="00A66FE9"/>
    <w:rsid w:val="00A670C0"/>
    <w:rsid w:val="00A67262"/>
    <w:rsid w:val="00A67859"/>
    <w:rsid w:val="00A67A5F"/>
    <w:rsid w:val="00A67B63"/>
    <w:rsid w:val="00A70C13"/>
    <w:rsid w:val="00A71256"/>
    <w:rsid w:val="00A71F35"/>
    <w:rsid w:val="00A72913"/>
    <w:rsid w:val="00A73011"/>
    <w:rsid w:val="00A73B86"/>
    <w:rsid w:val="00A73BC4"/>
    <w:rsid w:val="00A73E2A"/>
    <w:rsid w:val="00A74556"/>
    <w:rsid w:val="00A74ABF"/>
    <w:rsid w:val="00A74B5A"/>
    <w:rsid w:val="00A7591B"/>
    <w:rsid w:val="00A76C21"/>
    <w:rsid w:val="00A76FE8"/>
    <w:rsid w:val="00A77521"/>
    <w:rsid w:val="00A775B0"/>
    <w:rsid w:val="00A77736"/>
    <w:rsid w:val="00A77CA7"/>
    <w:rsid w:val="00A81445"/>
    <w:rsid w:val="00A814C3"/>
    <w:rsid w:val="00A81914"/>
    <w:rsid w:val="00A81CB4"/>
    <w:rsid w:val="00A820F3"/>
    <w:rsid w:val="00A82144"/>
    <w:rsid w:val="00A82437"/>
    <w:rsid w:val="00A829CF"/>
    <w:rsid w:val="00A835E7"/>
    <w:rsid w:val="00A83EE1"/>
    <w:rsid w:val="00A846F4"/>
    <w:rsid w:val="00A84FCF"/>
    <w:rsid w:val="00A86378"/>
    <w:rsid w:val="00A868A2"/>
    <w:rsid w:val="00A87650"/>
    <w:rsid w:val="00A87A62"/>
    <w:rsid w:val="00A87E2C"/>
    <w:rsid w:val="00A90175"/>
    <w:rsid w:val="00A909DB"/>
    <w:rsid w:val="00A90D43"/>
    <w:rsid w:val="00A9155B"/>
    <w:rsid w:val="00A91A7B"/>
    <w:rsid w:val="00A92B3E"/>
    <w:rsid w:val="00A92B51"/>
    <w:rsid w:val="00A92EBD"/>
    <w:rsid w:val="00A9351A"/>
    <w:rsid w:val="00A95965"/>
    <w:rsid w:val="00A95DE0"/>
    <w:rsid w:val="00A96427"/>
    <w:rsid w:val="00A9680C"/>
    <w:rsid w:val="00A96CA1"/>
    <w:rsid w:val="00A97A34"/>
    <w:rsid w:val="00AA0E54"/>
    <w:rsid w:val="00AA22A5"/>
    <w:rsid w:val="00AA2A81"/>
    <w:rsid w:val="00AA3F63"/>
    <w:rsid w:val="00AA45E7"/>
    <w:rsid w:val="00AA4621"/>
    <w:rsid w:val="00AA4EEA"/>
    <w:rsid w:val="00AA5DDE"/>
    <w:rsid w:val="00AA6DDF"/>
    <w:rsid w:val="00AA725B"/>
    <w:rsid w:val="00AA7805"/>
    <w:rsid w:val="00AB0397"/>
    <w:rsid w:val="00AB0769"/>
    <w:rsid w:val="00AB11C2"/>
    <w:rsid w:val="00AB1C63"/>
    <w:rsid w:val="00AB284E"/>
    <w:rsid w:val="00AB2A1D"/>
    <w:rsid w:val="00AB2AA2"/>
    <w:rsid w:val="00AB2E5D"/>
    <w:rsid w:val="00AB3160"/>
    <w:rsid w:val="00AB4AE6"/>
    <w:rsid w:val="00AB51AD"/>
    <w:rsid w:val="00AB537C"/>
    <w:rsid w:val="00AB5AC2"/>
    <w:rsid w:val="00AB5FBB"/>
    <w:rsid w:val="00AB6086"/>
    <w:rsid w:val="00AB65BE"/>
    <w:rsid w:val="00AB6A67"/>
    <w:rsid w:val="00AB6CC8"/>
    <w:rsid w:val="00AB7997"/>
    <w:rsid w:val="00AC1D42"/>
    <w:rsid w:val="00AC2183"/>
    <w:rsid w:val="00AC21F6"/>
    <w:rsid w:val="00AC228C"/>
    <w:rsid w:val="00AC24CA"/>
    <w:rsid w:val="00AC2546"/>
    <w:rsid w:val="00AC40C9"/>
    <w:rsid w:val="00AC4CBE"/>
    <w:rsid w:val="00AC4D62"/>
    <w:rsid w:val="00AC4E4D"/>
    <w:rsid w:val="00AC56AE"/>
    <w:rsid w:val="00AC59AD"/>
    <w:rsid w:val="00AC5C3E"/>
    <w:rsid w:val="00AC5C4B"/>
    <w:rsid w:val="00AC5CC3"/>
    <w:rsid w:val="00AC7023"/>
    <w:rsid w:val="00AC74AA"/>
    <w:rsid w:val="00AC7520"/>
    <w:rsid w:val="00AC7A8B"/>
    <w:rsid w:val="00AC7DB6"/>
    <w:rsid w:val="00AD0AEF"/>
    <w:rsid w:val="00AD37A9"/>
    <w:rsid w:val="00AD4326"/>
    <w:rsid w:val="00AD4C95"/>
    <w:rsid w:val="00AD5265"/>
    <w:rsid w:val="00AD5556"/>
    <w:rsid w:val="00AD55BF"/>
    <w:rsid w:val="00AD61B2"/>
    <w:rsid w:val="00AD64D1"/>
    <w:rsid w:val="00AD6907"/>
    <w:rsid w:val="00AD74DF"/>
    <w:rsid w:val="00AD77B6"/>
    <w:rsid w:val="00AD78F1"/>
    <w:rsid w:val="00AD7C52"/>
    <w:rsid w:val="00AD7CC8"/>
    <w:rsid w:val="00AD7EED"/>
    <w:rsid w:val="00AE151B"/>
    <w:rsid w:val="00AE19DB"/>
    <w:rsid w:val="00AE223B"/>
    <w:rsid w:val="00AE3470"/>
    <w:rsid w:val="00AE385D"/>
    <w:rsid w:val="00AE3A56"/>
    <w:rsid w:val="00AE40AC"/>
    <w:rsid w:val="00AE528F"/>
    <w:rsid w:val="00AE52E9"/>
    <w:rsid w:val="00AE5319"/>
    <w:rsid w:val="00AE56B2"/>
    <w:rsid w:val="00AE6D33"/>
    <w:rsid w:val="00AF0227"/>
    <w:rsid w:val="00AF1C22"/>
    <w:rsid w:val="00AF1C63"/>
    <w:rsid w:val="00AF4CAE"/>
    <w:rsid w:val="00AF51CF"/>
    <w:rsid w:val="00AF5394"/>
    <w:rsid w:val="00AF5B4C"/>
    <w:rsid w:val="00AF6D9F"/>
    <w:rsid w:val="00AF7691"/>
    <w:rsid w:val="00AF7749"/>
    <w:rsid w:val="00AF7B5F"/>
    <w:rsid w:val="00B0006B"/>
    <w:rsid w:val="00B00A27"/>
    <w:rsid w:val="00B01784"/>
    <w:rsid w:val="00B02016"/>
    <w:rsid w:val="00B02852"/>
    <w:rsid w:val="00B029FA"/>
    <w:rsid w:val="00B036F4"/>
    <w:rsid w:val="00B03EA4"/>
    <w:rsid w:val="00B03FDB"/>
    <w:rsid w:val="00B04262"/>
    <w:rsid w:val="00B0480A"/>
    <w:rsid w:val="00B07D04"/>
    <w:rsid w:val="00B103DE"/>
    <w:rsid w:val="00B10B6A"/>
    <w:rsid w:val="00B129C2"/>
    <w:rsid w:val="00B12A10"/>
    <w:rsid w:val="00B13D11"/>
    <w:rsid w:val="00B13D50"/>
    <w:rsid w:val="00B14AB3"/>
    <w:rsid w:val="00B20759"/>
    <w:rsid w:val="00B20EE7"/>
    <w:rsid w:val="00B2151F"/>
    <w:rsid w:val="00B21A2D"/>
    <w:rsid w:val="00B220D9"/>
    <w:rsid w:val="00B22C42"/>
    <w:rsid w:val="00B22CE2"/>
    <w:rsid w:val="00B24045"/>
    <w:rsid w:val="00B240B2"/>
    <w:rsid w:val="00B24828"/>
    <w:rsid w:val="00B24CCA"/>
    <w:rsid w:val="00B2507E"/>
    <w:rsid w:val="00B2520E"/>
    <w:rsid w:val="00B25CC6"/>
    <w:rsid w:val="00B25D7E"/>
    <w:rsid w:val="00B25F61"/>
    <w:rsid w:val="00B25FC0"/>
    <w:rsid w:val="00B26922"/>
    <w:rsid w:val="00B26C6C"/>
    <w:rsid w:val="00B278AD"/>
    <w:rsid w:val="00B300B4"/>
    <w:rsid w:val="00B3240B"/>
    <w:rsid w:val="00B32592"/>
    <w:rsid w:val="00B337B3"/>
    <w:rsid w:val="00B3416F"/>
    <w:rsid w:val="00B3462F"/>
    <w:rsid w:val="00B34BE2"/>
    <w:rsid w:val="00B35422"/>
    <w:rsid w:val="00B35569"/>
    <w:rsid w:val="00B3690A"/>
    <w:rsid w:val="00B36AE5"/>
    <w:rsid w:val="00B36C7B"/>
    <w:rsid w:val="00B410F2"/>
    <w:rsid w:val="00B41E63"/>
    <w:rsid w:val="00B42F73"/>
    <w:rsid w:val="00B4421D"/>
    <w:rsid w:val="00B45067"/>
    <w:rsid w:val="00B456B6"/>
    <w:rsid w:val="00B45701"/>
    <w:rsid w:val="00B457C6"/>
    <w:rsid w:val="00B4606D"/>
    <w:rsid w:val="00B466F3"/>
    <w:rsid w:val="00B4711B"/>
    <w:rsid w:val="00B5065E"/>
    <w:rsid w:val="00B5096D"/>
    <w:rsid w:val="00B54298"/>
    <w:rsid w:val="00B54534"/>
    <w:rsid w:val="00B54CCD"/>
    <w:rsid w:val="00B54F26"/>
    <w:rsid w:val="00B56323"/>
    <w:rsid w:val="00B56E07"/>
    <w:rsid w:val="00B56F7C"/>
    <w:rsid w:val="00B573EA"/>
    <w:rsid w:val="00B57E61"/>
    <w:rsid w:val="00B604CC"/>
    <w:rsid w:val="00B609E7"/>
    <w:rsid w:val="00B60B94"/>
    <w:rsid w:val="00B60EA0"/>
    <w:rsid w:val="00B61F1B"/>
    <w:rsid w:val="00B62315"/>
    <w:rsid w:val="00B62A35"/>
    <w:rsid w:val="00B62E87"/>
    <w:rsid w:val="00B635C1"/>
    <w:rsid w:val="00B63A0D"/>
    <w:rsid w:val="00B645E7"/>
    <w:rsid w:val="00B6470A"/>
    <w:rsid w:val="00B657CD"/>
    <w:rsid w:val="00B65CC4"/>
    <w:rsid w:val="00B6666D"/>
    <w:rsid w:val="00B66A42"/>
    <w:rsid w:val="00B670F9"/>
    <w:rsid w:val="00B70B03"/>
    <w:rsid w:val="00B70D67"/>
    <w:rsid w:val="00B71889"/>
    <w:rsid w:val="00B719A2"/>
    <w:rsid w:val="00B71CC5"/>
    <w:rsid w:val="00B71F78"/>
    <w:rsid w:val="00B7240D"/>
    <w:rsid w:val="00B72551"/>
    <w:rsid w:val="00B73A0B"/>
    <w:rsid w:val="00B73A7C"/>
    <w:rsid w:val="00B74B8B"/>
    <w:rsid w:val="00B768E8"/>
    <w:rsid w:val="00B82B00"/>
    <w:rsid w:val="00B82B05"/>
    <w:rsid w:val="00B8338B"/>
    <w:rsid w:val="00B84ED2"/>
    <w:rsid w:val="00B86732"/>
    <w:rsid w:val="00B86B1F"/>
    <w:rsid w:val="00B8724A"/>
    <w:rsid w:val="00B87AB3"/>
    <w:rsid w:val="00B87C4E"/>
    <w:rsid w:val="00B903FE"/>
    <w:rsid w:val="00B90D1D"/>
    <w:rsid w:val="00B92B58"/>
    <w:rsid w:val="00B93177"/>
    <w:rsid w:val="00B93311"/>
    <w:rsid w:val="00B94878"/>
    <w:rsid w:val="00B95166"/>
    <w:rsid w:val="00B9550A"/>
    <w:rsid w:val="00B95962"/>
    <w:rsid w:val="00B96385"/>
    <w:rsid w:val="00B96396"/>
    <w:rsid w:val="00B96935"/>
    <w:rsid w:val="00B96B55"/>
    <w:rsid w:val="00B96D6E"/>
    <w:rsid w:val="00B96DEF"/>
    <w:rsid w:val="00B97600"/>
    <w:rsid w:val="00B97930"/>
    <w:rsid w:val="00B97FD9"/>
    <w:rsid w:val="00BA09E3"/>
    <w:rsid w:val="00BA0B52"/>
    <w:rsid w:val="00BA10ED"/>
    <w:rsid w:val="00BA1D80"/>
    <w:rsid w:val="00BA20F4"/>
    <w:rsid w:val="00BA2A9A"/>
    <w:rsid w:val="00BA2A9F"/>
    <w:rsid w:val="00BA3A08"/>
    <w:rsid w:val="00BA3CDD"/>
    <w:rsid w:val="00BA3F51"/>
    <w:rsid w:val="00BA501B"/>
    <w:rsid w:val="00BA5032"/>
    <w:rsid w:val="00BA62AC"/>
    <w:rsid w:val="00BA6309"/>
    <w:rsid w:val="00BA6D45"/>
    <w:rsid w:val="00BA7A45"/>
    <w:rsid w:val="00BA7DA5"/>
    <w:rsid w:val="00BB0A82"/>
    <w:rsid w:val="00BB1D10"/>
    <w:rsid w:val="00BB1F50"/>
    <w:rsid w:val="00BB2F33"/>
    <w:rsid w:val="00BB3076"/>
    <w:rsid w:val="00BB3BD8"/>
    <w:rsid w:val="00BB4F1A"/>
    <w:rsid w:val="00BB5962"/>
    <w:rsid w:val="00BB5B31"/>
    <w:rsid w:val="00BB5CD2"/>
    <w:rsid w:val="00BB5D94"/>
    <w:rsid w:val="00BB61BD"/>
    <w:rsid w:val="00BB633B"/>
    <w:rsid w:val="00BB6DC5"/>
    <w:rsid w:val="00BB720D"/>
    <w:rsid w:val="00BB7A2D"/>
    <w:rsid w:val="00BB7F05"/>
    <w:rsid w:val="00BB7FB7"/>
    <w:rsid w:val="00BC0936"/>
    <w:rsid w:val="00BC1434"/>
    <w:rsid w:val="00BC14E5"/>
    <w:rsid w:val="00BC17FF"/>
    <w:rsid w:val="00BC1C3E"/>
    <w:rsid w:val="00BC2154"/>
    <w:rsid w:val="00BC38AB"/>
    <w:rsid w:val="00BC38E5"/>
    <w:rsid w:val="00BC5CCA"/>
    <w:rsid w:val="00BC5EB9"/>
    <w:rsid w:val="00BC5F91"/>
    <w:rsid w:val="00BC64F8"/>
    <w:rsid w:val="00BC6AA2"/>
    <w:rsid w:val="00BC6D43"/>
    <w:rsid w:val="00BC79AD"/>
    <w:rsid w:val="00BD00F0"/>
    <w:rsid w:val="00BD0D8E"/>
    <w:rsid w:val="00BD14F0"/>
    <w:rsid w:val="00BD1A1A"/>
    <w:rsid w:val="00BD25DB"/>
    <w:rsid w:val="00BD34FE"/>
    <w:rsid w:val="00BD3543"/>
    <w:rsid w:val="00BD477B"/>
    <w:rsid w:val="00BD6C30"/>
    <w:rsid w:val="00BD6CF7"/>
    <w:rsid w:val="00BD7A16"/>
    <w:rsid w:val="00BE077F"/>
    <w:rsid w:val="00BE0BDF"/>
    <w:rsid w:val="00BE0EA8"/>
    <w:rsid w:val="00BE131F"/>
    <w:rsid w:val="00BE13EC"/>
    <w:rsid w:val="00BE18E7"/>
    <w:rsid w:val="00BE1A5D"/>
    <w:rsid w:val="00BE1C37"/>
    <w:rsid w:val="00BE20E1"/>
    <w:rsid w:val="00BE2B8D"/>
    <w:rsid w:val="00BE2DAC"/>
    <w:rsid w:val="00BE39C5"/>
    <w:rsid w:val="00BE3A2E"/>
    <w:rsid w:val="00BE3C5D"/>
    <w:rsid w:val="00BE4989"/>
    <w:rsid w:val="00BE6C7A"/>
    <w:rsid w:val="00BE6D1E"/>
    <w:rsid w:val="00BE74C2"/>
    <w:rsid w:val="00BE7982"/>
    <w:rsid w:val="00BE7D21"/>
    <w:rsid w:val="00BF10BE"/>
    <w:rsid w:val="00BF141C"/>
    <w:rsid w:val="00BF144E"/>
    <w:rsid w:val="00BF38BA"/>
    <w:rsid w:val="00BF3CA9"/>
    <w:rsid w:val="00BF3E0E"/>
    <w:rsid w:val="00BF48D6"/>
    <w:rsid w:val="00BF4CFD"/>
    <w:rsid w:val="00BF4E95"/>
    <w:rsid w:val="00BF4F01"/>
    <w:rsid w:val="00BF53FE"/>
    <w:rsid w:val="00BF5484"/>
    <w:rsid w:val="00BF5989"/>
    <w:rsid w:val="00BF59DF"/>
    <w:rsid w:val="00BF5A1C"/>
    <w:rsid w:val="00BF5AEB"/>
    <w:rsid w:val="00BF5CBE"/>
    <w:rsid w:val="00BF62C1"/>
    <w:rsid w:val="00BF6BA2"/>
    <w:rsid w:val="00BF6EBE"/>
    <w:rsid w:val="00BF6FDC"/>
    <w:rsid w:val="00BF73B4"/>
    <w:rsid w:val="00C015A1"/>
    <w:rsid w:val="00C0259D"/>
    <w:rsid w:val="00C03AC0"/>
    <w:rsid w:val="00C044A6"/>
    <w:rsid w:val="00C05E45"/>
    <w:rsid w:val="00C05E69"/>
    <w:rsid w:val="00C0636D"/>
    <w:rsid w:val="00C07919"/>
    <w:rsid w:val="00C103A3"/>
    <w:rsid w:val="00C10E71"/>
    <w:rsid w:val="00C11A88"/>
    <w:rsid w:val="00C11C83"/>
    <w:rsid w:val="00C1242C"/>
    <w:rsid w:val="00C13F7C"/>
    <w:rsid w:val="00C143D7"/>
    <w:rsid w:val="00C14996"/>
    <w:rsid w:val="00C14DEC"/>
    <w:rsid w:val="00C156DA"/>
    <w:rsid w:val="00C157BA"/>
    <w:rsid w:val="00C1593D"/>
    <w:rsid w:val="00C17A88"/>
    <w:rsid w:val="00C21005"/>
    <w:rsid w:val="00C21383"/>
    <w:rsid w:val="00C21D14"/>
    <w:rsid w:val="00C22217"/>
    <w:rsid w:val="00C22A0A"/>
    <w:rsid w:val="00C22E83"/>
    <w:rsid w:val="00C237D7"/>
    <w:rsid w:val="00C23E77"/>
    <w:rsid w:val="00C24B25"/>
    <w:rsid w:val="00C24D9E"/>
    <w:rsid w:val="00C25F57"/>
    <w:rsid w:val="00C26D34"/>
    <w:rsid w:val="00C30717"/>
    <w:rsid w:val="00C30AD9"/>
    <w:rsid w:val="00C31CBB"/>
    <w:rsid w:val="00C32950"/>
    <w:rsid w:val="00C32CBD"/>
    <w:rsid w:val="00C32EC4"/>
    <w:rsid w:val="00C3327A"/>
    <w:rsid w:val="00C33B75"/>
    <w:rsid w:val="00C340B0"/>
    <w:rsid w:val="00C348FA"/>
    <w:rsid w:val="00C34C5E"/>
    <w:rsid w:val="00C34EB6"/>
    <w:rsid w:val="00C36089"/>
    <w:rsid w:val="00C360DA"/>
    <w:rsid w:val="00C366A8"/>
    <w:rsid w:val="00C36BD8"/>
    <w:rsid w:val="00C37952"/>
    <w:rsid w:val="00C4062B"/>
    <w:rsid w:val="00C40C90"/>
    <w:rsid w:val="00C4195D"/>
    <w:rsid w:val="00C41B9E"/>
    <w:rsid w:val="00C41D34"/>
    <w:rsid w:val="00C4234B"/>
    <w:rsid w:val="00C42F27"/>
    <w:rsid w:val="00C43C25"/>
    <w:rsid w:val="00C43F50"/>
    <w:rsid w:val="00C43FD4"/>
    <w:rsid w:val="00C45863"/>
    <w:rsid w:val="00C45C89"/>
    <w:rsid w:val="00C45DEB"/>
    <w:rsid w:val="00C50762"/>
    <w:rsid w:val="00C50DBC"/>
    <w:rsid w:val="00C51428"/>
    <w:rsid w:val="00C51C17"/>
    <w:rsid w:val="00C5238F"/>
    <w:rsid w:val="00C52746"/>
    <w:rsid w:val="00C52E27"/>
    <w:rsid w:val="00C535CF"/>
    <w:rsid w:val="00C53E5B"/>
    <w:rsid w:val="00C54135"/>
    <w:rsid w:val="00C54E21"/>
    <w:rsid w:val="00C555C6"/>
    <w:rsid w:val="00C56692"/>
    <w:rsid w:val="00C567F5"/>
    <w:rsid w:val="00C60942"/>
    <w:rsid w:val="00C60951"/>
    <w:rsid w:val="00C6171D"/>
    <w:rsid w:val="00C6271D"/>
    <w:rsid w:val="00C62A2D"/>
    <w:rsid w:val="00C62D38"/>
    <w:rsid w:val="00C63511"/>
    <w:rsid w:val="00C63D5B"/>
    <w:rsid w:val="00C640CF"/>
    <w:rsid w:val="00C64807"/>
    <w:rsid w:val="00C66402"/>
    <w:rsid w:val="00C673D2"/>
    <w:rsid w:val="00C67CD5"/>
    <w:rsid w:val="00C67FB6"/>
    <w:rsid w:val="00C70892"/>
    <w:rsid w:val="00C7092D"/>
    <w:rsid w:val="00C70B4E"/>
    <w:rsid w:val="00C719EA"/>
    <w:rsid w:val="00C72384"/>
    <w:rsid w:val="00C72D20"/>
    <w:rsid w:val="00C72E15"/>
    <w:rsid w:val="00C7373A"/>
    <w:rsid w:val="00C73990"/>
    <w:rsid w:val="00C73BFF"/>
    <w:rsid w:val="00C73F9F"/>
    <w:rsid w:val="00C74CFC"/>
    <w:rsid w:val="00C768E5"/>
    <w:rsid w:val="00C77FDC"/>
    <w:rsid w:val="00C80103"/>
    <w:rsid w:val="00C803B6"/>
    <w:rsid w:val="00C8186A"/>
    <w:rsid w:val="00C82227"/>
    <w:rsid w:val="00C83602"/>
    <w:rsid w:val="00C84012"/>
    <w:rsid w:val="00C84678"/>
    <w:rsid w:val="00C84CF0"/>
    <w:rsid w:val="00C85235"/>
    <w:rsid w:val="00C85349"/>
    <w:rsid w:val="00C86A92"/>
    <w:rsid w:val="00C92A0C"/>
    <w:rsid w:val="00C939F0"/>
    <w:rsid w:val="00C9452B"/>
    <w:rsid w:val="00C9465C"/>
    <w:rsid w:val="00C94BDD"/>
    <w:rsid w:val="00C96187"/>
    <w:rsid w:val="00C96AAC"/>
    <w:rsid w:val="00C97C39"/>
    <w:rsid w:val="00CA0E0E"/>
    <w:rsid w:val="00CA286A"/>
    <w:rsid w:val="00CA32F7"/>
    <w:rsid w:val="00CA38A7"/>
    <w:rsid w:val="00CA3989"/>
    <w:rsid w:val="00CA4B99"/>
    <w:rsid w:val="00CA5B58"/>
    <w:rsid w:val="00CA6440"/>
    <w:rsid w:val="00CA6FB4"/>
    <w:rsid w:val="00CA707E"/>
    <w:rsid w:val="00CA7A9D"/>
    <w:rsid w:val="00CB08C9"/>
    <w:rsid w:val="00CB1021"/>
    <w:rsid w:val="00CB21BB"/>
    <w:rsid w:val="00CB25EB"/>
    <w:rsid w:val="00CB31DE"/>
    <w:rsid w:val="00CB3891"/>
    <w:rsid w:val="00CB40C4"/>
    <w:rsid w:val="00CB44B5"/>
    <w:rsid w:val="00CB491E"/>
    <w:rsid w:val="00CB59AF"/>
    <w:rsid w:val="00CB5A99"/>
    <w:rsid w:val="00CB6012"/>
    <w:rsid w:val="00CB76E3"/>
    <w:rsid w:val="00CB78C9"/>
    <w:rsid w:val="00CB7D1F"/>
    <w:rsid w:val="00CC0006"/>
    <w:rsid w:val="00CC0438"/>
    <w:rsid w:val="00CC0A48"/>
    <w:rsid w:val="00CC0D8E"/>
    <w:rsid w:val="00CC112E"/>
    <w:rsid w:val="00CC1C5D"/>
    <w:rsid w:val="00CC1F50"/>
    <w:rsid w:val="00CC2A03"/>
    <w:rsid w:val="00CC3CA8"/>
    <w:rsid w:val="00CC3F53"/>
    <w:rsid w:val="00CC4511"/>
    <w:rsid w:val="00CC53A6"/>
    <w:rsid w:val="00CC53BE"/>
    <w:rsid w:val="00CC5836"/>
    <w:rsid w:val="00CC6638"/>
    <w:rsid w:val="00CC6D31"/>
    <w:rsid w:val="00CC7130"/>
    <w:rsid w:val="00CC7235"/>
    <w:rsid w:val="00CD0E1A"/>
    <w:rsid w:val="00CD3BB8"/>
    <w:rsid w:val="00CD450F"/>
    <w:rsid w:val="00CD459A"/>
    <w:rsid w:val="00CD5EE9"/>
    <w:rsid w:val="00CD691B"/>
    <w:rsid w:val="00CD70C5"/>
    <w:rsid w:val="00CD738B"/>
    <w:rsid w:val="00CD7568"/>
    <w:rsid w:val="00CD7B55"/>
    <w:rsid w:val="00CE1ADD"/>
    <w:rsid w:val="00CE1B98"/>
    <w:rsid w:val="00CE20B0"/>
    <w:rsid w:val="00CE2B22"/>
    <w:rsid w:val="00CE2CE6"/>
    <w:rsid w:val="00CE2E7D"/>
    <w:rsid w:val="00CE364C"/>
    <w:rsid w:val="00CE4D60"/>
    <w:rsid w:val="00CE558F"/>
    <w:rsid w:val="00CE5CD9"/>
    <w:rsid w:val="00CE66AE"/>
    <w:rsid w:val="00CE69C4"/>
    <w:rsid w:val="00CE76AC"/>
    <w:rsid w:val="00CE7751"/>
    <w:rsid w:val="00CE7C9C"/>
    <w:rsid w:val="00CF0493"/>
    <w:rsid w:val="00CF09C8"/>
    <w:rsid w:val="00CF2C12"/>
    <w:rsid w:val="00CF3DF8"/>
    <w:rsid w:val="00CF4108"/>
    <w:rsid w:val="00CF47B6"/>
    <w:rsid w:val="00CF4EBD"/>
    <w:rsid w:val="00CF6387"/>
    <w:rsid w:val="00CF6EB0"/>
    <w:rsid w:val="00CF780B"/>
    <w:rsid w:val="00CF7C9A"/>
    <w:rsid w:val="00D0014A"/>
    <w:rsid w:val="00D00563"/>
    <w:rsid w:val="00D00687"/>
    <w:rsid w:val="00D00707"/>
    <w:rsid w:val="00D00826"/>
    <w:rsid w:val="00D0186E"/>
    <w:rsid w:val="00D01E81"/>
    <w:rsid w:val="00D0333E"/>
    <w:rsid w:val="00D035C0"/>
    <w:rsid w:val="00D03D64"/>
    <w:rsid w:val="00D04C60"/>
    <w:rsid w:val="00D0537F"/>
    <w:rsid w:val="00D0572C"/>
    <w:rsid w:val="00D10507"/>
    <w:rsid w:val="00D10E70"/>
    <w:rsid w:val="00D12618"/>
    <w:rsid w:val="00D12E34"/>
    <w:rsid w:val="00D13CB7"/>
    <w:rsid w:val="00D1425A"/>
    <w:rsid w:val="00D1471F"/>
    <w:rsid w:val="00D158C3"/>
    <w:rsid w:val="00D15BBA"/>
    <w:rsid w:val="00D15E4E"/>
    <w:rsid w:val="00D15E80"/>
    <w:rsid w:val="00D160C0"/>
    <w:rsid w:val="00D16600"/>
    <w:rsid w:val="00D16CAC"/>
    <w:rsid w:val="00D16D97"/>
    <w:rsid w:val="00D1748B"/>
    <w:rsid w:val="00D1759D"/>
    <w:rsid w:val="00D2083A"/>
    <w:rsid w:val="00D22090"/>
    <w:rsid w:val="00D2225D"/>
    <w:rsid w:val="00D223D7"/>
    <w:rsid w:val="00D22530"/>
    <w:rsid w:val="00D23125"/>
    <w:rsid w:val="00D239BF"/>
    <w:rsid w:val="00D23BDE"/>
    <w:rsid w:val="00D23E36"/>
    <w:rsid w:val="00D24BDE"/>
    <w:rsid w:val="00D24DF6"/>
    <w:rsid w:val="00D26FE1"/>
    <w:rsid w:val="00D27972"/>
    <w:rsid w:val="00D27D0B"/>
    <w:rsid w:val="00D27D1F"/>
    <w:rsid w:val="00D3021D"/>
    <w:rsid w:val="00D308FA"/>
    <w:rsid w:val="00D32567"/>
    <w:rsid w:val="00D329D4"/>
    <w:rsid w:val="00D32C54"/>
    <w:rsid w:val="00D32F88"/>
    <w:rsid w:val="00D33006"/>
    <w:rsid w:val="00D333F9"/>
    <w:rsid w:val="00D334C9"/>
    <w:rsid w:val="00D3357A"/>
    <w:rsid w:val="00D33AA6"/>
    <w:rsid w:val="00D33D7A"/>
    <w:rsid w:val="00D33F2B"/>
    <w:rsid w:val="00D34166"/>
    <w:rsid w:val="00D34A43"/>
    <w:rsid w:val="00D35C1C"/>
    <w:rsid w:val="00D35CD8"/>
    <w:rsid w:val="00D3690C"/>
    <w:rsid w:val="00D37434"/>
    <w:rsid w:val="00D3756B"/>
    <w:rsid w:val="00D376C4"/>
    <w:rsid w:val="00D37A73"/>
    <w:rsid w:val="00D426E1"/>
    <w:rsid w:val="00D43530"/>
    <w:rsid w:val="00D4375A"/>
    <w:rsid w:val="00D4488D"/>
    <w:rsid w:val="00D44E2F"/>
    <w:rsid w:val="00D4529F"/>
    <w:rsid w:val="00D468D8"/>
    <w:rsid w:val="00D50A31"/>
    <w:rsid w:val="00D51171"/>
    <w:rsid w:val="00D51840"/>
    <w:rsid w:val="00D51D74"/>
    <w:rsid w:val="00D52594"/>
    <w:rsid w:val="00D525F2"/>
    <w:rsid w:val="00D528FA"/>
    <w:rsid w:val="00D52921"/>
    <w:rsid w:val="00D52ABA"/>
    <w:rsid w:val="00D52DF8"/>
    <w:rsid w:val="00D53E7A"/>
    <w:rsid w:val="00D5432F"/>
    <w:rsid w:val="00D5491E"/>
    <w:rsid w:val="00D54D8D"/>
    <w:rsid w:val="00D56740"/>
    <w:rsid w:val="00D613F5"/>
    <w:rsid w:val="00D617E8"/>
    <w:rsid w:val="00D61DC8"/>
    <w:rsid w:val="00D62B3F"/>
    <w:rsid w:val="00D62F47"/>
    <w:rsid w:val="00D63601"/>
    <w:rsid w:val="00D63F78"/>
    <w:rsid w:val="00D6423A"/>
    <w:rsid w:val="00D646CC"/>
    <w:rsid w:val="00D65A28"/>
    <w:rsid w:val="00D662D2"/>
    <w:rsid w:val="00D66839"/>
    <w:rsid w:val="00D66C81"/>
    <w:rsid w:val="00D67C7E"/>
    <w:rsid w:val="00D7006F"/>
    <w:rsid w:val="00D7195C"/>
    <w:rsid w:val="00D72160"/>
    <w:rsid w:val="00D721EA"/>
    <w:rsid w:val="00D727D8"/>
    <w:rsid w:val="00D727DC"/>
    <w:rsid w:val="00D729B1"/>
    <w:rsid w:val="00D72A32"/>
    <w:rsid w:val="00D73080"/>
    <w:rsid w:val="00D73294"/>
    <w:rsid w:val="00D7366C"/>
    <w:rsid w:val="00D7376B"/>
    <w:rsid w:val="00D7432F"/>
    <w:rsid w:val="00D751BB"/>
    <w:rsid w:val="00D76D24"/>
    <w:rsid w:val="00D77036"/>
    <w:rsid w:val="00D774FC"/>
    <w:rsid w:val="00D80458"/>
    <w:rsid w:val="00D80B4C"/>
    <w:rsid w:val="00D814CF"/>
    <w:rsid w:val="00D818B8"/>
    <w:rsid w:val="00D82A55"/>
    <w:rsid w:val="00D83E8D"/>
    <w:rsid w:val="00D85579"/>
    <w:rsid w:val="00D86032"/>
    <w:rsid w:val="00D86CF7"/>
    <w:rsid w:val="00D90106"/>
    <w:rsid w:val="00D90872"/>
    <w:rsid w:val="00D90E6A"/>
    <w:rsid w:val="00D91B4A"/>
    <w:rsid w:val="00D91B89"/>
    <w:rsid w:val="00D9210F"/>
    <w:rsid w:val="00D92C95"/>
    <w:rsid w:val="00D935EB"/>
    <w:rsid w:val="00D93AB6"/>
    <w:rsid w:val="00D93E52"/>
    <w:rsid w:val="00D94D66"/>
    <w:rsid w:val="00D9615B"/>
    <w:rsid w:val="00D96547"/>
    <w:rsid w:val="00D97AA2"/>
    <w:rsid w:val="00D97C01"/>
    <w:rsid w:val="00DA02F5"/>
    <w:rsid w:val="00DA0A80"/>
    <w:rsid w:val="00DA103C"/>
    <w:rsid w:val="00DA27BE"/>
    <w:rsid w:val="00DA2945"/>
    <w:rsid w:val="00DA3AA3"/>
    <w:rsid w:val="00DA7612"/>
    <w:rsid w:val="00DB05BC"/>
    <w:rsid w:val="00DB0D94"/>
    <w:rsid w:val="00DB0DD3"/>
    <w:rsid w:val="00DB0EFB"/>
    <w:rsid w:val="00DB101F"/>
    <w:rsid w:val="00DB19A4"/>
    <w:rsid w:val="00DB1CF2"/>
    <w:rsid w:val="00DB25EA"/>
    <w:rsid w:val="00DB26AC"/>
    <w:rsid w:val="00DB2CC0"/>
    <w:rsid w:val="00DB3010"/>
    <w:rsid w:val="00DB34A1"/>
    <w:rsid w:val="00DB3525"/>
    <w:rsid w:val="00DB3B2D"/>
    <w:rsid w:val="00DB415B"/>
    <w:rsid w:val="00DB4A87"/>
    <w:rsid w:val="00DB4BCF"/>
    <w:rsid w:val="00DB5702"/>
    <w:rsid w:val="00DB5958"/>
    <w:rsid w:val="00DB681A"/>
    <w:rsid w:val="00DB695D"/>
    <w:rsid w:val="00DB6C58"/>
    <w:rsid w:val="00DC0F80"/>
    <w:rsid w:val="00DC0FD1"/>
    <w:rsid w:val="00DC1441"/>
    <w:rsid w:val="00DC2331"/>
    <w:rsid w:val="00DC30D8"/>
    <w:rsid w:val="00DC3577"/>
    <w:rsid w:val="00DC54D4"/>
    <w:rsid w:val="00DC58A0"/>
    <w:rsid w:val="00DC5E69"/>
    <w:rsid w:val="00DC7018"/>
    <w:rsid w:val="00DC7573"/>
    <w:rsid w:val="00DC7E48"/>
    <w:rsid w:val="00DD0312"/>
    <w:rsid w:val="00DD0552"/>
    <w:rsid w:val="00DD0808"/>
    <w:rsid w:val="00DD0B4A"/>
    <w:rsid w:val="00DD17AD"/>
    <w:rsid w:val="00DD1AB7"/>
    <w:rsid w:val="00DD3353"/>
    <w:rsid w:val="00DD33AA"/>
    <w:rsid w:val="00DD36BC"/>
    <w:rsid w:val="00DD45FB"/>
    <w:rsid w:val="00DD5284"/>
    <w:rsid w:val="00DD5325"/>
    <w:rsid w:val="00DD618E"/>
    <w:rsid w:val="00DD6768"/>
    <w:rsid w:val="00DD6ADC"/>
    <w:rsid w:val="00DD6FEF"/>
    <w:rsid w:val="00DD7216"/>
    <w:rsid w:val="00DD73AE"/>
    <w:rsid w:val="00DE0155"/>
    <w:rsid w:val="00DE01E1"/>
    <w:rsid w:val="00DE02F9"/>
    <w:rsid w:val="00DE0599"/>
    <w:rsid w:val="00DE168B"/>
    <w:rsid w:val="00DE1802"/>
    <w:rsid w:val="00DE1B9A"/>
    <w:rsid w:val="00DE1D28"/>
    <w:rsid w:val="00DE2F6E"/>
    <w:rsid w:val="00DE42B6"/>
    <w:rsid w:val="00DE51E3"/>
    <w:rsid w:val="00DE5969"/>
    <w:rsid w:val="00DE76DB"/>
    <w:rsid w:val="00DF0F1B"/>
    <w:rsid w:val="00DF2179"/>
    <w:rsid w:val="00DF2D3A"/>
    <w:rsid w:val="00DF3534"/>
    <w:rsid w:val="00DF36F4"/>
    <w:rsid w:val="00DF3ECC"/>
    <w:rsid w:val="00DF3F7D"/>
    <w:rsid w:val="00DF4AC5"/>
    <w:rsid w:val="00DF4D7F"/>
    <w:rsid w:val="00DF4DBA"/>
    <w:rsid w:val="00DF5D6E"/>
    <w:rsid w:val="00DF5F00"/>
    <w:rsid w:val="00DF6097"/>
    <w:rsid w:val="00DF6CAD"/>
    <w:rsid w:val="00DF6D0F"/>
    <w:rsid w:val="00DF6EB0"/>
    <w:rsid w:val="00E0233A"/>
    <w:rsid w:val="00E03003"/>
    <w:rsid w:val="00E036A3"/>
    <w:rsid w:val="00E04008"/>
    <w:rsid w:val="00E0410C"/>
    <w:rsid w:val="00E041B1"/>
    <w:rsid w:val="00E04361"/>
    <w:rsid w:val="00E0482E"/>
    <w:rsid w:val="00E05CA3"/>
    <w:rsid w:val="00E05D01"/>
    <w:rsid w:val="00E05E66"/>
    <w:rsid w:val="00E0698F"/>
    <w:rsid w:val="00E06B4F"/>
    <w:rsid w:val="00E1096E"/>
    <w:rsid w:val="00E10C5D"/>
    <w:rsid w:val="00E11605"/>
    <w:rsid w:val="00E1183B"/>
    <w:rsid w:val="00E11D4E"/>
    <w:rsid w:val="00E11F58"/>
    <w:rsid w:val="00E12E34"/>
    <w:rsid w:val="00E134D5"/>
    <w:rsid w:val="00E13659"/>
    <w:rsid w:val="00E1380E"/>
    <w:rsid w:val="00E13D4B"/>
    <w:rsid w:val="00E14046"/>
    <w:rsid w:val="00E143FF"/>
    <w:rsid w:val="00E14618"/>
    <w:rsid w:val="00E149DE"/>
    <w:rsid w:val="00E14C58"/>
    <w:rsid w:val="00E156FA"/>
    <w:rsid w:val="00E15F7C"/>
    <w:rsid w:val="00E16AAC"/>
    <w:rsid w:val="00E16BC3"/>
    <w:rsid w:val="00E17684"/>
    <w:rsid w:val="00E179F4"/>
    <w:rsid w:val="00E20407"/>
    <w:rsid w:val="00E20D31"/>
    <w:rsid w:val="00E2100C"/>
    <w:rsid w:val="00E2248E"/>
    <w:rsid w:val="00E2273B"/>
    <w:rsid w:val="00E22771"/>
    <w:rsid w:val="00E24305"/>
    <w:rsid w:val="00E246A9"/>
    <w:rsid w:val="00E27CF7"/>
    <w:rsid w:val="00E27D89"/>
    <w:rsid w:val="00E30856"/>
    <w:rsid w:val="00E30AF4"/>
    <w:rsid w:val="00E30BEB"/>
    <w:rsid w:val="00E312A3"/>
    <w:rsid w:val="00E315D6"/>
    <w:rsid w:val="00E31B21"/>
    <w:rsid w:val="00E31C80"/>
    <w:rsid w:val="00E32960"/>
    <w:rsid w:val="00E32BED"/>
    <w:rsid w:val="00E32D6B"/>
    <w:rsid w:val="00E3431C"/>
    <w:rsid w:val="00E355CC"/>
    <w:rsid w:val="00E359AA"/>
    <w:rsid w:val="00E35D32"/>
    <w:rsid w:val="00E361FB"/>
    <w:rsid w:val="00E36291"/>
    <w:rsid w:val="00E36774"/>
    <w:rsid w:val="00E36B31"/>
    <w:rsid w:val="00E373B7"/>
    <w:rsid w:val="00E3750D"/>
    <w:rsid w:val="00E377EF"/>
    <w:rsid w:val="00E410B6"/>
    <w:rsid w:val="00E414DE"/>
    <w:rsid w:val="00E422DC"/>
    <w:rsid w:val="00E42927"/>
    <w:rsid w:val="00E431D1"/>
    <w:rsid w:val="00E44261"/>
    <w:rsid w:val="00E44774"/>
    <w:rsid w:val="00E44C75"/>
    <w:rsid w:val="00E44DC0"/>
    <w:rsid w:val="00E45C0D"/>
    <w:rsid w:val="00E466FF"/>
    <w:rsid w:val="00E467C5"/>
    <w:rsid w:val="00E4689B"/>
    <w:rsid w:val="00E46AB5"/>
    <w:rsid w:val="00E47124"/>
    <w:rsid w:val="00E47129"/>
    <w:rsid w:val="00E4727A"/>
    <w:rsid w:val="00E4779E"/>
    <w:rsid w:val="00E50526"/>
    <w:rsid w:val="00E507A3"/>
    <w:rsid w:val="00E50C72"/>
    <w:rsid w:val="00E513C5"/>
    <w:rsid w:val="00E520DA"/>
    <w:rsid w:val="00E525FC"/>
    <w:rsid w:val="00E5268D"/>
    <w:rsid w:val="00E5365F"/>
    <w:rsid w:val="00E5385B"/>
    <w:rsid w:val="00E5427E"/>
    <w:rsid w:val="00E547A2"/>
    <w:rsid w:val="00E54BF3"/>
    <w:rsid w:val="00E556FB"/>
    <w:rsid w:val="00E5699D"/>
    <w:rsid w:val="00E57257"/>
    <w:rsid w:val="00E5761B"/>
    <w:rsid w:val="00E602D9"/>
    <w:rsid w:val="00E608C8"/>
    <w:rsid w:val="00E61949"/>
    <w:rsid w:val="00E61C8C"/>
    <w:rsid w:val="00E622A9"/>
    <w:rsid w:val="00E63432"/>
    <w:rsid w:val="00E64923"/>
    <w:rsid w:val="00E653D1"/>
    <w:rsid w:val="00E65C41"/>
    <w:rsid w:val="00E65C71"/>
    <w:rsid w:val="00E65FBB"/>
    <w:rsid w:val="00E66996"/>
    <w:rsid w:val="00E6755E"/>
    <w:rsid w:val="00E67F19"/>
    <w:rsid w:val="00E70446"/>
    <w:rsid w:val="00E70520"/>
    <w:rsid w:val="00E70808"/>
    <w:rsid w:val="00E70C17"/>
    <w:rsid w:val="00E710BA"/>
    <w:rsid w:val="00E7125E"/>
    <w:rsid w:val="00E71550"/>
    <w:rsid w:val="00E71789"/>
    <w:rsid w:val="00E71CD3"/>
    <w:rsid w:val="00E729C8"/>
    <w:rsid w:val="00E72F2B"/>
    <w:rsid w:val="00E73335"/>
    <w:rsid w:val="00E73339"/>
    <w:rsid w:val="00E73553"/>
    <w:rsid w:val="00E73B1C"/>
    <w:rsid w:val="00E73BF6"/>
    <w:rsid w:val="00E73CBA"/>
    <w:rsid w:val="00E742D7"/>
    <w:rsid w:val="00E765BF"/>
    <w:rsid w:val="00E76867"/>
    <w:rsid w:val="00E76D5B"/>
    <w:rsid w:val="00E77B20"/>
    <w:rsid w:val="00E8057E"/>
    <w:rsid w:val="00E80F12"/>
    <w:rsid w:val="00E81452"/>
    <w:rsid w:val="00E8190D"/>
    <w:rsid w:val="00E8253A"/>
    <w:rsid w:val="00E826C5"/>
    <w:rsid w:val="00E82CA9"/>
    <w:rsid w:val="00E83BEA"/>
    <w:rsid w:val="00E842FA"/>
    <w:rsid w:val="00E8492D"/>
    <w:rsid w:val="00E84B41"/>
    <w:rsid w:val="00E84CD9"/>
    <w:rsid w:val="00E85BFD"/>
    <w:rsid w:val="00E85F98"/>
    <w:rsid w:val="00E861BE"/>
    <w:rsid w:val="00E867CA"/>
    <w:rsid w:val="00E87B56"/>
    <w:rsid w:val="00E909A5"/>
    <w:rsid w:val="00E90ACA"/>
    <w:rsid w:val="00E91704"/>
    <w:rsid w:val="00E9174F"/>
    <w:rsid w:val="00E927AB"/>
    <w:rsid w:val="00E92D5C"/>
    <w:rsid w:val="00E92F7B"/>
    <w:rsid w:val="00E93010"/>
    <w:rsid w:val="00E94BBD"/>
    <w:rsid w:val="00E96F01"/>
    <w:rsid w:val="00E9777C"/>
    <w:rsid w:val="00EA0603"/>
    <w:rsid w:val="00EA0664"/>
    <w:rsid w:val="00EA09D1"/>
    <w:rsid w:val="00EA09EF"/>
    <w:rsid w:val="00EA0E74"/>
    <w:rsid w:val="00EA15CF"/>
    <w:rsid w:val="00EA1BA6"/>
    <w:rsid w:val="00EA2052"/>
    <w:rsid w:val="00EA2129"/>
    <w:rsid w:val="00EA31C2"/>
    <w:rsid w:val="00EA328A"/>
    <w:rsid w:val="00EA32CD"/>
    <w:rsid w:val="00EA3878"/>
    <w:rsid w:val="00EA3D99"/>
    <w:rsid w:val="00EA4446"/>
    <w:rsid w:val="00EA446D"/>
    <w:rsid w:val="00EA57AC"/>
    <w:rsid w:val="00EA5881"/>
    <w:rsid w:val="00EA7086"/>
    <w:rsid w:val="00EA79F4"/>
    <w:rsid w:val="00EA7B0F"/>
    <w:rsid w:val="00EA7F03"/>
    <w:rsid w:val="00EB0A7B"/>
    <w:rsid w:val="00EB1B51"/>
    <w:rsid w:val="00EB1E3B"/>
    <w:rsid w:val="00EB231C"/>
    <w:rsid w:val="00EB2349"/>
    <w:rsid w:val="00EB26B8"/>
    <w:rsid w:val="00EB294B"/>
    <w:rsid w:val="00EB51E6"/>
    <w:rsid w:val="00EB5480"/>
    <w:rsid w:val="00EB5558"/>
    <w:rsid w:val="00EB56E2"/>
    <w:rsid w:val="00EB587F"/>
    <w:rsid w:val="00EB596A"/>
    <w:rsid w:val="00EB5C6A"/>
    <w:rsid w:val="00EC0110"/>
    <w:rsid w:val="00EC03C4"/>
    <w:rsid w:val="00EC0EC9"/>
    <w:rsid w:val="00EC15D1"/>
    <w:rsid w:val="00EC1815"/>
    <w:rsid w:val="00EC3674"/>
    <w:rsid w:val="00EC3D9D"/>
    <w:rsid w:val="00EC42D1"/>
    <w:rsid w:val="00EC5053"/>
    <w:rsid w:val="00EC551C"/>
    <w:rsid w:val="00EC5665"/>
    <w:rsid w:val="00EC5AA0"/>
    <w:rsid w:val="00EC69E5"/>
    <w:rsid w:val="00EC6E7E"/>
    <w:rsid w:val="00EC77CD"/>
    <w:rsid w:val="00ED0011"/>
    <w:rsid w:val="00ED1A64"/>
    <w:rsid w:val="00ED1C83"/>
    <w:rsid w:val="00ED2280"/>
    <w:rsid w:val="00ED44E9"/>
    <w:rsid w:val="00ED4E46"/>
    <w:rsid w:val="00ED4EC9"/>
    <w:rsid w:val="00ED5E3D"/>
    <w:rsid w:val="00ED5EC9"/>
    <w:rsid w:val="00ED6885"/>
    <w:rsid w:val="00ED6924"/>
    <w:rsid w:val="00ED6EC7"/>
    <w:rsid w:val="00ED799A"/>
    <w:rsid w:val="00EE11DA"/>
    <w:rsid w:val="00EE2DCC"/>
    <w:rsid w:val="00EE371C"/>
    <w:rsid w:val="00EE3AED"/>
    <w:rsid w:val="00EE3C0A"/>
    <w:rsid w:val="00EE3F79"/>
    <w:rsid w:val="00EE495C"/>
    <w:rsid w:val="00EE6085"/>
    <w:rsid w:val="00EF0338"/>
    <w:rsid w:val="00EF09EE"/>
    <w:rsid w:val="00EF0DA7"/>
    <w:rsid w:val="00EF16A9"/>
    <w:rsid w:val="00EF20FA"/>
    <w:rsid w:val="00EF2C71"/>
    <w:rsid w:val="00EF3399"/>
    <w:rsid w:val="00EF37B9"/>
    <w:rsid w:val="00EF3A11"/>
    <w:rsid w:val="00EF6D44"/>
    <w:rsid w:val="00EF6D6A"/>
    <w:rsid w:val="00EF7653"/>
    <w:rsid w:val="00EF7977"/>
    <w:rsid w:val="00EF7BC1"/>
    <w:rsid w:val="00F0071F"/>
    <w:rsid w:val="00F008EB"/>
    <w:rsid w:val="00F01082"/>
    <w:rsid w:val="00F01323"/>
    <w:rsid w:val="00F013EE"/>
    <w:rsid w:val="00F01E97"/>
    <w:rsid w:val="00F02992"/>
    <w:rsid w:val="00F02DE2"/>
    <w:rsid w:val="00F03BC6"/>
    <w:rsid w:val="00F04B8A"/>
    <w:rsid w:val="00F0511F"/>
    <w:rsid w:val="00F053E7"/>
    <w:rsid w:val="00F05E8E"/>
    <w:rsid w:val="00F06A8C"/>
    <w:rsid w:val="00F10489"/>
    <w:rsid w:val="00F10B8B"/>
    <w:rsid w:val="00F111C7"/>
    <w:rsid w:val="00F121B4"/>
    <w:rsid w:val="00F1228B"/>
    <w:rsid w:val="00F125DC"/>
    <w:rsid w:val="00F135B8"/>
    <w:rsid w:val="00F14344"/>
    <w:rsid w:val="00F14C4A"/>
    <w:rsid w:val="00F15B2A"/>
    <w:rsid w:val="00F15C3A"/>
    <w:rsid w:val="00F16945"/>
    <w:rsid w:val="00F1786A"/>
    <w:rsid w:val="00F20B47"/>
    <w:rsid w:val="00F20C43"/>
    <w:rsid w:val="00F215B6"/>
    <w:rsid w:val="00F21879"/>
    <w:rsid w:val="00F21942"/>
    <w:rsid w:val="00F21D51"/>
    <w:rsid w:val="00F227E0"/>
    <w:rsid w:val="00F2393A"/>
    <w:rsid w:val="00F23CAF"/>
    <w:rsid w:val="00F24B35"/>
    <w:rsid w:val="00F27055"/>
    <w:rsid w:val="00F270AA"/>
    <w:rsid w:val="00F27299"/>
    <w:rsid w:val="00F277C6"/>
    <w:rsid w:val="00F27AD4"/>
    <w:rsid w:val="00F3045A"/>
    <w:rsid w:val="00F30F51"/>
    <w:rsid w:val="00F33169"/>
    <w:rsid w:val="00F3411A"/>
    <w:rsid w:val="00F34C9C"/>
    <w:rsid w:val="00F34CD2"/>
    <w:rsid w:val="00F34DCF"/>
    <w:rsid w:val="00F35DA4"/>
    <w:rsid w:val="00F37979"/>
    <w:rsid w:val="00F37C1A"/>
    <w:rsid w:val="00F37F46"/>
    <w:rsid w:val="00F406FF"/>
    <w:rsid w:val="00F40C27"/>
    <w:rsid w:val="00F42A90"/>
    <w:rsid w:val="00F42BD7"/>
    <w:rsid w:val="00F43479"/>
    <w:rsid w:val="00F43A03"/>
    <w:rsid w:val="00F43AD6"/>
    <w:rsid w:val="00F43BC2"/>
    <w:rsid w:val="00F45A0A"/>
    <w:rsid w:val="00F463D7"/>
    <w:rsid w:val="00F46C0F"/>
    <w:rsid w:val="00F507DF"/>
    <w:rsid w:val="00F50CFF"/>
    <w:rsid w:val="00F50ED5"/>
    <w:rsid w:val="00F51A16"/>
    <w:rsid w:val="00F51D54"/>
    <w:rsid w:val="00F51DE9"/>
    <w:rsid w:val="00F52A07"/>
    <w:rsid w:val="00F52B3F"/>
    <w:rsid w:val="00F53B74"/>
    <w:rsid w:val="00F5527B"/>
    <w:rsid w:val="00F552D9"/>
    <w:rsid w:val="00F5549A"/>
    <w:rsid w:val="00F57913"/>
    <w:rsid w:val="00F57A9E"/>
    <w:rsid w:val="00F57F3F"/>
    <w:rsid w:val="00F60B2B"/>
    <w:rsid w:val="00F61297"/>
    <w:rsid w:val="00F623C5"/>
    <w:rsid w:val="00F62DBC"/>
    <w:rsid w:val="00F634EA"/>
    <w:rsid w:val="00F63E10"/>
    <w:rsid w:val="00F6458C"/>
    <w:rsid w:val="00F646B4"/>
    <w:rsid w:val="00F65D7D"/>
    <w:rsid w:val="00F66A33"/>
    <w:rsid w:val="00F66C9E"/>
    <w:rsid w:val="00F66EB8"/>
    <w:rsid w:val="00F67B28"/>
    <w:rsid w:val="00F7053D"/>
    <w:rsid w:val="00F71099"/>
    <w:rsid w:val="00F711E5"/>
    <w:rsid w:val="00F713A8"/>
    <w:rsid w:val="00F72255"/>
    <w:rsid w:val="00F72787"/>
    <w:rsid w:val="00F73AF0"/>
    <w:rsid w:val="00F742C1"/>
    <w:rsid w:val="00F74DFC"/>
    <w:rsid w:val="00F7547F"/>
    <w:rsid w:val="00F76629"/>
    <w:rsid w:val="00F76780"/>
    <w:rsid w:val="00F76CD2"/>
    <w:rsid w:val="00F76D72"/>
    <w:rsid w:val="00F77578"/>
    <w:rsid w:val="00F80682"/>
    <w:rsid w:val="00F80C63"/>
    <w:rsid w:val="00F815AA"/>
    <w:rsid w:val="00F82149"/>
    <w:rsid w:val="00F826AE"/>
    <w:rsid w:val="00F82BDB"/>
    <w:rsid w:val="00F832D2"/>
    <w:rsid w:val="00F8358E"/>
    <w:rsid w:val="00F8418B"/>
    <w:rsid w:val="00F85159"/>
    <w:rsid w:val="00F861FC"/>
    <w:rsid w:val="00F86765"/>
    <w:rsid w:val="00F86CC2"/>
    <w:rsid w:val="00F871E7"/>
    <w:rsid w:val="00F8722F"/>
    <w:rsid w:val="00F87677"/>
    <w:rsid w:val="00F8785C"/>
    <w:rsid w:val="00F87A10"/>
    <w:rsid w:val="00F902D5"/>
    <w:rsid w:val="00F90B82"/>
    <w:rsid w:val="00F91A5A"/>
    <w:rsid w:val="00F9245A"/>
    <w:rsid w:val="00F92799"/>
    <w:rsid w:val="00F927C8"/>
    <w:rsid w:val="00F92CDF"/>
    <w:rsid w:val="00F948B6"/>
    <w:rsid w:val="00F963A6"/>
    <w:rsid w:val="00F967FC"/>
    <w:rsid w:val="00F9682C"/>
    <w:rsid w:val="00FA03D3"/>
    <w:rsid w:val="00FA1713"/>
    <w:rsid w:val="00FA21C7"/>
    <w:rsid w:val="00FA2A60"/>
    <w:rsid w:val="00FA396D"/>
    <w:rsid w:val="00FA47FE"/>
    <w:rsid w:val="00FA4D4D"/>
    <w:rsid w:val="00FA4DC4"/>
    <w:rsid w:val="00FA584B"/>
    <w:rsid w:val="00FA5D3A"/>
    <w:rsid w:val="00FA6787"/>
    <w:rsid w:val="00FA780D"/>
    <w:rsid w:val="00FA79F0"/>
    <w:rsid w:val="00FB0F5D"/>
    <w:rsid w:val="00FB1EA3"/>
    <w:rsid w:val="00FB385A"/>
    <w:rsid w:val="00FB40FC"/>
    <w:rsid w:val="00FB483F"/>
    <w:rsid w:val="00FB48C0"/>
    <w:rsid w:val="00FB505D"/>
    <w:rsid w:val="00FB6EE5"/>
    <w:rsid w:val="00FB7075"/>
    <w:rsid w:val="00FC12F1"/>
    <w:rsid w:val="00FC1B09"/>
    <w:rsid w:val="00FC1EB2"/>
    <w:rsid w:val="00FC2318"/>
    <w:rsid w:val="00FC28EB"/>
    <w:rsid w:val="00FC28F2"/>
    <w:rsid w:val="00FC35D0"/>
    <w:rsid w:val="00FC3B42"/>
    <w:rsid w:val="00FC4A65"/>
    <w:rsid w:val="00FC5AD6"/>
    <w:rsid w:val="00FC61FB"/>
    <w:rsid w:val="00FC6242"/>
    <w:rsid w:val="00FC6F7D"/>
    <w:rsid w:val="00FC6FCE"/>
    <w:rsid w:val="00FD047E"/>
    <w:rsid w:val="00FD12F5"/>
    <w:rsid w:val="00FD2002"/>
    <w:rsid w:val="00FD2D71"/>
    <w:rsid w:val="00FD31DD"/>
    <w:rsid w:val="00FD32A4"/>
    <w:rsid w:val="00FD3C0F"/>
    <w:rsid w:val="00FD3F53"/>
    <w:rsid w:val="00FD4B64"/>
    <w:rsid w:val="00FD53C2"/>
    <w:rsid w:val="00FD57FE"/>
    <w:rsid w:val="00FD7300"/>
    <w:rsid w:val="00FD73BF"/>
    <w:rsid w:val="00FE042F"/>
    <w:rsid w:val="00FE0518"/>
    <w:rsid w:val="00FE0948"/>
    <w:rsid w:val="00FE11CF"/>
    <w:rsid w:val="00FE1617"/>
    <w:rsid w:val="00FE224C"/>
    <w:rsid w:val="00FE23D3"/>
    <w:rsid w:val="00FE25B9"/>
    <w:rsid w:val="00FE284B"/>
    <w:rsid w:val="00FE2969"/>
    <w:rsid w:val="00FE3B92"/>
    <w:rsid w:val="00FE4161"/>
    <w:rsid w:val="00FE41D7"/>
    <w:rsid w:val="00FE4985"/>
    <w:rsid w:val="00FE77F0"/>
    <w:rsid w:val="00FF0512"/>
    <w:rsid w:val="00FF0814"/>
    <w:rsid w:val="00FF2E62"/>
    <w:rsid w:val="00FF325C"/>
    <w:rsid w:val="00FF3949"/>
    <w:rsid w:val="00FF3A99"/>
    <w:rsid w:val="00FF4309"/>
    <w:rsid w:val="00FF512F"/>
    <w:rsid w:val="00FF5BDC"/>
    <w:rsid w:val="00FF6D12"/>
    <w:rsid w:val="00FF7282"/>
    <w:rsid w:val="00FF7E32"/>
    <w:rsid w:val="01AA3DA0"/>
    <w:rsid w:val="01AE72E5"/>
    <w:rsid w:val="01F51FA9"/>
    <w:rsid w:val="0203273B"/>
    <w:rsid w:val="02774F02"/>
    <w:rsid w:val="02B33A5D"/>
    <w:rsid w:val="02E05BEF"/>
    <w:rsid w:val="02FE07E3"/>
    <w:rsid w:val="037C1DCE"/>
    <w:rsid w:val="038016F1"/>
    <w:rsid w:val="03F02FC2"/>
    <w:rsid w:val="04171361"/>
    <w:rsid w:val="041D1041"/>
    <w:rsid w:val="043171A7"/>
    <w:rsid w:val="05901661"/>
    <w:rsid w:val="05AC5930"/>
    <w:rsid w:val="05DB216F"/>
    <w:rsid w:val="061C5EFC"/>
    <w:rsid w:val="0796002A"/>
    <w:rsid w:val="07B362C7"/>
    <w:rsid w:val="07F7745E"/>
    <w:rsid w:val="08533058"/>
    <w:rsid w:val="08561A55"/>
    <w:rsid w:val="08725716"/>
    <w:rsid w:val="08E65FBD"/>
    <w:rsid w:val="09473034"/>
    <w:rsid w:val="099F1B0E"/>
    <w:rsid w:val="0AE05F95"/>
    <w:rsid w:val="0AE30978"/>
    <w:rsid w:val="0B63516A"/>
    <w:rsid w:val="0B7E543C"/>
    <w:rsid w:val="0B861FAE"/>
    <w:rsid w:val="0B917CDC"/>
    <w:rsid w:val="0BE60A2C"/>
    <w:rsid w:val="0C3E1BAD"/>
    <w:rsid w:val="0C6361EB"/>
    <w:rsid w:val="0C7F2976"/>
    <w:rsid w:val="0CFC3655"/>
    <w:rsid w:val="0D5B3865"/>
    <w:rsid w:val="0D8812CA"/>
    <w:rsid w:val="0DA110BD"/>
    <w:rsid w:val="0DCC4321"/>
    <w:rsid w:val="0DE476AA"/>
    <w:rsid w:val="0E346403"/>
    <w:rsid w:val="0E825DF3"/>
    <w:rsid w:val="0E903FBC"/>
    <w:rsid w:val="0E990795"/>
    <w:rsid w:val="0F862FB1"/>
    <w:rsid w:val="10024387"/>
    <w:rsid w:val="101C1062"/>
    <w:rsid w:val="10914A14"/>
    <w:rsid w:val="10941CB8"/>
    <w:rsid w:val="10C742E4"/>
    <w:rsid w:val="11376F39"/>
    <w:rsid w:val="11AC4821"/>
    <w:rsid w:val="12016D69"/>
    <w:rsid w:val="120D5838"/>
    <w:rsid w:val="121C426D"/>
    <w:rsid w:val="123A3696"/>
    <w:rsid w:val="12C508D5"/>
    <w:rsid w:val="12CF5F87"/>
    <w:rsid w:val="12F566B7"/>
    <w:rsid w:val="133C7308"/>
    <w:rsid w:val="13885FD5"/>
    <w:rsid w:val="13C371F7"/>
    <w:rsid w:val="13CE5FA5"/>
    <w:rsid w:val="13D15A95"/>
    <w:rsid w:val="14117404"/>
    <w:rsid w:val="142647B9"/>
    <w:rsid w:val="144F20BC"/>
    <w:rsid w:val="14A52A1A"/>
    <w:rsid w:val="14B64173"/>
    <w:rsid w:val="1565137C"/>
    <w:rsid w:val="15CA4142"/>
    <w:rsid w:val="163D35CB"/>
    <w:rsid w:val="173A2A8C"/>
    <w:rsid w:val="181A451A"/>
    <w:rsid w:val="181E44DF"/>
    <w:rsid w:val="186E097E"/>
    <w:rsid w:val="189C64E3"/>
    <w:rsid w:val="189D6D27"/>
    <w:rsid w:val="19881B18"/>
    <w:rsid w:val="199D5936"/>
    <w:rsid w:val="19B83F08"/>
    <w:rsid w:val="1BE92571"/>
    <w:rsid w:val="1C2C66C3"/>
    <w:rsid w:val="1C406AAF"/>
    <w:rsid w:val="1C43179C"/>
    <w:rsid w:val="1C8001A9"/>
    <w:rsid w:val="1CD670AA"/>
    <w:rsid w:val="1E51416A"/>
    <w:rsid w:val="1E566C10"/>
    <w:rsid w:val="1F096E3C"/>
    <w:rsid w:val="1FCC0CB1"/>
    <w:rsid w:val="20822F58"/>
    <w:rsid w:val="21340BA2"/>
    <w:rsid w:val="21453BEE"/>
    <w:rsid w:val="218A1196"/>
    <w:rsid w:val="21A2061C"/>
    <w:rsid w:val="21D363B1"/>
    <w:rsid w:val="21EF353D"/>
    <w:rsid w:val="22200A6A"/>
    <w:rsid w:val="22C20785"/>
    <w:rsid w:val="22CC5314"/>
    <w:rsid w:val="22D72C17"/>
    <w:rsid w:val="22EC282A"/>
    <w:rsid w:val="23002B56"/>
    <w:rsid w:val="237E0734"/>
    <w:rsid w:val="23BC2DDC"/>
    <w:rsid w:val="241A2B0C"/>
    <w:rsid w:val="242445DA"/>
    <w:rsid w:val="25F46B1B"/>
    <w:rsid w:val="261E060C"/>
    <w:rsid w:val="26532EB3"/>
    <w:rsid w:val="271D4A3B"/>
    <w:rsid w:val="27423C40"/>
    <w:rsid w:val="277E6FE1"/>
    <w:rsid w:val="279E6D16"/>
    <w:rsid w:val="27E93107"/>
    <w:rsid w:val="29261616"/>
    <w:rsid w:val="298205BE"/>
    <w:rsid w:val="298C2718"/>
    <w:rsid w:val="29950F2E"/>
    <w:rsid w:val="29A34457"/>
    <w:rsid w:val="29A747B1"/>
    <w:rsid w:val="29AF4113"/>
    <w:rsid w:val="29ED1F28"/>
    <w:rsid w:val="2AA80E06"/>
    <w:rsid w:val="2AE96DD5"/>
    <w:rsid w:val="2B73347F"/>
    <w:rsid w:val="2B764D9D"/>
    <w:rsid w:val="2BDD7979"/>
    <w:rsid w:val="2C4A45DD"/>
    <w:rsid w:val="2C4D2874"/>
    <w:rsid w:val="2CA95937"/>
    <w:rsid w:val="2D94090F"/>
    <w:rsid w:val="2E0549CF"/>
    <w:rsid w:val="2E3D5EE3"/>
    <w:rsid w:val="2ECB53F4"/>
    <w:rsid w:val="2ECD3725"/>
    <w:rsid w:val="2ED642C4"/>
    <w:rsid w:val="2F0B040D"/>
    <w:rsid w:val="2F7432B9"/>
    <w:rsid w:val="2F8E4D62"/>
    <w:rsid w:val="2F9439DE"/>
    <w:rsid w:val="2FAC79D7"/>
    <w:rsid w:val="30033887"/>
    <w:rsid w:val="30474810"/>
    <w:rsid w:val="30CA5264"/>
    <w:rsid w:val="30DF4652"/>
    <w:rsid w:val="323E64CC"/>
    <w:rsid w:val="324C4D96"/>
    <w:rsid w:val="33376C7A"/>
    <w:rsid w:val="33556334"/>
    <w:rsid w:val="34060BA8"/>
    <w:rsid w:val="340847C0"/>
    <w:rsid w:val="342F299A"/>
    <w:rsid w:val="343A78F6"/>
    <w:rsid w:val="34705ED0"/>
    <w:rsid w:val="34A42270"/>
    <w:rsid w:val="34CE3E20"/>
    <w:rsid w:val="35E31D1A"/>
    <w:rsid w:val="36166964"/>
    <w:rsid w:val="369D7A14"/>
    <w:rsid w:val="36B53E29"/>
    <w:rsid w:val="37644622"/>
    <w:rsid w:val="3782676C"/>
    <w:rsid w:val="3785565E"/>
    <w:rsid w:val="38BE43E1"/>
    <w:rsid w:val="38EF419A"/>
    <w:rsid w:val="39D257F8"/>
    <w:rsid w:val="39E747AC"/>
    <w:rsid w:val="3A0E7BEA"/>
    <w:rsid w:val="3A2A6166"/>
    <w:rsid w:val="3ADE7444"/>
    <w:rsid w:val="3B990D5B"/>
    <w:rsid w:val="3BB10D5E"/>
    <w:rsid w:val="3C0D53EF"/>
    <w:rsid w:val="3D536AE0"/>
    <w:rsid w:val="3DE624AE"/>
    <w:rsid w:val="3E371E92"/>
    <w:rsid w:val="3EB80215"/>
    <w:rsid w:val="3F4829CF"/>
    <w:rsid w:val="3F526913"/>
    <w:rsid w:val="3F925496"/>
    <w:rsid w:val="41B410B0"/>
    <w:rsid w:val="41BB72F7"/>
    <w:rsid w:val="41E23199"/>
    <w:rsid w:val="42624A7D"/>
    <w:rsid w:val="4299364E"/>
    <w:rsid w:val="42A23FB8"/>
    <w:rsid w:val="42D963EA"/>
    <w:rsid w:val="437B41EE"/>
    <w:rsid w:val="438638F0"/>
    <w:rsid w:val="43E8464A"/>
    <w:rsid w:val="447C60E0"/>
    <w:rsid w:val="44D542DD"/>
    <w:rsid w:val="45950777"/>
    <w:rsid w:val="4601535A"/>
    <w:rsid w:val="46675990"/>
    <w:rsid w:val="46A65615"/>
    <w:rsid w:val="46D15F1F"/>
    <w:rsid w:val="46E569FB"/>
    <w:rsid w:val="472E1742"/>
    <w:rsid w:val="475A15B7"/>
    <w:rsid w:val="47625CA8"/>
    <w:rsid w:val="478E641B"/>
    <w:rsid w:val="48103808"/>
    <w:rsid w:val="482D5360"/>
    <w:rsid w:val="484F03D9"/>
    <w:rsid w:val="48DA02CF"/>
    <w:rsid w:val="49BA54C3"/>
    <w:rsid w:val="4A117EAB"/>
    <w:rsid w:val="4A351A39"/>
    <w:rsid w:val="4A5634B2"/>
    <w:rsid w:val="4B104D83"/>
    <w:rsid w:val="4C7E20AB"/>
    <w:rsid w:val="4C9264C5"/>
    <w:rsid w:val="4CBD4437"/>
    <w:rsid w:val="4CC4333D"/>
    <w:rsid w:val="4CF10EC9"/>
    <w:rsid w:val="4D2F2EBD"/>
    <w:rsid w:val="4D684C71"/>
    <w:rsid w:val="4DE4575F"/>
    <w:rsid w:val="4E2E6235"/>
    <w:rsid w:val="4E835CDB"/>
    <w:rsid w:val="500209EF"/>
    <w:rsid w:val="500F2B1F"/>
    <w:rsid w:val="50D448F7"/>
    <w:rsid w:val="51CC189C"/>
    <w:rsid w:val="51D5003F"/>
    <w:rsid w:val="532F6E54"/>
    <w:rsid w:val="535E5308"/>
    <w:rsid w:val="5364290E"/>
    <w:rsid w:val="538D6018"/>
    <w:rsid w:val="53F44C7E"/>
    <w:rsid w:val="54DB6D46"/>
    <w:rsid w:val="55426385"/>
    <w:rsid w:val="5590023E"/>
    <w:rsid w:val="56770990"/>
    <w:rsid w:val="56A56F83"/>
    <w:rsid w:val="57586B11"/>
    <w:rsid w:val="57744D57"/>
    <w:rsid w:val="57E13B23"/>
    <w:rsid w:val="583E0119"/>
    <w:rsid w:val="58C55284"/>
    <w:rsid w:val="58CD0187"/>
    <w:rsid w:val="59E07CE7"/>
    <w:rsid w:val="5A526E65"/>
    <w:rsid w:val="5A82453B"/>
    <w:rsid w:val="5A907558"/>
    <w:rsid w:val="5ABF1A88"/>
    <w:rsid w:val="5B1A5DED"/>
    <w:rsid w:val="5B6B579D"/>
    <w:rsid w:val="5B8F4E0C"/>
    <w:rsid w:val="5D280C25"/>
    <w:rsid w:val="5DD12B78"/>
    <w:rsid w:val="5DE2644A"/>
    <w:rsid w:val="5E1E6C7E"/>
    <w:rsid w:val="5E463967"/>
    <w:rsid w:val="5E5B16EC"/>
    <w:rsid w:val="5E840BFB"/>
    <w:rsid w:val="5E954B47"/>
    <w:rsid w:val="5E9B2977"/>
    <w:rsid w:val="5EB26308"/>
    <w:rsid w:val="5F266D6F"/>
    <w:rsid w:val="600429D9"/>
    <w:rsid w:val="606450C6"/>
    <w:rsid w:val="60802C45"/>
    <w:rsid w:val="61C7636D"/>
    <w:rsid w:val="61F873F9"/>
    <w:rsid w:val="624F2894"/>
    <w:rsid w:val="63477FF2"/>
    <w:rsid w:val="639F1FDC"/>
    <w:rsid w:val="63E241DC"/>
    <w:rsid w:val="64DE4E4A"/>
    <w:rsid w:val="651D17AC"/>
    <w:rsid w:val="66571624"/>
    <w:rsid w:val="66F67449"/>
    <w:rsid w:val="674F0463"/>
    <w:rsid w:val="67BE2FC6"/>
    <w:rsid w:val="67DC5ACF"/>
    <w:rsid w:val="683A401D"/>
    <w:rsid w:val="68FA4F89"/>
    <w:rsid w:val="6921408B"/>
    <w:rsid w:val="69521999"/>
    <w:rsid w:val="69E806CF"/>
    <w:rsid w:val="6A9059F4"/>
    <w:rsid w:val="6AA821F3"/>
    <w:rsid w:val="6AEE4CB3"/>
    <w:rsid w:val="6B5663B3"/>
    <w:rsid w:val="6BA16E16"/>
    <w:rsid w:val="6BB42956"/>
    <w:rsid w:val="6BC41D37"/>
    <w:rsid w:val="6C360B23"/>
    <w:rsid w:val="6C7C4147"/>
    <w:rsid w:val="6CE06260"/>
    <w:rsid w:val="6CF66EEE"/>
    <w:rsid w:val="6D3374C1"/>
    <w:rsid w:val="6E4018F9"/>
    <w:rsid w:val="6F3A3A58"/>
    <w:rsid w:val="6F967DD3"/>
    <w:rsid w:val="6FAF3069"/>
    <w:rsid w:val="6FF96751"/>
    <w:rsid w:val="70167449"/>
    <w:rsid w:val="7016782A"/>
    <w:rsid w:val="704238AB"/>
    <w:rsid w:val="7073588F"/>
    <w:rsid w:val="70971277"/>
    <w:rsid w:val="712F751D"/>
    <w:rsid w:val="71655B47"/>
    <w:rsid w:val="71AF0A03"/>
    <w:rsid w:val="71B14A1E"/>
    <w:rsid w:val="72480E72"/>
    <w:rsid w:val="7262146A"/>
    <w:rsid w:val="726F4088"/>
    <w:rsid w:val="73147B50"/>
    <w:rsid w:val="732C33F5"/>
    <w:rsid w:val="7397493B"/>
    <w:rsid w:val="749F3460"/>
    <w:rsid w:val="7628698B"/>
    <w:rsid w:val="76886616"/>
    <w:rsid w:val="76DC1FB5"/>
    <w:rsid w:val="773F4ED8"/>
    <w:rsid w:val="77DA2417"/>
    <w:rsid w:val="77E441F4"/>
    <w:rsid w:val="783A738C"/>
    <w:rsid w:val="787E7810"/>
    <w:rsid w:val="78826A02"/>
    <w:rsid w:val="789C4A3A"/>
    <w:rsid w:val="78DD55E4"/>
    <w:rsid w:val="79013ECD"/>
    <w:rsid w:val="79150DD0"/>
    <w:rsid w:val="7A2E030C"/>
    <w:rsid w:val="7A422AB0"/>
    <w:rsid w:val="7A491034"/>
    <w:rsid w:val="7A4B2A1A"/>
    <w:rsid w:val="7ACB5167"/>
    <w:rsid w:val="7ADA2C48"/>
    <w:rsid w:val="7B362DB4"/>
    <w:rsid w:val="7B483386"/>
    <w:rsid w:val="7BC610FF"/>
    <w:rsid w:val="7C110F62"/>
    <w:rsid w:val="7C2A08D7"/>
    <w:rsid w:val="7C383348"/>
    <w:rsid w:val="7C931DC8"/>
    <w:rsid w:val="7C9D38CB"/>
    <w:rsid w:val="7DCB3864"/>
    <w:rsid w:val="7E1A17CF"/>
    <w:rsid w:val="7E747B9A"/>
    <w:rsid w:val="7EC138F7"/>
    <w:rsid w:val="7F7E094D"/>
    <w:rsid w:val="7F985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45"/>
    <w:qFormat/>
    <w:uiPriority w:val="9"/>
    <w:pPr>
      <w:keepNext/>
      <w:keepLines/>
      <w:spacing w:before="340" w:after="330" w:line="576" w:lineRule="auto"/>
      <w:ind w:left="840"/>
      <w:jc w:val="center"/>
      <w:outlineLvl w:val="0"/>
    </w:pPr>
    <w:rPr>
      <w:rFonts w:eastAsia="黑体"/>
      <w:b/>
      <w:kern w:val="44"/>
      <w:sz w:val="36"/>
    </w:rPr>
  </w:style>
  <w:style w:type="paragraph" w:styleId="4">
    <w:name w:val="heading 2"/>
    <w:basedOn w:val="1"/>
    <w:next w:val="1"/>
    <w:link w:val="46"/>
    <w:qFormat/>
    <w:uiPriority w:val="0"/>
    <w:pPr>
      <w:keepNext/>
      <w:keepLines/>
      <w:spacing w:before="260" w:after="260" w:line="413" w:lineRule="auto"/>
      <w:ind w:left="1200"/>
      <w:jc w:val="center"/>
      <w:outlineLvl w:val="1"/>
    </w:pPr>
    <w:rPr>
      <w:rFonts w:ascii="CG Times" w:hAnsi="CG Times"/>
      <w:b/>
      <w:sz w:val="30"/>
    </w:rPr>
  </w:style>
  <w:style w:type="paragraph" w:styleId="5">
    <w:name w:val="heading 3"/>
    <w:basedOn w:val="1"/>
    <w:next w:val="1"/>
    <w:link w:val="47"/>
    <w:qFormat/>
    <w:uiPriority w:val="0"/>
    <w:pPr>
      <w:keepNext/>
      <w:keepLines/>
      <w:spacing w:before="260" w:after="260" w:line="416" w:lineRule="auto"/>
      <w:outlineLvl w:val="2"/>
    </w:pPr>
    <w:rPr>
      <w:b/>
      <w:bCs/>
      <w:sz w:val="32"/>
      <w:szCs w:val="32"/>
    </w:rPr>
  </w:style>
  <w:style w:type="paragraph" w:styleId="6">
    <w:name w:val="heading 4"/>
    <w:basedOn w:val="1"/>
    <w:next w:val="1"/>
    <w:link w:val="48"/>
    <w:qFormat/>
    <w:uiPriority w:val="0"/>
    <w:pPr>
      <w:keepNext/>
      <w:keepLines/>
      <w:tabs>
        <w:tab w:val="left" w:pos="425"/>
      </w:tabs>
      <w:spacing w:before="360" w:line="240" w:lineRule="exact"/>
      <w:ind w:left="425" w:hanging="425"/>
      <w:outlineLvl w:val="3"/>
    </w:pPr>
    <w:rPr>
      <w:rFonts w:ascii="宋体"/>
      <w:b/>
      <w:sz w:val="28"/>
    </w:rPr>
  </w:style>
  <w:style w:type="paragraph" w:styleId="7">
    <w:name w:val="heading 5"/>
    <w:basedOn w:val="1"/>
    <w:next w:val="1"/>
    <w:link w:val="49"/>
    <w:qFormat/>
    <w:uiPriority w:val="0"/>
    <w:pPr>
      <w:keepNext/>
      <w:keepLines/>
      <w:spacing w:beforeLines="50" w:afterLines="50" w:line="360" w:lineRule="auto"/>
      <w:outlineLvl w:val="4"/>
    </w:pPr>
    <w:rPr>
      <w:b/>
      <w:sz w:val="24"/>
    </w:rPr>
  </w:style>
  <w:style w:type="character" w:default="1" w:styleId="38">
    <w:name w:val="Default Paragraph Font"/>
    <w:semiHidden/>
    <w:unhideWhenUsed/>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customStyle="1" w:styleId="2">
    <w:name w:val="Fließtext2"/>
    <w:basedOn w:val="1"/>
    <w:qFormat/>
    <w:uiPriority w:val="0"/>
    <w:pPr>
      <w:overflowPunct w:val="0"/>
      <w:autoSpaceDE w:val="0"/>
      <w:autoSpaceDN w:val="0"/>
      <w:adjustRightInd w:val="0"/>
      <w:textAlignment w:val="baseline"/>
    </w:pPr>
    <w:rPr>
      <w:rFonts w:ascii="Times New Roman" w:hAnsi="Times New Roman"/>
      <w:kern w:val="28"/>
    </w:rPr>
  </w:style>
  <w:style w:type="paragraph" w:styleId="8">
    <w:name w:val="toc 7"/>
    <w:basedOn w:val="1"/>
    <w:next w:val="1"/>
    <w:uiPriority w:val="39"/>
    <w:pPr>
      <w:ind w:left="1260"/>
      <w:jc w:val="left"/>
    </w:pPr>
    <w:rPr>
      <w:rFonts w:ascii="Times New Roman" w:hAnsi="Times New Roman"/>
      <w:szCs w:val="21"/>
    </w:rPr>
  </w:style>
  <w:style w:type="paragraph" w:styleId="9">
    <w:name w:val="Normal Indent"/>
    <w:basedOn w:val="1"/>
    <w:link w:val="50"/>
    <w:uiPriority w:val="0"/>
    <w:pPr>
      <w:ind w:firstLine="420"/>
    </w:pPr>
  </w:style>
  <w:style w:type="paragraph" w:styleId="10">
    <w:name w:val="caption"/>
    <w:basedOn w:val="1"/>
    <w:next w:val="1"/>
    <w:qFormat/>
    <w:uiPriority w:val="0"/>
    <w:rPr>
      <w:rFonts w:ascii="Arial" w:hAnsi="Arial" w:eastAsia="黑体" w:cs="Arial"/>
      <w:sz w:val="20"/>
    </w:rPr>
  </w:style>
  <w:style w:type="paragraph" w:styleId="11">
    <w:name w:val="Document Map"/>
    <w:basedOn w:val="1"/>
    <w:link w:val="51"/>
    <w:uiPriority w:val="0"/>
    <w:pPr>
      <w:shd w:val="clear" w:color="auto" w:fill="000080"/>
    </w:pPr>
    <w:rPr>
      <w:rFonts w:hint="eastAsia" w:ascii="宋体" w:hAnsi="Tahoma"/>
      <w:sz w:val="18"/>
      <w:szCs w:val="18"/>
    </w:rPr>
  </w:style>
  <w:style w:type="paragraph" w:styleId="12">
    <w:name w:val="annotation text"/>
    <w:basedOn w:val="1"/>
    <w:link w:val="52"/>
    <w:uiPriority w:val="0"/>
    <w:pPr>
      <w:jc w:val="left"/>
    </w:pPr>
  </w:style>
  <w:style w:type="paragraph" w:styleId="13">
    <w:name w:val="Body Text"/>
    <w:basedOn w:val="1"/>
    <w:link w:val="53"/>
    <w:uiPriority w:val="0"/>
    <w:pPr>
      <w:spacing w:after="120"/>
    </w:pPr>
  </w:style>
  <w:style w:type="paragraph" w:styleId="14">
    <w:name w:val="Body Text Indent"/>
    <w:basedOn w:val="1"/>
    <w:link w:val="54"/>
    <w:uiPriority w:val="0"/>
    <w:pPr>
      <w:spacing w:after="120"/>
      <w:ind w:left="420" w:leftChars="200"/>
    </w:pPr>
  </w:style>
  <w:style w:type="paragraph" w:styleId="15">
    <w:name w:val="toc 5"/>
    <w:basedOn w:val="1"/>
    <w:next w:val="1"/>
    <w:qFormat/>
    <w:uiPriority w:val="39"/>
    <w:pPr>
      <w:ind w:left="840"/>
      <w:jc w:val="left"/>
    </w:pPr>
    <w:rPr>
      <w:rFonts w:ascii="Times New Roman" w:hAnsi="Times New Roman"/>
      <w:szCs w:val="21"/>
    </w:rPr>
  </w:style>
  <w:style w:type="paragraph" w:styleId="16">
    <w:name w:val="toc 3"/>
    <w:basedOn w:val="1"/>
    <w:next w:val="1"/>
    <w:qFormat/>
    <w:uiPriority w:val="39"/>
    <w:pPr>
      <w:ind w:left="840" w:leftChars="400"/>
    </w:pPr>
  </w:style>
  <w:style w:type="paragraph" w:styleId="17">
    <w:name w:val="Plain Text"/>
    <w:basedOn w:val="1"/>
    <w:link w:val="55"/>
    <w:qFormat/>
    <w:uiPriority w:val="0"/>
    <w:rPr>
      <w:rFonts w:hint="eastAsia" w:ascii="宋体" w:hAnsi="Courier New"/>
      <w:szCs w:val="21"/>
    </w:rPr>
  </w:style>
  <w:style w:type="paragraph" w:styleId="18">
    <w:name w:val="toc 8"/>
    <w:basedOn w:val="1"/>
    <w:next w:val="1"/>
    <w:qFormat/>
    <w:uiPriority w:val="39"/>
    <w:pPr>
      <w:ind w:left="1470"/>
      <w:jc w:val="left"/>
    </w:pPr>
    <w:rPr>
      <w:rFonts w:ascii="Times New Roman" w:hAnsi="Times New Roman"/>
      <w:szCs w:val="21"/>
    </w:rPr>
  </w:style>
  <w:style w:type="paragraph" w:styleId="19">
    <w:name w:val="Date"/>
    <w:basedOn w:val="1"/>
    <w:next w:val="1"/>
    <w:link w:val="56"/>
    <w:qFormat/>
    <w:uiPriority w:val="0"/>
    <w:rPr>
      <w:rFonts w:ascii="Times New Roman" w:hAnsi="Times New Roman"/>
    </w:rPr>
  </w:style>
  <w:style w:type="paragraph" w:styleId="20">
    <w:name w:val="Body Text Indent 2"/>
    <w:basedOn w:val="1"/>
    <w:link w:val="57"/>
    <w:qFormat/>
    <w:uiPriority w:val="0"/>
    <w:pPr>
      <w:spacing w:after="120" w:line="480" w:lineRule="auto"/>
      <w:ind w:left="420" w:leftChars="200"/>
    </w:pPr>
  </w:style>
  <w:style w:type="paragraph" w:styleId="21">
    <w:name w:val="Balloon Text"/>
    <w:basedOn w:val="1"/>
    <w:link w:val="58"/>
    <w:qFormat/>
    <w:uiPriority w:val="0"/>
    <w:rPr>
      <w:sz w:val="18"/>
      <w:szCs w:val="18"/>
    </w:rPr>
  </w:style>
  <w:style w:type="paragraph" w:styleId="22">
    <w:name w:val="footer"/>
    <w:basedOn w:val="1"/>
    <w:link w:val="59"/>
    <w:qFormat/>
    <w:uiPriority w:val="99"/>
    <w:pPr>
      <w:tabs>
        <w:tab w:val="center" w:pos="4153"/>
        <w:tab w:val="right" w:pos="8306"/>
      </w:tabs>
      <w:snapToGrid w:val="0"/>
      <w:jc w:val="left"/>
    </w:pPr>
    <w:rPr>
      <w:sz w:val="18"/>
    </w:rPr>
  </w:style>
  <w:style w:type="paragraph" w:styleId="23">
    <w:name w:val="header"/>
    <w:basedOn w:val="1"/>
    <w:link w:val="60"/>
    <w:qFormat/>
    <w:uiPriority w:val="0"/>
    <w:pPr>
      <w:pBdr>
        <w:bottom w:val="single" w:color="auto" w:sz="6" w:space="1"/>
      </w:pBdr>
      <w:tabs>
        <w:tab w:val="center" w:pos="4153"/>
        <w:tab w:val="right" w:pos="8306"/>
      </w:tabs>
      <w:snapToGrid w:val="0"/>
      <w:jc w:val="center"/>
    </w:pPr>
    <w:rPr>
      <w:sz w:val="18"/>
    </w:rPr>
  </w:style>
  <w:style w:type="paragraph" w:styleId="24">
    <w:name w:val="toc 1"/>
    <w:basedOn w:val="1"/>
    <w:next w:val="1"/>
    <w:qFormat/>
    <w:uiPriority w:val="39"/>
  </w:style>
  <w:style w:type="paragraph" w:styleId="25">
    <w:name w:val="toc 4"/>
    <w:basedOn w:val="1"/>
    <w:next w:val="1"/>
    <w:qFormat/>
    <w:uiPriority w:val="39"/>
    <w:pPr>
      <w:ind w:left="630"/>
      <w:jc w:val="left"/>
    </w:pPr>
    <w:rPr>
      <w:rFonts w:ascii="Times New Roman" w:hAnsi="Times New Roman"/>
      <w:szCs w:val="21"/>
    </w:rPr>
  </w:style>
  <w:style w:type="paragraph" w:styleId="26">
    <w:name w:val="toc 6"/>
    <w:basedOn w:val="1"/>
    <w:next w:val="1"/>
    <w:qFormat/>
    <w:uiPriority w:val="39"/>
    <w:pPr>
      <w:ind w:left="1050"/>
      <w:jc w:val="left"/>
    </w:pPr>
    <w:rPr>
      <w:rFonts w:ascii="Times New Roman" w:hAnsi="Times New Roman"/>
      <w:szCs w:val="21"/>
    </w:rPr>
  </w:style>
  <w:style w:type="paragraph" w:styleId="27">
    <w:name w:val="Body Text Indent 3"/>
    <w:basedOn w:val="1"/>
    <w:link w:val="61"/>
    <w:qFormat/>
    <w:uiPriority w:val="0"/>
    <w:pPr>
      <w:wordWrap w:val="0"/>
      <w:overflowPunct w:val="0"/>
      <w:autoSpaceDE w:val="0"/>
      <w:autoSpaceDN w:val="0"/>
      <w:ind w:firstLine="540"/>
    </w:pPr>
    <w:rPr>
      <w:rFonts w:ascii="宋体" w:hAnsi="MS Sans Serif"/>
      <w:sz w:val="24"/>
    </w:rPr>
  </w:style>
  <w:style w:type="paragraph" w:styleId="28">
    <w:name w:val="table of figures"/>
    <w:basedOn w:val="1"/>
    <w:next w:val="1"/>
    <w:qFormat/>
    <w:uiPriority w:val="0"/>
    <w:pPr>
      <w:ind w:left="200" w:leftChars="200" w:hanging="200" w:hangingChars="200"/>
    </w:pPr>
  </w:style>
  <w:style w:type="paragraph" w:styleId="29">
    <w:name w:val="toc 2"/>
    <w:basedOn w:val="1"/>
    <w:next w:val="1"/>
    <w:qFormat/>
    <w:uiPriority w:val="39"/>
    <w:pPr>
      <w:ind w:left="420" w:leftChars="200"/>
    </w:pPr>
  </w:style>
  <w:style w:type="paragraph" w:styleId="30">
    <w:name w:val="toc 9"/>
    <w:basedOn w:val="1"/>
    <w:next w:val="1"/>
    <w:qFormat/>
    <w:uiPriority w:val="39"/>
    <w:pPr>
      <w:ind w:left="1680"/>
      <w:jc w:val="left"/>
    </w:pPr>
    <w:rPr>
      <w:rFonts w:ascii="Times New Roman" w:hAnsi="Times New Roman"/>
      <w:szCs w:val="21"/>
    </w:rPr>
  </w:style>
  <w:style w:type="paragraph" w:styleId="31">
    <w:name w:val="Body Text 2"/>
    <w:basedOn w:val="1"/>
    <w:link w:val="62"/>
    <w:qFormat/>
    <w:uiPriority w:val="0"/>
    <w:pPr>
      <w:widowControl/>
      <w:jc w:val="center"/>
    </w:pPr>
    <w:rPr>
      <w:rFonts w:ascii="Times New Roman" w:hAnsi="Times New Roman"/>
      <w:kern w:val="0"/>
      <w:sz w:val="24"/>
      <w:szCs w:val="24"/>
    </w:rPr>
  </w:style>
  <w:style w:type="paragraph" w:styleId="32">
    <w:name w:val="Normal (Web)"/>
    <w:basedOn w:val="1"/>
    <w:link w:val="63"/>
    <w:qFormat/>
    <w:uiPriority w:val="99"/>
    <w:pPr>
      <w:widowControl/>
      <w:spacing w:before="100" w:beforeAutospacing="1" w:after="100" w:afterAutospacing="1"/>
      <w:jc w:val="left"/>
    </w:pPr>
    <w:rPr>
      <w:rFonts w:ascii="宋体" w:hAnsi="宋体"/>
      <w:kern w:val="0"/>
      <w:sz w:val="24"/>
      <w:szCs w:val="24"/>
    </w:rPr>
  </w:style>
  <w:style w:type="paragraph" w:styleId="33">
    <w:name w:val="Title"/>
    <w:basedOn w:val="1"/>
    <w:qFormat/>
    <w:uiPriority w:val="0"/>
    <w:pPr>
      <w:widowControl/>
      <w:autoSpaceDE w:val="0"/>
      <w:autoSpaceDN w:val="0"/>
      <w:adjustRightInd w:val="0"/>
      <w:spacing w:before="240" w:after="60" w:line="360" w:lineRule="auto"/>
      <w:ind w:left="900" w:hanging="420"/>
      <w:jc w:val="left"/>
      <w:outlineLvl w:val="0"/>
    </w:pPr>
    <w:rPr>
      <w:rFonts w:ascii="Arial" w:hAnsi="Arial"/>
      <w:b/>
      <w:color w:val="000000"/>
      <w:sz w:val="32"/>
    </w:rPr>
  </w:style>
  <w:style w:type="paragraph" w:styleId="34">
    <w:name w:val="annotation subject"/>
    <w:basedOn w:val="12"/>
    <w:next w:val="12"/>
    <w:link w:val="64"/>
    <w:qFormat/>
    <w:uiPriority w:val="0"/>
    <w:rPr>
      <w:b/>
      <w:bCs/>
    </w:rPr>
  </w:style>
  <w:style w:type="paragraph" w:styleId="35">
    <w:name w:val="Body Text First Indent 2"/>
    <w:basedOn w:val="14"/>
    <w:qFormat/>
    <w:uiPriority w:val="0"/>
    <w:pPr>
      <w:ind w:firstLine="420" w:firstLineChars="200"/>
    </w:pPr>
  </w:style>
  <w:style w:type="table" w:styleId="37">
    <w:name w:val="Table Grid"/>
    <w:basedOn w:val="3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22"/>
    <w:rPr>
      <w:b/>
      <w:bCs/>
    </w:rPr>
  </w:style>
  <w:style w:type="character" w:styleId="40">
    <w:name w:val="page number"/>
    <w:qFormat/>
    <w:uiPriority w:val="0"/>
  </w:style>
  <w:style w:type="character" w:styleId="41">
    <w:name w:val="Emphasis"/>
    <w:qFormat/>
    <w:uiPriority w:val="0"/>
    <w:rPr>
      <w:rFonts w:ascii="Tahoma" w:hAnsi="Tahoma"/>
      <w:color w:val="CC0000"/>
      <w:sz w:val="24"/>
      <w:szCs w:val="24"/>
    </w:rPr>
  </w:style>
  <w:style w:type="character" w:styleId="42">
    <w:name w:val="Hyperlink"/>
    <w:qFormat/>
    <w:uiPriority w:val="99"/>
    <w:rPr>
      <w:rFonts w:ascii="Tahoma" w:hAnsi="Tahoma"/>
      <w:color w:val="0000CC"/>
      <w:sz w:val="24"/>
      <w:szCs w:val="24"/>
      <w:u w:val="single"/>
    </w:rPr>
  </w:style>
  <w:style w:type="character" w:styleId="43">
    <w:name w:val="annotation reference"/>
    <w:semiHidden/>
    <w:qFormat/>
    <w:uiPriority w:val="0"/>
    <w:rPr>
      <w:rFonts w:ascii="Tahoma" w:hAnsi="Tahoma"/>
      <w:sz w:val="21"/>
      <w:szCs w:val="21"/>
    </w:rPr>
  </w:style>
  <w:style w:type="character" w:styleId="44">
    <w:name w:val="HTML Cite"/>
    <w:qFormat/>
    <w:uiPriority w:val="0"/>
    <w:rPr>
      <w:rFonts w:ascii="Tahoma" w:hAnsi="Tahoma"/>
      <w:color w:val="008000"/>
      <w:sz w:val="24"/>
      <w:szCs w:val="24"/>
    </w:rPr>
  </w:style>
  <w:style w:type="character" w:customStyle="1" w:styleId="45">
    <w:name w:val="标题 1 Char"/>
    <w:link w:val="3"/>
    <w:uiPriority w:val="9"/>
    <w:rPr>
      <w:rFonts w:eastAsia="黑体"/>
      <w:b/>
      <w:kern w:val="44"/>
      <w:sz w:val="36"/>
    </w:rPr>
  </w:style>
  <w:style w:type="character" w:customStyle="1" w:styleId="46">
    <w:name w:val="标题 2 Char"/>
    <w:link w:val="4"/>
    <w:uiPriority w:val="0"/>
    <w:rPr>
      <w:rFonts w:ascii="CG Times" w:hAnsi="CG Times"/>
      <w:b/>
      <w:kern w:val="2"/>
      <w:sz w:val="30"/>
    </w:rPr>
  </w:style>
  <w:style w:type="character" w:customStyle="1" w:styleId="47">
    <w:name w:val="标题 3 Char"/>
    <w:link w:val="5"/>
    <w:uiPriority w:val="0"/>
    <w:rPr>
      <w:b/>
      <w:bCs/>
      <w:kern w:val="2"/>
      <w:sz w:val="32"/>
      <w:szCs w:val="32"/>
    </w:rPr>
  </w:style>
  <w:style w:type="character" w:customStyle="1" w:styleId="48">
    <w:name w:val="标题 4 Char"/>
    <w:link w:val="6"/>
    <w:uiPriority w:val="0"/>
    <w:rPr>
      <w:rFonts w:ascii="宋体" w:cs="宋体"/>
      <w:b/>
      <w:kern w:val="2"/>
      <w:sz w:val="28"/>
    </w:rPr>
  </w:style>
  <w:style w:type="character" w:customStyle="1" w:styleId="49">
    <w:name w:val="标题 5 Char"/>
    <w:link w:val="7"/>
    <w:uiPriority w:val="0"/>
    <w:rPr>
      <w:b/>
      <w:kern w:val="2"/>
      <w:sz w:val="24"/>
    </w:rPr>
  </w:style>
  <w:style w:type="character" w:customStyle="1" w:styleId="50">
    <w:name w:val="正文缩进 Char2"/>
    <w:link w:val="9"/>
    <w:uiPriority w:val="0"/>
    <w:rPr>
      <w:rFonts w:eastAsia="宋体"/>
      <w:kern w:val="2"/>
      <w:sz w:val="21"/>
      <w:lang w:val="en-US" w:eastAsia="zh-CN" w:bidi="ar-SA"/>
    </w:rPr>
  </w:style>
  <w:style w:type="character" w:customStyle="1" w:styleId="51">
    <w:name w:val="文档结构图 Char"/>
    <w:link w:val="11"/>
    <w:uiPriority w:val="0"/>
    <w:rPr>
      <w:rFonts w:hint="eastAsia" w:ascii="宋体" w:hAnsi="Tahoma" w:eastAsia="宋体" w:cs="宋体"/>
      <w:kern w:val="2"/>
      <w:sz w:val="18"/>
      <w:szCs w:val="18"/>
    </w:rPr>
  </w:style>
  <w:style w:type="character" w:customStyle="1" w:styleId="52">
    <w:name w:val="批注文字 Char"/>
    <w:link w:val="12"/>
    <w:uiPriority w:val="0"/>
    <w:rPr>
      <w:kern w:val="2"/>
      <w:sz w:val="21"/>
    </w:rPr>
  </w:style>
  <w:style w:type="character" w:customStyle="1" w:styleId="53">
    <w:name w:val="正文文本 Char"/>
    <w:link w:val="13"/>
    <w:uiPriority w:val="0"/>
    <w:rPr>
      <w:kern w:val="2"/>
      <w:sz w:val="21"/>
    </w:rPr>
  </w:style>
  <w:style w:type="character" w:customStyle="1" w:styleId="54">
    <w:name w:val="正文文本缩进 Char"/>
    <w:link w:val="14"/>
    <w:uiPriority w:val="0"/>
    <w:rPr>
      <w:kern w:val="2"/>
      <w:sz w:val="21"/>
    </w:rPr>
  </w:style>
  <w:style w:type="character" w:customStyle="1" w:styleId="55">
    <w:name w:val="纯文本 Char"/>
    <w:link w:val="17"/>
    <w:qFormat/>
    <w:uiPriority w:val="0"/>
    <w:rPr>
      <w:rFonts w:hint="eastAsia" w:ascii="宋体" w:hAnsi="Courier New" w:eastAsia="宋体" w:cs="Courier New"/>
      <w:kern w:val="2"/>
      <w:sz w:val="21"/>
      <w:szCs w:val="21"/>
    </w:rPr>
  </w:style>
  <w:style w:type="character" w:customStyle="1" w:styleId="56">
    <w:name w:val="日期 Char"/>
    <w:link w:val="19"/>
    <w:qFormat/>
    <w:uiPriority w:val="0"/>
    <w:rPr>
      <w:rFonts w:ascii="Times New Roman" w:hAnsi="Times New Roman" w:cs="Times New Roman"/>
      <w:kern w:val="2"/>
      <w:sz w:val="21"/>
    </w:rPr>
  </w:style>
  <w:style w:type="character" w:customStyle="1" w:styleId="57">
    <w:name w:val="正文文本缩进 2 Char"/>
    <w:link w:val="20"/>
    <w:qFormat/>
    <w:uiPriority w:val="0"/>
    <w:rPr>
      <w:kern w:val="2"/>
      <w:sz w:val="21"/>
    </w:rPr>
  </w:style>
  <w:style w:type="character" w:customStyle="1" w:styleId="58">
    <w:name w:val="批注框文本 Char"/>
    <w:link w:val="21"/>
    <w:qFormat/>
    <w:uiPriority w:val="0"/>
    <w:rPr>
      <w:kern w:val="2"/>
      <w:sz w:val="18"/>
      <w:szCs w:val="18"/>
    </w:rPr>
  </w:style>
  <w:style w:type="character" w:customStyle="1" w:styleId="59">
    <w:name w:val="页脚 Char1"/>
    <w:link w:val="22"/>
    <w:qFormat/>
    <w:uiPriority w:val="99"/>
    <w:rPr>
      <w:kern w:val="2"/>
      <w:sz w:val="18"/>
    </w:rPr>
  </w:style>
  <w:style w:type="character" w:customStyle="1" w:styleId="60">
    <w:name w:val="页眉 Char"/>
    <w:link w:val="23"/>
    <w:qFormat/>
    <w:uiPriority w:val="0"/>
    <w:rPr>
      <w:kern w:val="2"/>
      <w:sz w:val="18"/>
    </w:rPr>
  </w:style>
  <w:style w:type="character" w:customStyle="1" w:styleId="61">
    <w:name w:val="正文文本缩进 3 Char"/>
    <w:link w:val="27"/>
    <w:qFormat/>
    <w:uiPriority w:val="0"/>
    <w:rPr>
      <w:rFonts w:ascii="宋体" w:hAnsi="MS Sans Serif" w:cs="Times New Roman"/>
      <w:kern w:val="2"/>
      <w:sz w:val="24"/>
    </w:rPr>
  </w:style>
  <w:style w:type="character" w:customStyle="1" w:styleId="62">
    <w:name w:val="正文文本 2 Char"/>
    <w:link w:val="31"/>
    <w:qFormat/>
    <w:uiPriority w:val="0"/>
    <w:rPr>
      <w:rFonts w:ascii="Times New Roman" w:hAnsi="Times New Roman" w:cs="Times New Roman"/>
      <w:sz w:val="24"/>
      <w:szCs w:val="24"/>
    </w:rPr>
  </w:style>
  <w:style w:type="character" w:customStyle="1" w:styleId="63">
    <w:name w:val="普通(网站) Char"/>
    <w:link w:val="32"/>
    <w:qFormat/>
    <w:uiPriority w:val="99"/>
    <w:rPr>
      <w:rFonts w:ascii="宋体" w:hAnsi="宋体" w:cs="宋体"/>
      <w:sz w:val="24"/>
      <w:szCs w:val="24"/>
    </w:rPr>
  </w:style>
  <w:style w:type="character" w:customStyle="1" w:styleId="64">
    <w:name w:val="批注主题 Char"/>
    <w:link w:val="34"/>
    <w:qFormat/>
    <w:uiPriority w:val="0"/>
    <w:rPr>
      <w:rFonts w:cs="Times New Roman"/>
      <w:b/>
      <w:bCs/>
      <w:kern w:val="2"/>
      <w:sz w:val="21"/>
    </w:rPr>
  </w:style>
  <w:style w:type="character" w:customStyle="1" w:styleId="65">
    <w:name w:val="访问过的超链接1"/>
    <w:qFormat/>
    <w:uiPriority w:val="99"/>
    <w:rPr>
      <w:rFonts w:ascii="Tahoma" w:hAnsi="Tahoma"/>
      <w:color w:val="741274"/>
      <w:sz w:val="24"/>
      <w:szCs w:val="24"/>
      <w:u w:val="single"/>
    </w:rPr>
  </w:style>
  <w:style w:type="character" w:customStyle="1" w:styleId="66">
    <w:name w:val="正文文本缩进 Char1"/>
    <w:semiHidden/>
    <w:qFormat/>
    <w:uiPriority w:val="99"/>
    <w:rPr>
      <w:rFonts w:ascii="Times New Roman" w:hAnsi="Times New Roman" w:eastAsia="宋体" w:cs="Times New Roman"/>
      <w:szCs w:val="20"/>
    </w:rPr>
  </w:style>
  <w:style w:type="character" w:customStyle="1" w:styleId="67">
    <w:name w:val="Char Char1"/>
    <w:qFormat/>
    <w:uiPriority w:val="0"/>
    <w:rPr>
      <w:rFonts w:eastAsia="宋体"/>
      <w:kern w:val="2"/>
      <w:sz w:val="21"/>
      <w:lang w:val="en-US" w:eastAsia="zh-CN" w:bidi="ar-SA"/>
    </w:rPr>
  </w:style>
  <w:style w:type="character" w:customStyle="1" w:styleId="68">
    <w:name w:val="首行缩进 Char Char"/>
    <w:link w:val="69"/>
    <w:qFormat/>
    <w:uiPriority w:val="0"/>
    <w:rPr>
      <w:rFonts w:ascii="宋体" w:eastAsia="宋体"/>
      <w:kern w:val="2"/>
      <w:sz w:val="21"/>
      <w:lang w:val="en-US" w:eastAsia="zh-CN" w:bidi="ar-SA"/>
    </w:rPr>
  </w:style>
  <w:style w:type="paragraph" w:customStyle="1" w:styleId="69">
    <w:name w:val="首行缩进"/>
    <w:basedOn w:val="1"/>
    <w:link w:val="68"/>
    <w:qFormat/>
    <w:uiPriority w:val="0"/>
    <w:pPr>
      <w:spacing w:line="360" w:lineRule="auto"/>
      <w:ind w:firstLine="200" w:firstLineChars="200"/>
    </w:pPr>
    <w:rPr>
      <w:rFonts w:ascii="宋体"/>
    </w:rPr>
  </w:style>
  <w:style w:type="character" w:customStyle="1" w:styleId="70">
    <w:name w:val="样式1 Char"/>
    <w:qFormat/>
    <w:uiPriority w:val="0"/>
    <w:rPr>
      <w:rFonts w:hint="eastAsia" w:ascii="黑体" w:eastAsia="黑体" w:cs="黑体"/>
      <w:kern w:val="44"/>
      <w:sz w:val="36"/>
    </w:rPr>
  </w:style>
  <w:style w:type="character" w:customStyle="1" w:styleId="71">
    <w:name w:val="font21"/>
    <w:qFormat/>
    <w:uiPriority w:val="0"/>
    <w:rPr>
      <w:rFonts w:ascii="Arial" w:hAnsi="Arial" w:eastAsia="宋体" w:cs="Arial"/>
      <w:color w:val="000000"/>
      <w:sz w:val="24"/>
      <w:szCs w:val="24"/>
      <w:u w:val="none"/>
    </w:rPr>
  </w:style>
  <w:style w:type="character" w:customStyle="1" w:styleId="72">
    <w:name w:val="font01"/>
    <w:qFormat/>
    <w:uiPriority w:val="0"/>
    <w:rPr>
      <w:rFonts w:hint="eastAsia" w:ascii="宋体" w:hAnsi="宋体" w:eastAsia="宋体" w:cs="宋体"/>
      <w:b/>
      <w:color w:val="000000"/>
      <w:sz w:val="21"/>
      <w:szCs w:val="21"/>
      <w:u w:val="none"/>
    </w:rPr>
  </w:style>
  <w:style w:type="character" w:customStyle="1" w:styleId="73">
    <w:name w:val="图示格式 Char Char"/>
    <w:link w:val="74"/>
    <w:qFormat/>
    <w:uiPriority w:val="0"/>
    <w:rPr>
      <w:rFonts w:eastAsia="方正姚体"/>
      <w:sz w:val="24"/>
      <w:lang w:bidi="ar-SA"/>
    </w:rPr>
  </w:style>
  <w:style w:type="paragraph" w:customStyle="1" w:styleId="74">
    <w:name w:val="图示格式"/>
    <w:basedOn w:val="1"/>
    <w:link w:val="73"/>
    <w:qFormat/>
    <w:uiPriority w:val="0"/>
    <w:pPr>
      <w:jc w:val="center"/>
    </w:pPr>
    <w:rPr>
      <w:rFonts w:eastAsia="方正姚体"/>
      <w:kern w:val="0"/>
      <w:sz w:val="24"/>
    </w:rPr>
  </w:style>
  <w:style w:type="character" w:customStyle="1" w:styleId="75">
    <w:name w:val="页眉 Char1"/>
    <w:semiHidden/>
    <w:qFormat/>
    <w:uiPriority w:val="99"/>
    <w:rPr>
      <w:rFonts w:ascii="Times New Roman" w:hAnsi="Times New Roman" w:eastAsia="宋体" w:cs="Times New Roman"/>
      <w:sz w:val="18"/>
      <w:szCs w:val="18"/>
    </w:rPr>
  </w:style>
  <w:style w:type="character" w:customStyle="1" w:styleId="76">
    <w:name w:val="正文缩进 Char"/>
    <w:qFormat/>
    <w:uiPriority w:val="0"/>
    <w:rPr>
      <w:kern w:val="2"/>
      <w:sz w:val="21"/>
    </w:rPr>
  </w:style>
  <w:style w:type="character" w:customStyle="1" w:styleId="77">
    <w:name w:val="page-cur"/>
    <w:qFormat/>
    <w:uiPriority w:val="0"/>
    <w:rPr>
      <w:rFonts w:ascii="Tahoma" w:hAnsi="Tahoma"/>
      <w:b/>
      <w:color w:val="333333"/>
      <w:sz w:val="24"/>
      <w:szCs w:val="24"/>
      <w:bdr w:val="single" w:color="E5E5E5" w:sz="6" w:space="0"/>
      <w:shd w:val="clear" w:color="auto" w:fill="F2F2F2"/>
    </w:rPr>
  </w:style>
  <w:style w:type="character" w:customStyle="1" w:styleId="78">
    <w:name w:val="Char Char2"/>
    <w:qFormat/>
    <w:uiPriority w:val="0"/>
    <w:rPr>
      <w:rFonts w:eastAsia="宋体"/>
      <w:kern w:val="2"/>
      <w:sz w:val="21"/>
      <w:szCs w:val="24"/>
      <w:lang w:val="en-US" w:eastAsia="zh-CN" w:bidi="ar-SA"/>
    </w:rPr>
  </w:style>
  <w:style w:type="character" w:customStyle="1" w:styleId="79">
    <w:name w:val="font31"/>
    <w:qFormat/>
    <w:uiPriority w:val="0"/>
    <w:rPr>
      <w:rFonts w:hint="default" w:ascii="Times New Roman" w:hAnsi="Times New Roman" w:cs="Times New Roman"/>
      <w:b/>
      <w:color w:val="000000"/>
      <w:sz w:val="21"/>
      <w:szCs w:val="21"/>
      <w:u w:val="none"/>
    </w:rPr>
  </w:style>
  <w:style w:type="character" w:customStyle="1" w:styleId="80">
    <w:name w:val="纯文本 Char Char2"/>
    <w:qFormat/>
    <w:uiPriority w:val="0"/>
    <w:rPr>
      <w:rFonts w:ascii="宋体" w:hAnsi="Courier New" w:eastAsia="宋体"/>
      <w:kern w:val="2"/>
      <w:sz w:val="21"/>
      <w:lang w:val="en-US" w:eastAsia="zh-CN" w:bidi="ar-SA"/>
    </w:rPr>
  </w:style>
  <w:style w:type="character" w:customStyle="1" w:styleId="81">
    <w:name w:val="Char Char6"/>
    <w:qFormat/>
    <w:uiPriority w:val="0"/>
    <w:rPr>
      <w:rFonts w:ascii="宋体" w:hAnsi="Courier New" w:eastAsia="宋体"/>
      <w:kern w:val="2"/>
      <w:sz w:val="21"/>
      <w:lang w:val="en-US" w:eastAsia="zh-CN" w:bidi="ar-SA"/>
    </w:rPr>
  </w:style>
  <w:style w:type="character" w:customStyle="1" w:styleId="82">
    <w:name w:val="特点 Char"/>
    <w:qFormat/>
    <w:uiPriority w:val="0"/>
    <w:rPr>
      <w:rFonts w:eastAsia="宋体"/>
      <w:kern w:val="2"/>
      <w:sz w:val="21"/>
      <w:lang w:val="en-US" w:eastAsia="zh-CN" w:bidi="ar-SA"/>
    </w:rPr>
  </w:style>
  <w:style w:type="character" w:customStyle="1" w:styleId="83">
    <w:name w:val="Heading 2 Char"/>
    <w:semiHidden/>
    <w:qFormat/>
    <w:locked/>
    <w:uiPriority w:val="0"/>
    <w:rPr>
      <w:rFonts w:ascii="Cambria" w:hAnsi="Cambria" w:eastAsia="宋体"/>
      <w:b/>
      <w:kern w:val="0"/>
      <w:sz w:val="32"/>
    </w:rPr>
  </w:style>
  <w:style w:type="character" w:customStyle="1" w:styleId="84">
    <w:name w:val="页脚 Char"/>
    <w:qFormat/>
    <w:uiPriority w:val="99"/>
    <w:rPr>
      <w:kern w:val="2"/>
      <w:sz w:val="18"/>
      <w:szCs w:val="18"/>
    </w:rPr>
  </w:style>
  <w:style w:type="character" w:customStyle="1" w:styleId="85">
    <w:name w:val="正文格式 Char Char"/>
    <w:link w:val="86"/>
    <w:qFormat/>
    <w:uiPriority w:val="0"/>
    <w:rPr>
      <w:rFonts w:ascii="宋体" w:hAnsi="宋体"/>
      <w:sz w:val="24"/>
      <w:lang w:bidi="ar-SA"/>
    </w:rPr>
  </w:style>
  <w:style w:type="paragraph" w:customStyle="1" w:styleId="86">
    <w:name w:val="正文格式"/>
    <w:basedOn w:val="1"/>
    <w:link w:val="85"/>
    <w:qFormat/>
    <w:uiPriority w:val="0"/>
    <w:pPr>
      <w:widowControl/>
      <w:adjustRightInd w:val="0"/>
      <w:snapToGrid w:val="0"/>
      <w:spacing w:after="200" w:line="360" w:lineRule="atLeast"/>
      <w:ind w:firstLine="482"/>
      <w:jc w:val="left"/>
    </w:pPr>
    <w:rPr>
      <w:rFonts w:ascii="宋体" w:hAnsi="宋体"/>
      <w:kern w:val="0"/>
      <w:sz w:val="24"/>
    </w:rPr>
  </w:style>
  <w:style w:type="character" w:customStyle="1" w:styleId="87">
    <w:name w:val="正文缩进 Char1"/>
    <w:qFormat/>
    <w:uiPriority w:val="0"/>
    <w:rPr>
      <w:rFonts w:eastAsia="宋体"/>
      <w:kern w:val="2"/>
      <w:sz w:val="21"/>
      <w:lang w:val="en-US" w:eastAsia="zh-CN" w:bidi="ar-SA"/>
    </w:rPr>
  </w:style>
  <w:style w:type="character" w:customStyle="1" w:styleId="88">
    <w:name w:val="s31"/>
    <w:qFormat/>
    <w:uiPriority w:val="0"/>
    <w:rPr>
      <w:sz w:val="22"/>
      <w:szCs w:val="22"/>
    </w:rPr>
  </w:style>
  <w:style w:type="character" w:customStyle="1" w:styleId="89">
    <w:name w:val="纯文本 Char Char"/>
    <w:qFormat/>
    <w:uiPriority w:val="99"/>
    <w:rPr>
      <w:rFonts w:ascii="宋体" w:hAnsi="Courier New" w:eastAsia="宋体"/>
      <w:kern w:val="2"/>
      <w:sz w:val="21"/>
      <w:lang w:val="en-US" w:eastAsia="zh-CN" w:bidi="ar-SA"/>
    </w:rPr>
  </w:style>
  <w:style w:type="character" w:customStyle="1" w:styleId="90">
    <w:name w:val="列出段落 Char"/>
    <w:link w:val="91"/>
    <w:qFormat/>
    <w:locked/>
    <w:uiPriority w:val="34"/>
    <w:rPr>
      <w:sz w:val="22"/>
    </w:rPr>
  </w:style>
  <w:style w:type="paragraph" w:customStyle="1" w:styleId="91">
    <w:name w:val="列出段落1"/>
    <w:basedOn w:val="1"/>
    <w:link w:val="90"/>
    <w:qFormat/>
    <w:uiPriority w:val="34"/>
    <w:pPr>
      <w:ind w:firstLine="420" w:firstLineChars="200"/>
    </w:pPr>
    <w:rPr>
      <w:kern w:val="0"/>
      <w:sz w:val="22"/>
    </w:rPr>
  </w:style>
  <w:style w:type="character" w:customStyle="1" w:styleId="92">
    <w:name w:val="Char Char3"/>
    <w:qFormat/>
    <w:uiPriority w:val="0"/>
    <w:rPr>
      <w:rFonts w:ascii="宋体" w:hAnsi="Courier New" w:eastAsia="宋体"/>
      <w:kern w:val="2"/>
      <w:sz w:val="21"/>
      <w:lang w:val="en-US" w:eastAsia="zh-CN" w:bidi="ar-SA"/>
    </w:rPr>
  </w:style>
  <w:style w:type="character" w:customStyle="1" w:styleId="93">
    <w:name w:val="sugg-loading"/>
    <w:qFormat/>
    <w:uiPriority w:val="0"/>
  </w:style>
  <w:style w:type="character" w:customStyle="1" w:styleId="94">
    <w:name w:val="Default Char"/>
    <w:link w:val="95"/>
    <w:qFormat/>
    <w:locked/>
    <w:uiPriority w:val="0"/>
    <w:rPr>
      <w:rFonts w:ascii="宋体"/>
      <w:color w:val="000000"/>
      <w:sz w:val="24"/>
      <w:lang w:val="en-US" w:eastAsia="zh-CN" w:bidi="ar-SA"/>
    </w:rPr>
  </w:style>
  <w:style w:type="paragraph" w:customStyle="1" w:styleId="95">
    <w:name w:val="Default"/>
    <w:link w:val="94"/>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96">
    <w:name w:val="FA正文 Char Char"/>
    <w:link w:val="97"/>
    <w:qFormat/>
    <w:uiPriority w:val="0"/>
    <w:rPr>
      <w:rFonts w:ascii="宋体" w:hAnsi="宋体" w:eastAsia="宋体"/>
      <w:color w:val="000000"/>
      <w:kern w:val="2"/>
      <w:sz w:val="24"/>
      <w:lang w:val="en-US" w:eastAsia="zh-CN" w:bidi="ar-SA"/>
    </w:rPr>
  </w:style>
  <w:style w:type="paragraph" w:customStyle="1" w:styleId="97">
    <w:name w:val="FA正文"/>
    <w:basedOn w:val="1"/>
    <w:link w:val="96"/>
    <w:qFormat/>
    <w:uiPriority w:val="0"/>
    <w:pPr>
      <w:spacing w:line="360" w:lineRule="auto"/>
      <w:ind w:right="-24" w:rightChars="-24" w:firstLine="266" w:firstLineChars="111"/>
    </w:pPr>
    <w:rPr>
      <w:rFonts w:ascii="宋体" w:hAnsi="宋体"/>
      <w:color w:val="000000"/>
      <w:sz w:val="24"/>
    </w:rPr>
  </w:style>
  <w:style w:type="paragraph" w:customStyle="1" w:styleId="98">
    <w:name w:val="样式2"/>
    <w:basedOn w:val="28"/>
    <w:qFormat/>
    <w:uiPriority w:val="0"/>
  </w:style>
  <w:style w:type="paragraph" w:customStyle="1" w:styleId="99">
    <w:name w:val="xl100"/>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left"/>
    </w:pPr>
    <w:rPr>
      <w:rFonts w:ascii="宋体" w:hAnsi="宋体" w:cs="宋体"/>
      <w:kern w:val="0"/>
      <w:sz w:val="24"/>
      <w:szCs w:val="24"/>
    </w:rPr>
  </w:style>
  <w:style w:type="paragraph" w:customStyle="1" w:styleId="10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FF0000"/>
      <w:kern w:val="0"/>
      <w:sz w:val="24"/>
      <w:szCs w:val="24"/>
    </w:rPr>
  </w:style>
  <w:style w:type="paragraph" w:customStyle="1" w:styleId="10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2">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4"/>
      <w:szCs w:val="24"/>
    </w:rPr>
  </w:style>
  <w:style w:type="paragraph" w:customStyle="1" w:styleId="103">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104">
    <w:name w:val="font8"/>
    <w:basedOn w:val="1"/>
    <w:qFormat/>
    <w:uiPriority w:val="0"/>
    <w:pPr>
      <w:widowControl/>
      <w:spacing w:before="100" w:beforeAutospacing="1" w:after="100" w:afterAutospacing="1"/>
      <w:jc w:val="left"/>
    </w:pPr>
    <w:rPr>
      <w:rFonts w:ascii="宋体" w:hAnsi="宋体" w:cs="宋体"/>
      <w:b/>
      <w:bCs/>
      <w:color w:val="FF0000"/>
      <w:kern w:val="0"/>
      <w:sz w:val="32"/>
      <w:szCs w:val="32"/>
    </w:rPr>
  </w:style>
  <w:style w:type="paragraph" w:customStyle="1" w:styleId="105">
    <w:name w:val="正文 New New New New New New New New New New New New New New New New New New New New New New New New New"/>
    <w:qFormat/>
    <w:uiPriority w:val="0"/>
    <w:pPr>
      <w:widowControl w:val="0"/>
      <w:spacing w:before="40" w:after="40" w:line="360" w:lineRule="atLeast"/>
      <w:ind w:left="420"/>
    </w:pPr>
    <w:rPr>
      <w:rFonts w:ascii="Calibri" w:hAnsi="Calibri" w:eastAsia="宋体" w:cs="Times New Roman"/>
      <w:kern w:val="2"/>
      <w:sz w:val="21"/>
      <w:szCs w:val="21"/>
      <w:lang w:val="en-US" w:eastAsia="zh-CN" w:bidi="ar-SA"/>
    </w:rPr>
  </w:style>
  <w:style w:type="paragraph" w:customStyle="1" w:styleId="106">
    <w:name w:val="列出段落3"/>
    <w:basedOn w:val="1"/>
    <w:qFormat/>
    <w:uiPriority w:val="99"/>
    <w:pPr>
      <w:widowControl/>
      <w:ind w:left="420"/>
      <w:jc w:val="left"/>
    </w:pPr>
    <w:rPr>
      <w:szCs w:val="22"/>
    </w:rPr>
  </w:style>
  <w:style w:type="paragraph" w:customStyle="1" w:styleId="107">
    <w:name w:val="居中插图"/>
    <w:basedOn w:val="1"/>
    <w:qFormat/>
    <w:uiPriority w:val="0"/>
    <w:pPr>
      <w:adjustRightInd w:val="0"/>
      <w:spacing w:line="312" w:lineRule="atLeast"/>
      <w:jc w:val="center"/>
      <w:textAlignment w:val="baseline"/>
    </w:pPr>
    <w:rPr>
      <w:rFonts w:ascii="Times New Roman" w:hAnsi="Times New Roman"/>
      <w:kern w:val="21"/>
    </w:rPr>
  </w:style>
  <w:style w:type="paragraph" w:customStyle="1" w:styleId="108">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109">
    <w:name w:val="xl9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110">
    <w:name w:val="Char Char Char"/>
    <w:basedOn w:val="1"/>
    <w:qFormat/>
    <w:uiPriority w:val="0"/>
    <w:rPr>
      <w:rFonts w:ascii="Tahoma" w:hAnsi="Tahoma"/>
      <w:sz w:val="24"/>
    </w:rPr>
  </w:style>
  <w:style w:type="paragraph" w:customStyle="1" w:styleId="111">
    <w:name w:val="font10"/>
    <w:basedOn w:val="1"/>
    <w:qFormat/>
    <w:uiPriority w:val="0"/>
    <w:pPr>
      <w:widowControl/>
      <w:spacing w:before="100" w:beforeAutospacing="1" w:after="100" w:afterAutospacing="1"/>
      <w:jc w:val="left"/>
    </w:pPr>
    <w:rPr>
      <w:rFonts w:ascii="仿宋_GB2312" w:hAnsi="宋体" w:eastAsia="仿宋_GB2312" w:cs="宋体"/>
      <w:color w:val="FF0000"/>
      <w:kern w:val="0"/>
      <w:sz w:val="24"/>
      <w:szCs w:val="24"/>
    </w:rPr>
  </w:style>
  <w:style w:type="paragraph" w:customStyle="1" w:styleId="112">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FF"/>
      <w:kern w:val="0"/>
      <w:sz w:val="24"/>
      <w:szCs w:val="24"/>
    </w:rPr>
  </w:style>
  <w:style w:type="paragraph" w:customStyle="1" w:styleId="113">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14">
    <w:name w:val="p0"/>
    <w:basedOn w:val="1"/>
    <w:uiPriority w:val="99"/>
    <w:pPr>
      <w:widowControl/>
    </w:pPr>
    <w:rPr>
      <w:kern w:val="0"/>
      <w:szCs w:val="21"/>
    </w:rPr>
  </w:style>
  <w:style w:type="paragraph" w:customStyle="1" w:styleId="115">
    <w:name w:val="xl96"/>
    <w:basedOn w:val="1"/>
    <w:uiPriority w:val="0"/>
    <w:pPr>
      <w:widowControl/>
      <w:spacing w:before="100" w:beforeAutospacing="1" w:after="100" w:afterAutospacing="1"/>
      <w:jc w:val="left"/>
    </w:pPr>
    <w:rPr>
      <w:rFonts w:ascii="宋体" w:hAnsi="宋体" w:cs="宋体"/>
      <w:b/>
      <w:bCs/>
      <w:color w:val="000000"/>
      <w:kern w:val="0"/>
      <w:sz w:val="28"/>
      <w:szCs w:val="28"/>
    </w:rPr>
  </w:style>
  <w:style w:type="paragraph" w:styleId="116">
    <w:name w:val="List Paragraph"/>
    <w:basedOn w:val="1"/>
    <w:qFormat/>
    <w:uiPriority w:val="34"/>
    <w:pPr>
      <w:ind w:firstLine="420" w:firstLineChars="200"/>
    </w:pPr>
    <w:rPr>
      <w:szCs w:val="22"/>
    </w:rPr>
  </w:style>
  <w:style w:type="paragraph" w:customStyle="1" w:styleId="117">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18">
    <w:name w:val="Char Char2 Char Char Char Char Char Char Char Char Char Char"/>
    <w:basedOn w:val="1"/>
    <w:uiPriority w:val="0"/>
    <w:rPr>
      <w:rFonts w:ascii="Tahoma" w:hAnsi="Tahoma"/>
      <w:sz w:val="24"/>
    </w:rPr>
  </w:style>
  <w:style w:type="paragraph" w:customStyle="1" w:styleId="119">
    <w:name w:val="正文 New New New New New New New New New New New New New New New New New New New New New New New New New New New"/>
    <w:uiPriority w:val="0"/>
    <w:pPr>
      <w:widowControl w:val="0"/>
      <w:spacing w:before="40" w:after="40" w:line="360" w:lineRule="atLeast"/>
      <w:ind w:left="420"/>
    </w:pPr>
    <w:rPr>
      <w:rFonts w:ascii="Calibri" w:hAnsi="Calibri" w:eastAsia="宋体" w:cs="Times New Roman"/>
      <w:kern w:val="2"/>
      <w:sz w:val="21"/>
      <w:szCs w:val="21"/>
      <w:lang w:val="en-US" w:eastAsia="zh-CN" w:bidi="ar-SA"/>
    </w:rPr>
  </w:style>
  <w:style w:type="paragraph" w:customStyle="1" w:styleId="120">
    <w:name w:val="正文_180"/>
    <w:uiPriority w:val="0"/>
    <w:pPr>
      <w:widowControl w:val="0"/>
      <w:jc w:val="both"/>
    </w:pPr>
    <w:rPr>
      <w:rFonts w:ascii="Calibri" w:hAnsi="Calibri" w:eastAsia="宋体" w:cs="Times New Roman"/>
      <w:kern w:val="2"/>
      <w:sz w:val="21"/>
      <w:szCs w:val="24"/>
      <w:lang w:val="en-US" w:eastAsia="zh-CN" w:bidi="ar-SA"/>
    </w:rPr>
  </w:style>
  <w:style w:type="paragraph" w:customStyle="1" w:styleId="121">
    <w:name w:val="样式 标题 1 + 宋体 居中 段前: 48 磅 段后: 12 磅 行距: 1.5 倍行距"/>
    <w:basedOn w:val="3"/>
    <w:uiPriority w:val="0"/>
    <w:pPr>
      <w:adjustRightInd w:val="0"/>
      <w:snapToGrid w:val="0"/>
      <w:spacing w:before="0" w:after="0" w:line="240" w:lineRule="atLeast"/>
      <w:ind w:left="0"/>
      <w:textAlignment w:val="baseline"/>
    </w:pPr>
    <w:rPr>
      <w:rFonts w:ascii="宋体" w:hAnsi="宋体" w:eastAsia="宋体"/>
      <w:bCs/>
      <w:snapToGrid w:val="0"/>
      <w:color w:val="000000"/>
      <w:kern w:val="2"/>
      <w:sz w:val="44"/>
      <w:szCs w:val="44"/>
    </w:rPr>
  </w:style>
  <w:style w:type="paragraph" w:customStyle="1" w:styleId="122">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123">
    <w:name w:val="标3"/>
    <w:basedOn w:val="1"/>
    <w:uiPriority w:val="0"/>
    <w:pPr>
      <w:tabs>
        <w:tab w:val="left" w:pos="1224"/>
      </w:tabs>
      <w:adjustRightInd w:val="0"/>
      <w:snapToGrid w:val="0"/>
      <w:spacing w:before="50"/>
      <w:ind w:left="1224" w:hanging="1224"/>
      <w:outlineLvl w:val="2"/>
    </w:pPr>
    <w:rPr>
      <w:rFonts w:ascii="Arial Narrow" w:hAnsi="Arial Narrow" w:eastAsia="仿宋_GB2312"/>
      <w:sz w:val="28"/>
    </w:rPr>
  </w:style>
  <w:style w:type="paragraph" w:customStyle="1" w:styleId="124">
    <w:name w:val="xl105"/>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FF"/>
      <w:kern w:val="0"/>
      <w:sz w:val="24"/>
      <w:szCs w:val="24"/>
    </w:rPr>
  </w:style>
  <w:style w:type="paragraph" w:customStyle="1" w:styleId="125">
    <w:name w:val="xl10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FF"/>
      <w:kern w:val="0"/>
      <w:sz w:val="24"/>
      <w:szCs w:val="24"/>
    </w:rPr>
  </w:style>
  <w:style w:type="paragraph" w:customStyle="1" w:styleId="126">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27">
    <w:name w:val="xl127"/>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C00000"/>
      <w:kern w:val="0"/>
      <w:sz w:val="24"/>
      <w:szCs w:val="24"/>
    </w:rPr>
  </w:style>
  <w:style w:type="paragraph" w:customStyle="1" w:styleId="128">
    <w:name w:val="xl11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szCs w:val="24"/>
    </w:rPr>
  </w:style>
  <w:style w:type="paragraph" w:customStyle="1" w:styleId="129">
    <w:name w:val="xl95"/>
    <w:basedOn w:val="1"/>
    <w:uiPriority w:val="0"/>
    <w:pPr>
      <w:widowControl/>
      <w:spacing w:before="100" w:beforeAutospacing="1" w:after="100" w:afterAutospacing="1"/>
    </w:pPr>
    <w:rPr>
      <w:b/>
      <w:bCs/>
      <w:color w:val="FF0000"/>
      <w:kern w:val="0"/>
      <w:sz w:val="32"/>
      <w:szCs w:val="32"/>
    </w:rPr>
  </w:style>
  <w:style w:type="paragraph" w:customStyle="1" w:styleId="130">
    <w:name w:val="font0"/>
    <w:basedOn w:val="1"/>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31">
    <w:name w:val="xl101"/>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132">
    <w:name w:val="正文1"/>
    <w:basedOn w:val="1"/>
    <w:uiPriority w:val="0"/>
    <w:pPr>
      <w:adjustRightInd w:val="0"/>
      <w:spacing w:before="60" w:after="60" w:line="360" w:lineRule="auto"/>
      <w:textAlignment w:val="baseline"/>
    </w:pPr>
    <w:rPr>
      <w:rFonts w:ascii="Arial" w:hAnsi="Arial"/>
    </w:rPr>
  </w:style>
  <w:style w:type="paragraph" w:customStyle="1" w:styleId="133">
    <w:name w:val="样式1"/>
    <w:basedOn w:val="3"/>
    <w:uiPriority w:val="0"/>
    <w:pPr>
      <w:tabs>
        <w:tab w:val="left" w:pos="816"/>
      </w:tabs>
      <w:spacing w:line="0" w:lineRule="atLeast"/>
      <w:ind w:left="816" w:hanging="816"/>
    </w:pPr>
    <w:rPr>
      <w:b w:val="0"/>
    </w:rPr>
  </w:style>
  <w:style w:type="paragraph" w:customStyle="1" w:styleId="134">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黑体" w:hAnsi="黑体" w:eastAsia="黑体" w:cs="宋体"/>
      <w:kern w:val="0"/>
      <w:sz w:val="22"/>
      <w:szCs w:val="22"/>
    </w:rPr>
  </w:style>
  <w:style w:type="paragraph" w:customStyle="1" w:styleId="135">
    <w:name w:val="xl89"/>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36">
    <w:name w:val="xl70"/>
    <w:basedOn w:val="1"/>
    <w:uiPriority w:val="0"/>
    <w:pPr>
      <w:widowControl/>
      <w:spacing w:before="100" w:beforeAutospacing="1" w:after="100" w:afterAutospacing="1"/>
      <w:jc w:val="left"/>
    </w:pPr>
    <w:rPr>
      <w:rFonts w:ascii="宋体" w:hAnsi="宋体" w:cs="宋体"/>
      <w:kern w:val="0"/>
      <w:sz w:val="22"/>
      <w:szCs w:val="22"/>
    </w:rPr>
  </w:style>
  <w:style w:type="paragraph" w:customStyle="1" w:styleId="137">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38">
    <w:name w:val="标准"/>
    <w:basedOn w:val="1"/>
    <w:uiPriority w:val="0"/>
    <w:pPr>
      <w:spacing w:line="360" w:lineRule="auto"/>
      <w:ind w:firstLine="200" w:firstLineChars="200"/>
    </w:pPr>
    <w:rPr>
      <w:rFonts w:cs="宋体"/>
    </w:rPr>
  </w:style>
  <w:style w:type="paragraph" w:customStyle="1" w:styleId="139">
    <w:name w:val="Char"/>
    <w:basedOn w:val="1"/>
    <w:uiPriority w:val="0"/>
    <w:pPr>
      <w:widowControl/>
      <w:spacing w:after="160" w:line="240" w:lineRule="exact"/>
      <w:jc w:val="left"/>
    </w:pPr>
    <w:rPr>
      <w:rFonts w:ascii="Verdana" w:hAnsi="Verdana"/>
      <w:kern w:val="0"/>
      <w:sz w:val="20"/>
      <w:lang w:eastAsia="en-US"/>
    </w:rPr>
  </w:style>
  <w:style w:type="paragraph" w:customStyle="1" w:styleId="140">
    <w:name w:val="正文0"/>
    <w:basedOn w:val="1"/>
    <w:uiPriority w:val="0"/>
    <w:pPr>
      <w:autoSpaceDE w:val="0"/>
      <w:autoSpaceDN w:val="0"/>
      <w:adjustRightInd w:val="0"/>
      <w:spacing w:before="240" w:after="60" w:line="360" w:lineRule="atLeast"/>
    </w:pPr>
    <w:rPr>
      <w:b/>
      <w:kern w:val="0"/>
      <w:sz w:val="24"/>
    </w:rPr>
  </w:style>
  <w:style w:type="paragraph" w:customStyle="1" w:styleId="141">
    <w:name w:val="Char Char Char Char"/>
    <w:basedOn w:val="11"/>
    <w:uiPriority w:val="0"/>
    <w:pPr>
      <w:adjustRightInd w:val="0"/>
      <w:snapToGrid w:val="0"/>
      <w:spacing w:line="360" w:lineRule="auto"/>
    </w:pPr>
  </w:style>
  <w:style w:type="paragraph" w:customStyle="1" w:styleId="142">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2"/>
      <w:szCs w:val="22"/>
    </w:rPr>
  </w:style>
  <w:style w:type="paragraph" w:customStyle="1" w:styleId="143">
    <w:name w:val="TOC Heading"/>
    <w:basedOn w:val="3"/>
    <w:next w:val="1"/>
    <w:qFormat/>
    <w:uiPriority w:val="39"/>
    <w:pPr>
      <w:widowControl/>
      <w:spacing w:before="240" w:after="0" w:line="259" w:lineRule="auto"/>
      <w:ind w:left="0"/>
      <w:jc w:val="left"/>
      <w:outlineLvl w:val="9"/>
    </w:pPr>
    <w:rPr>
      <w:rFonts w:ascii="Calibri Light" w:hAnsi="Calibri Light" w:eastAsia="宋体"/>
      <w:b w:val="0"/>
      <w:color w:val="2E74B5"/>
      <w:kern w:val="0"/>
      <w:sz w:val="32"/>
      <w:szCs w:val="32"/>
    </w:rPr>
  </w:style>
  <w:style w:type="paragraph" w:customStyle="1" w:styleId="144">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45">
    <w:name w:val="xl120"/>
    <w:basedOn w:val="1"/>
    <w:uiPriority w:val="0"/>
    <w:pPr>
      <w:widowControl/>
      <w:pBdr>
        <w:top w:val="single" w:color="auto" w:sz="8" w:space="0"/>
        <w:right w:val="single" w:color="auto" w:sz="8" w:space="0"/>
      </w:pBdr>
      <w:shd w:val="clear" w:color="000000" w:fill="FFFFFF"/>
      <w:spacing w:before="100" w:beforeAutospacing="1" w:after="100" w:afterAutospacing="1"/>
      <w:jc w:val="left"/>
    </w:pPr>
    <w:rPr>
      <w:rFonts w:ascii="宋体" w:hAnsi="宋体" w:cs="宋体"/>
      <w:kern w:val="0"/>
      <w:szCs w:val="21"/>
    </w:rPr>
  </w:style>
  <w:style w:type="paragraph" w:customStyle="1" w:styleId="146">
    <w:name w:val="正文_35"/>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7">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FF0000"/>
      <w:kern w:val="0"/>
      <w:sz w:val="24"/>
      <w:szCs w:val="24"/>
    </w:rPr>
  </w:style>
  <w:style w:type="paragraph" w:customStyle="1" w:styleId="148">
    <w:name w:val="xl84"/>
    <w:basedOn w:val="1"/>
    <w:uiPriority w:val="0"/>
    <w:pPr>
      <w:widowControl/>
      <w:spacing w:before="100" w:beforeAutospacing="1" w:after="100" w:afterAutospacing="1"/>
      <w:jc w:val="center"/>
    </w:pPr>
    <w:rPr>
      <w:rFonts w:ascii="宋体" w:hAnsi="宋体" w:cs="宋体"/>
      <w:kern w:val="0"/>
      <w:sz w:val="22"/>
      <w:szCs w:val="22"/>
    </w:rPr>
  </w:style>
  <w:style w:type="paragraph" w:customStyle="1" w:styleId="149">
    <w:name w:val="正文 A"/>
    <w:uiPriority w:val="99"/>
    <w:pPr>
      <w:widowControl w:val="0"/>
      <w:jc w:val="both"/>
    </w:pPr>
    <w:rPr>
      <w:rFonts w:ascii="Arial Unicode MS" w:hAnsi="Calibri" w:eastAsia="Arial Unicode MS" w:cs="Arial Unicode MS"/>
      <w:color w:val="000000"/>
      <w:kern w:val="2"/>
      <w:sz w:val="21"/>
      <w:szCs w:val="21"/>
      <w:u w:color="000000"/>
      <w:lang w:val="en-US" w:eastAsia="zh-CN" w:bidi="ar-SA"/>
    </w:rPr>
  </w:style>
  <w:style w:type="paragraph" w:customStyle="1" w:styleId="150">
    <w:name w:val="Char Char Char Char Char Char1 Char1"/>
    <w:basedOn w:val="1"/>
    <w:uiPriority w:val="0"/>
  </w:style>
  <w:style w:type="paragraph" w:customStyle="1" w:styleId="151">
    <w:name w:val="样式3"/>
    <w:basedOn w:val="17"/>
    <w:uiPriority w:val="0"/>
    <w:pPr>
      <w:spacing w:line="0" w:lineRule="atLeast"/>
      <w:outlineLvl w:val="0"/>
    </w:pPr>
    <w:rPr>
      <w:sz w:val="28"/>
    </w:rPr>
  </w:style>
  <w:style w:type="paragraph" w:customStyle="1" w:styleId="152">
    <w:name w:val="xl83"/>
    <w:basedOn w:val="1"/>
    <w:uiPriority w:val="0"/>
    <w:pPr>
      <w:widowControl/>
      <w:spacing w:before="100" w:beforeAutospacing="1" w:after="100" w:afterAutospacing="1"/>
      <w:jc w:val="left"/>
    </w:pPr>
    <w:rPr>
      <w:rFonts w:ascii="宋体" w:hAnsi="宋体" w:cs="宋体"/>
      <w:kern w:val="0"/>
      <w:sz w:val="22"/>
      <w:szCs w:val="22"/>
    </w:rPr>
  </w:style>
  <w:style w:type="paragraph" w:customStyle="1" w:styleId="153">
    <w:name w:val="_Style 27"/>
    <w:basedOn w:val="11"/>
    <w:uiPriority w:val="0"/>
    <w:rPr>
      <w:rFonts w:ascii="Tahoma"/>
      <w:sz w:val="24"/>
      <w:szCs w:val="24"/>
    </w:rPr>
  </w:style>
  <w:style w:type="paragraph" w:customStyle="1" w:styleId="154">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155">
    <w:name w:val="font9"/>
    <w:basedOn w:val="1"/>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156">
    <w:name w:val="xl107"/>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bottom"/>
    </w:pPr>
    <w:rPr>
      <w:rFonts w:ascii="宋体" w:hAnsi="宋体" w:cs="宋体"/>
      <w:color w:val="0000FF"/>
      <w:kern w:val="0"/>
      <w:sz w:val="24"/>
      <w:szCs w:val="24"/>
    </w:rPr>
  </w:style>
  <w:style w:type="paragraph" w:customStyle="1" w:styleId="157">
    <w:name w:val="paragraph1"/>
    <w:basedOn w:val="1"/>
    <w:uiPriority w:val="0"/>
    <w:pPr>
      <w:spacing w:beforeLines="20" w:afterLines="30" w:line="360" w:lineRule="auto"/>
      <w:ind w:firstLine="200" w:firstLineChars="200"/>
    </w:pPr>
    <w:rPr>
      <w:rFonts w:ascii="Times New Roman" w:hAnsi="Times New Roman"/>
      <w:sz w:val="24"/>
      <w:szCs w:val="24"/>
    </w:rPr>
  </w:style>
  <w:style w:type="paragraph" w:customStyle="1" w:styleId="158">
    <w:name w:val="Blockquote"/>
    <w:basedOn w:val="1"/>
    <w:uiPriority w:val="0"/>
    <w:pPr>
      <w:autoSpaceDE w:val="0"/>
      <w:autoSpaceDN w:val="0"/>
      <w:adjustRightInd w:val="0"/>
      <w:spacing w:before="100" w:after="100"/>
      <w:ind w:left="360" w:right="360"/>
      <w:jc w:val="left"/>
    </w:pPr>
    <w:rPr>
      <w:kern w:val="0"/>
      <w:sz w:val="24"/>
    </w:rPr>
  </w:style>
  <w:style w:type="paragraph" w:customStyle="1" w:styleId="159">
    <w:name w:val="xl10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bottom"/>
    </w:pPr>
    <w:rPr>
      <w:rFonts w:ascii="宋体" w:hAnsi="宋体" w:cs="宋体"/>
      <w:color w:val="000000"/>
      <w:kern w:val="0"/>
      <w:sz w:val="24"/>
      <w:szCs w:val="24"/>
    </w:rPr>
  </w:style>
  <w:style w:type="paragraph" w:customStyle="1" w:styleId="160">
    <w:name w:val="Char Char Char Char1"/>
    <w:basedOn w:val="1"/>
    <w:uiPriority w:val="0"/>
    <w:rPr>
      <w:rFonts w:ascii="Tahoma" w:hAnsi="Tahoma"/>
      <w:sz w:val="24"/>
    </w:rPr>
  </w:style>
  <w:style w:type="paragraph" w:customStyle="1" w:styleId="161">
    <w:name w:val="正文 New New New New New New New New New New New New New New New New New New New New New New New New New New New New New New New New"/>
    <w:uiPriority w:val="0"/>
    <w:pPr>
      <w:widowControl w:val="0"/>
      <w:spacing w:before="40" w:after="40" w:line="360" w:lineRule="atLeast"/>
      <w:ind w:left="420"/>
    </w:pPr>
    <w:rPr>
      <w:rFonts w:ascii="Calibri" w:hAnsi="Calibri" w:eastAsia="宋体" w:cs="Times New Roman"/>
      <w:kern w:val="2"/>
      <w:sz w:val="21"/>
      <w:szCs w:val="21"/>
      <w:lang w:val="en-US" w:eastAsia="zh-CN" w:bidi="ar-SA"/>
    </w:rPr>
  </w:style>
  <w:style w:type="paragraph" w:customStyle="1" w:styleId="162">
    <w:name w:val="Char Char6 Char Char Char Char"/>
    <w:basedOn w:val="1"/>
    <w:uiPriority w:val="0"/>
    <w:rPr>
      <w:rFonts w:ascii="Tahoma" w:hAnsi="Tahoma"/>
      <w:sz w:val="24"/>
    </w:rPr>
  </w:style>
  <w:style w:type="paragraph" w:customStyle="1" w:styleId="163">
    <w:name w:val="*正文"/>
    <w:basedOn w:val="1"/>
    <w:qFormat/>
    <w:uiPriority w:val="0"/>
    <w:pPr>
      <w:spacing w:line="360" w:lineRule="auto"/>
    </w:pPr>
    <w:rPr>
      <w:rFonts w:ascii="宋体" w:hAnsi="宋体"/>
      <w:sz w:val="24"/>
      <w:szCs w:val="24"/>
    </w:rPr>
  </w:style>
  <w:style w:type="paragraph" w:customStyle="1" w:styleId="164">
    <w:name w:val="xl90"/>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65">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166">
    <w:name w:val="Char1"/>
    <w:basedOn w:val="1"/>
    <w:uiPriority w:val="0"/>
    <w:rPr>
      <w:rFonts w:ascii="Tahoma" w:hAnsi="Tahoma"/>
      <w:sz w:val="24"/>
    </w:rPr>
  </w:style>
  <w:style w:type="paragraph" w:customStyle="1" w:styleId="167">
    <w:name w:val="xl108"/>
    <w:basedOn w:val="1"/>
    <w:uiPriority w:val="0"/>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168">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69">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170">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71">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ourier New" w:hAnsi="Courier New" w:cs="Courier New"/>
      <w:color w:val="FF0000"/>
      <w:kern w:val="0"/>
      <w:sz w:val="24"/>
      <w:szCs w:val="24"/>
    </w:rPr>
  </w:style>
  <w:style w:type="paragraph" w:customStyle="1" w:styleId="172">
    <w:name w:val="_Style 7"/>
    <w:basedOn w:val="1"/>
    <w:uiPriority w:val="0"/>
    <w:rPr>
      <w:rFonts w:ascii="Tahoma" w:hAnsi="Tahoma"/>
      <w:sz w:val="24"/>
    </w:rPr>
  </w:style>
  <w:style w:type="paragraph" w:customStyle="1" w:styleId="173">
    <w:name w:val="Char Char Char Char Char Char Char Char"/>
    <w:basedOn w:val="1"/>
    <w:uiPriority w:val="0"/>
    <w:pPr>
      <w:widowControl/>
      <w:spacing w:after="160" w:line="240" w:lineRule="exact"/>
      <w:jc w:val="left"/>
    </w:pPr>
    <w:rPr>
      <w:rFonts w:ascii="Times New Roman" w:hAnsi="Times New Roman" w:eastAsia="Times New Roman"/>
      <w:kern w:val="0"/>
      <w:sz w:val="20"/>
    </w:rPr>
  </w:style>
  <w:style w:type="paragraph" w:customStyle="1" w:styleId="174">
    <w:name w:val="xl121"/>
    <w:basedOn w:val="1"/>
    <w:uiPriority w:val="0"/>
    <w:pPr>
      <w:widowControl/>
      <w:pBdr>
        <w:right w:val="single" w:color="auto" w:sz="8" w:space="0"/>
      </w:pBdr>
      <w:shd w:val="clear" w:color="000000" w:fill="FFFFFF"/>
      <w:spacing w:before="100" w:beforeAutospacing="1" w:after="100" w:afterAutospacing="1"/>
      <w:jc w:val="center"/>
    </w:pPr>
    <w:rPr>
      <w:rFonts w:ascii="宋体" w:hAnsi="宋体" w:cs="宋体"/>
      <w:kern w:val="0"/>
      <w:szCs w:val="21"/>
    </w:rPr>
  </w:style>
  <w:style w:type="paragraph" w:customStyle="1" w:styleId="175">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176">
    <w:name w:val="xl91"/>
    <w:basedOn w:val="1"/>
    <w:uiPriority w:val="0"/>
    <w:pPr>
      <w:widowControl/>
      <w:spacing w:before="100" w:beforeAutospacing="1" w:after="100" w:afterAutospacing="1"/>
      <w:jc w:val="center"/>
    </w:pPr>
    <w:rPr>
      <w:rFonts w:ascii="宋体" w:hAnsi="宋体" w:cs="宋体"/>
      <w:b/>
      <w:bCs/>
      <w:kern w:val="0"/>
      <w:sz w:val="40"/>
      <w:szCs w:val="40"/>
    </w:rPr>
  </w:style>
  <w:style w:type="paragraph" w:customStyle="1" w:styleId="177">
    <w:name w:val="_Style 2"/>
    <w:basedOn w:val="1"/>
    <w:qFormat/>
    <w:uiPriority w:val="34"/>
    <w:pPr>
      <w:ind w:firstLine="420" w:firstLineChars="200"/>
    </w:pPr>
  </w:style>
  <w:style w:type="paragraph" w:customStyle="1" w:styleId="178">
    <w:name w:val="xl1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C00000"/>
      <w:kern w:val="0"/>
      <w:sz w:val="24"/>
      <w:szCs w:val="24"/>
    </w:rPr>
  </w:style>
  <w:style w:type="paragraph" w:customStyle="1" w:styleId="179">
    <w:name w:val="font11"/>
    <w:basedOn w:val="1"/>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80">
    <w:name w:val="Char Char1 Char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181">
    <w:name w:val="_Style 401"/>
    <w:basedOn w:val="1"/>
    <w:uiPriority w:val="0"/>
    <w:pPr>
      <w:adjustRightInd w:val="0"/>
      <w:spacing w:line="360" w:lineRule="auto"/>
    </w:pPr>
    <w:rPr>
      <w:rFonts w:ascii="Times New Roman" w:hAnsi="Times New Roman"/>
      <w:kern w:val="0"/>
      <w:sz w:val="24"/>
    </w:rPr>
  </w:style>
  <w:style w:type="paragraph" w:customStyle="1" w:styleId="182">
    <w:name w:val="xl119"/>
    <w:basedOn w:val="1"/>
    <w:uiPriority w:val="0"/>
    <w:pPr>
      <w:widowControl/>
      <w:pBdr>
        <w:left w:val="single" w:color="auto" w:sz="8" w:space="0"/>
        <w:right w:val="single" w:color="auto" w:sz="8" w:space="0"/>
      </w:pBdr>
      <w:shd w:val="clear" w:color="000000" w:fill="FFFFFF"/>
      <w:spacing w:before="100" w:beforeAutospacing="1" w:after="100" w:afterAutospacing="1"/>
      <w:jc w:val="left"/>
    </w:pPr>
    <w:rPr>
      <w:rFonts w:ascii="宋体" w:hAnsi="宋体" w:cs="宋体"/>
      <w:kern w:val="0"/>
      <w:szCs w:val="21"/>
    </w:rPr>
  </w:style>
  <w:style w:type="paragraph" w:customStyle="1" w:styleId="183">
    <w:name w:val="xl1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84">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2"/>
      <w:szCs w:val="22"/>
    </w:rPr>
  </w:style>
  <w:style w:type="paragraph" w:customStyle="1" w:styleId="185">
    <w:name w:val="默认段落字体 Para Char"/>
    <w:basedOn w:val="1"/>
    <w:uiPriority w:val="0"/>
    <w:pPr>
      <w:spacing w:line="380" w:lineRule="exact"/>
      <w:jc w:val="center"/>
    </w:pPr>
    <w:rPr>
      <w:rFonts w:ascii="宋体" w:hAnsi="宋体" w:cs="Symbol"/>
      <w:bCs/>
      <w:color w:val="339966"/>
      <w:kern w:val="0"/>
      <w:sz w:val="24"/>
    </w:rPr>
  </w:style>
  <w:style w:type="paragraph" w:customStyle="1" w:styleId="186">
    <w:name w:val="xl94"/>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7">
    <w:name w:val="Char Char Char Char Char Char1 Char"/>
    <w:basedOn w:val="1"/>
    <w:uiPriority w:val="0"/>
    <w:rPr>
      <w:rFonts w:ascii="Tahoma" w:hAnsi="Tahoma"/>
      <w:sz w:val="24"/>
    </w:rPr>
  </w:style>
  <w:style w:type="paragraph" w:customStyle="1" w:styleId="188">
    <w:name w:val="xl104"/>
    <w:basedOn w:val="1"/>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textAlignment w:val="bottom"/>
    </w:pPr>
    <w:rPr>
      <w:rFonts w:ascii="宋体" w:hAnsi="宋体" w:cs="宋体"/>
      <w:color w:val="000000"/>
      <w:kern w:val="0"/>
      <w:sz w:val="24"/>
      <w:szCs w:val="24"/>
    </w:rPr>
  </w:style>
  <w:style w:type="paragraph" w:customStyle="1" w:styleId="189">
    <w:name w:val="Char2"/>
    <w:basedOn w:val="1"/>
    <w:uiPriority w:val="0"/>
    <w:pPr>
      <w:tabs>
        <w:tab w:val="left" w:pos="360"/>
      </w:tabs>
    </w:pPr>
  </w:style>
  <w:style w:type="paragraph" w:customStyle="1" w:styleId="190">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bottom"/>
    </w:pPr>
    <w:rPr>
      <w:rFonts w:ascii="宋体" w:hAnsi="宋体" w:cs="宋体"/>
      <w:kern w:val="0"/>
      <w:sz w:val="22"/>
      <w:szCs w:val="22"/>
    </w:rPr>
  </w:style>
  <w:style w:type="paragraph" w:customStyle="1" w:styleId="191">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kern w:val="0"/>
      <w:sz w:val="24"/>
      <w:szCs w:val="24"/>
    </w:rPr>
  </w:style>
  <w:style w:type="paragraph" w:customStyle="1" w:styleId="192">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2"/>
      <w:szCs w:val="22"/>
    </w:rPr>
  </w:style>
  <w:style w:type="paragraph" w:customStyle="1" w:styleId="193">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94">
    <w:name w:val="xl11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szCs w:val="24"/>
    </w:rPr>
  </w:style>
  <w:style w:type="paragraph" w:customStyle="1" w:styleId="195">
    <w:name w:val="xl1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C00000"/>
      <w:kern w:val="0"/>
      <w:sz w:val="24"/>
      <w:szCs w:val="24"/>
    </w:rPr>
  </w:style>
  <w:style w:type="paragraph" w:customStyle="1" w:styleId="196">
    <w:name w:val="列出段落2"/>
    <w:basedOn w:val="1"/>
    <w:uiPriority w:val="0"/>
    <w:pPr>
      <w:widowControl/>
      <w:ind w:left="420"/>
      <w:jc w:val="left"/>
    </w:pPr>
    <w:rPr>
      <w:rFonts w:cs="宋体"/>
      <w:kern w:val="0"/>
      <w:szCs w:val="22"/>
    </w:rPr>
  </w:style>
  <w:style w:type="paragraph" w:customStyle="1" w:styleId="197">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198">
    <w:name w:val="p0_0"/>
    <w:basedOn w:val="1"/>
    <w:uiPriority w:val="0"/>
    <w:pPr>
      <w:widowControl/>
    </w:pPr>
    <w:rPr>
      <w:kern w:val="0"/>
      <w:szCs w:val="21"/>
    </w:rPr>
  </w:style>
  <w:style w:type="paragraph" w:customStyle="1" w:styleId="199">
    <w:name w:val="xl1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C00000"/>
      <w:kern w:val="0"/>
      <w:sz w:val="24"/>
      <w:szCs w:val="24"/>
    </w:rPr>
  </w:style>
  <w:style w:type="paragraph" w:customStyle="1" w:styleId="200">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201">
    <w:name w:val="_Style 1"/>
    <w:basedOn w:val="1"/>
    <w:qFormat/>
    <w:uiPriority w:val="34"/>
    <w:pPr>
      <w:ind w:firstLine="420" w:firstLineChars="200"/>
    </w:pPr>
  </w:style>
  <w:style w:type="paragraph" w:customStyle="1" w:styleId="202">
    <w:name w:val="_Style 20"/>
    <w:basedOn w:val="1"/>
    <w:uiPriority w:val="0"/>
    <w:pPr>
      <w:widowControl/>
      <w:spacing w:after="160" w:line="240" w:lineRule="exact"/>
      <w:jc w:val="left"/>
    </w:pPr>
  </w:style>
  <w:style w:type="paragraph" w:customStyle="1" w:styleId="203">
    <w:name w:val="xl92"/>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204">
    <w:name w:val="Char Char1 Char Char Char"/>
    <w:basedOn w:val="11"/>
    <w:uiPriority w:val="0"/>
    <w:rPr>
      <w:rFonts w:ascii="Tahoma"/>
      <w:sz w:val="24"/>
      <w:szCs w:val="24"/>
    </w:rPr>
  </w:style>
  <w:style w:type="paragraph" w:customStyle="1" w:styleId="205">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2"/>
      <w:szCs w:val="22"/>
    </w:rPr>
  </w:style>
  <w:style w:type="paragraph" w:customStyle="1" w:styleId="206">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07">
    <w:name w:val="Char2 Char Char Char Char Char Char Char Char Char Char Char Char"/>
    <w:basedOn w:val="1"/>
    <w:uiPriority w:val="0"/>
    <w:pPr>
      <w:spacing w:line="360" w:lineRule="auto"/>
      <w:ind w:firstLine="200" w:firstLineChars="200"/>
    </w:pPr>
    <w:rPr>
      <w:rFonts w:ascii="Tahoma" w:hAnsi="Tahoma"/>
      <w:sz w:val="24"/>
      <w:szCs w:val="24"/>
    </w:rPr>
  </w:style>
  <w:style w:type="paragraph" w:customStyle="1" w:styleId="208">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color w:val="FF0000"/>
      <w:kern w:val="0"/>
      <w:sz w:val="24"/>
      <w:szCs w:val="24"/>
    </w:rPr>
  </w:style>
  <w:style w:type="paragraph" w:customStyle="1" w:styleId="209">
    <w:name w:val="1.1.1.1"/>
    <w:basedOn w:val="1"/>
    <w:uiPriority w:val="0"/>
    <w:pPr>
      <w:tabs>
        <w:tab w:val="left" w:pos="1134"/>
      </w:tabs>
      <w:adjustRightInd w:val="0"/>
      <w:spacing w:before="60" w:after="60" w:line="360" w:lineRule="atLeast"/>
      <w:ind w:left="1134" w:hanging="1134"/>
      <w:textAlignment w:val="baseline"/>
    </w:pPr>
    <w:rPr>
      <w:rFonts w:ascii="Arial" w:hAnsi="Arial"/>
      <w:kern w:val="0"/>
    </w:rPr>
  </w:style>
  <w:style w:type="paragraph" w:customStyle="1" w:styleId="210">
    <w:name w:val="xl8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11">
    <w:name w:val="xl114"/>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212">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2"/>
      <w:szCs w:val="22"/>
    </w:rPr>
  </w:style>
  <w:style w:type="paragraph" w:customStyle="1" w:styleId="213">
    <w:name w:val="xl27"/>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Cs w:val="21"/>
    </w:rPr>
  </w:style>
  <w:style w:type="paragraph" w:customStyle="1" w:styleId="214">
    <w:name w:val="font6"/>
    <w:basedOn w:val="1"/>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215">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216">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2"/>
      <w:szCs w:val="22"/>
    </w:rPr>
  </w:style>
  <w:style w:type="paragraph" w:customStyle="1" w:styleId="217">
    <w:name w:val="项目2菱形"/>
    <w:basedOn w:val="1"/>
    <w:uiPriority w:val="0"/>
    <w:pPr>
      <w:numPr>
        <w:ilvl w:val="0"/>
        <w:numId w:val="1"/>
      </w:numPr>
      <w:spacing w:line="360" w:lineRule="auto"/>
    </w:pPr>
    <w:rPr>
      <w:rFonts w:ascii="Times New Roman" w:hAnsi="Times New Roman"/>
    </w:rPr>
  </w:style>
  <w:style w:type="paragraph" w:customStyle="1" w:styleId="218">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35747</Words>
  <Characters>37990</Characters>
  <Lines>316</Lines>
  <Paragraphs>89</Paragraphs>
  <TotalTime>1574</TotalTime>
  <ScaleCrop>false</ScaleCrop>
  <LinksUpToDate>false</LinksUpToDate>
  <CharactersWithSpaces>42388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2021-08-12T01:22:00Z</dcterms:created>
  <dc:creator>微软用户</dc:creator>
  <cp:lastModifiedBy>Lenovo</cp:lastModifiedBy>
  <cp:lastPrinted>2021-06-19T04:43:00Z</cp:lastPrinted>
  <dcterms:modified xsi:type="dcterms:W3CDTF">2025-07-31T08:44:47Z</dcterms:modified>
  <dc:title>福建省政府采购</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8906590769F044FC93299F9AA6B7EE92</vt:lpwstr>
  </property>
</Properties>
</file>