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福建省政府采购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货物和服务项目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78"/>
          <w:szCs w:val="78"/>
          <w:highlight w:val="none"/>
        </w:rPr>
      </w:pPr>
      <w:r>
        <w:rPr>
          <w:rFonts w:hint="eastAsia" w:ascii="宋体" w:hAnsi="宋体" w:eastAsia="宋体" w:cs="宋体"/>
          <w:b/>
          <w:bCs/>
          <w:i w:val="0"/>
          <w:iCs w:val="0"/>
          <w:caps w:val="0"/>
          <w:color w:val="auto"/>
          <w:spacing w:val="0"/>
          <w:sz w:val="78"/>
          <w:szCs w:val="78"/>
          <w:highlight w:val="none"/>
          <w:shd w:val="clear" w:fill="FFFFFF"/>
        </w:rPr>
        <w:t>公开招标文件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w:t>
      </w:r>
      <w:r>
        <w:rPr>
          <w:rFonts w:hint="eastAsia" w:ascii="宋体" w:hAnsi="宋体" w:eastAsia="宋体" w:cs="宋体"/>
          <w:b/>
          <w:bCs/>
          <w:color w:val="auto"/>
          <w:sz w:val="24"/>
          <w:szCs w:val="24"/>
          <w:highlight w:val="none"/>
        </w:rPr>
        <w:t>罪犯食堂蔬菜禽蛋豆制品配送服务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w:t>
      </w:r>
      <w:r>
        <w:rPr>
          <w:rFonts w:hint="eastAsia" w:ascii="宋体" w:hAnsi="宋体" w:eastAsia="宋体" w:cs="宋体"/>
          <w:b/>
          <w:bCs/>
          <w:color w:val="auto"/>
          <w:sz w:val="24"/>
          <w:szCs w:val="24"/>
          <w:highlight w:val="none"/>
        </w:rPr>
        <w:t>CGXM-2023-350001-10601[2023]06297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w:t>
      </w:r>
      <w:r>
        <w:rPr>
          <w:rFonts w:hint="eastAsia" w:ascii="宋体" w:hAnsi="宋体" w:eastAsia="宋体" w:cs="宋体"/>
          <w:b/>
          <w:bCs/>
          <w:color w:val="auto"/>
          <w:sz w:val="24"/>
          <w:szCs w:val="24"/>
          <w:highlight w:val="none"/>
        </w:rPr>
        <w:t>[350001]FJKT[GK]2023030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采购人：</w:t>
      </w:r>
      <w:r>
        <w:rPr>
          <w:rFonts w:hint="eastAsia" w:ascii="宋体" w:hAnsi="宋体" w:eastAsia="宋体" w:cs="宋体"/>
          <w:b/>
          <w:bCs/>
          <w:color w:val="auto"/>
          <w:sz w:val="24"/>
          <w:szCs w:val="24"/>
          <w:highlight w:val="none"/>
        </w:rPr>
        <w:t>福建省建阳监狱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代理机构：</w:t>
      </w:r>
      <w:r>
        <w:rPr>
          <w:rFonts w:hint="eastAsia" w:ascii="宋体" w:hAnsi="宋体" w:eastAsia="宋体" w:cs="宋体"/>
          <w:b/>
          <w:bCs/>
          <w:color w:val="auto"/>
          <w:sz w:val="24"/>
          <w:szCs w:val="24"/>
          <w:highlight w:val="none"/>
        </w:rPr>
        <w:t>福建康泰招标有限公司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编制时间：</w:t>
      </w:r>
      <w:r>
        <w:rPr>
          <w:rFonts w:hint="eastAsia" w:ascii="宋体" w:hAnsi="宋体" w:eastAsia="宋体" w:cs="宋体"/>
          <w:b/>
          <w:bCs/>
          <w:i w:val="0"/>
          <w:iCs w:val="0"/>
          <w:caps w:val="0"/>
          <w:color w:val="auto"/>
          <w:spacing w:val="0"/>
          <w:sz w:val="24"/>
          <w:szCs w:val="24"/>
          <w:highlight w:val="none"/>
          <w:shd w:val="clear" w:fill="FFFFFF"/>
        </w:rPr>
        <w:t>2023年07月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第一章 投标邀请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福建康泰招标有限公司 采用公开招标方式组织 罪犯食堂蔬菜禽蛋豆制品配送服务 （以下简称：“本项目”）的政府采购活动，现邀请供应商参加投标。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1、备案编号：</w:t>
      </w:r>
      <w:r>
        <w:rPr>
          <w:rFonts w:hint="eastAsia" w:ascii="宋体" w:hAnsi="宋体" w:eastAsia="宋体" w:cs="宋体"/>
          <w:b/>
          <w:bCs/>
          <w:i w:val="0"/>
          <w:iCs w:val="0"/>
          <w:caps w:val="0"/>
          <w:color w:val="auto"/>
          <w:spacing w:val="0"/>
          <w:sz w:val="24"/>
          <w:szCs w:val="24"/>
          <w:highlight w:val="none"/>
          <w:shd w:val="clear" w:fill="FFFFFF"/>
        </w:rPr>
        <w:t>CGXM-2023-350001-10601[2023]06297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2、项目编号：</w:t>
      </w:r>
      <w:r>
        <w:rPr>
          <w:rFonts w:hint="eastAsia" w:ascii="宋体" w:hAnsi="宋体" w:eastAsia="宋体" w:cs="宋体"/>
          <w:b/>
          <w:bCs/>
          <w:i w:val="0"/>
          <w:iCs w:val="0"/>
          <w:caps w:val="0"/>
          <w:color w:val="auto"/>
          <w:spacing w:val="0"/>
          <w:sz w:val="24"/>
          <w:szCs w:val="24"/>
          <w:highlight w:val="none"/>
          <w:shd w:val="clear" w:fill="FFFFFF"/>
        </w:rPr>
        <w:t>[350001]FJKT[GK]2023030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3、预算金额、最高限价：详见《采购标的一览表》。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4、招标内容及要求：详见《采购标的一览表》及招标文件第五章。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5、需要落实的政府采购政策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进口产品：进口产品，不适用于本项目。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节能产品：节能产品按本招标文件规定执行。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环境标志产品：环境标志产品按本招标文件规定执行。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信息安全产品：信息安全产品按本招标文件规定执行。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促进中小企业发展的相关政策：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采购包1：不专门面向中小企业采购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6、投标人的资格要求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6.1法定条件：符合政府采购法第二十二条第一款规定的条件。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6.2特定条件：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4"/>
        <w:gridCol w:w="6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50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63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投标人须具备有效的《食品生产许可证》或《食品经营许可证》或《食品药品经营许可证》或《食品药品生产经营许可证》，投标人须提供有效的相关证件复印件，未提供的按无效投标处理。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6.3是否接受联合体投标：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采购包1：不接受</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※根据上述资格要求，电子投标文件中应提交的“投标人的资格及资信证明文件”详见招标文件第四章。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7、招标文件的获取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7.1、招标文件获取期限：详见招标公告或更正公告，若不一致，以更正公告为准。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7.3、获取地点及方式：注册账号后，通过福建省政府采购网上公开信息系统以下载方式获取。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7.4、招标文件售价：0元。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8、投标截止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8.1、投标截止时间：详见招标公告或更正公告，若不一致，以更正公告为准。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8.2、投标人应在投标截止时间前按照福建省政府采购网上公开信息系统设定的操作流程将电子投标文件上传至福建省政府采购网上公开信息系统，否则投标将被拒绝。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9、开标时间及地点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详见招标公告或更正公告，若不一致，以更正公告为准。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10、公告期限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10.1、招标公告的公告期限：自财政部和福建省财政厅指定的政府采购信息发布媒体最先发布公告之日起5个工作日。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10.2、招标文件公告期限：招标文件随同招标公告一并发布，其公告期限与招标公告的公告期限保持一致。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11、采购人：</w:t>
      </w:r>
      <w:r>
        <w:rPr>
          <w:rFonts w:hint="eastAsia" w:ascii="宋体" w:hAnsi="宋体" w:eastAsia="宋体" w:cs="宋体"/>
          <w:b/>
          <w:bCs/>
          <w:i w:val="0"/>
          <w:iCs w:val="0"/>
          <w:caps w:val="0"/>
          <w:color w:val="auto"/>
          <w:spacing w:val="0"/>
          <w:sz w:val="24"/>
          <w:szCs w:val="24"/>
          <w:highlight w:val="none"/>
          <w:shd w:val="clear" w:fill="FFFFFF"/>
        </w:rPr>
        <w:t>福建省建阳监狱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 福建省南平市建阳区童游曼头山7号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 354200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 周茜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 0599-8071038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12、代理机构：</w:t>
      </w:r>
      <w:r>
        <w:rPr>
          <w:rFonts w:hint="eastAsia" w:ascii="宋体" w:hAnsi="宋体" w:eastAsia="宋体" w:cs="宋体"/>
          <w:b/>
          <w:bCs/>
          <w:i w:val="0"/>
          <w:iCs w:val="0"/>
          <w:caps w:val="0"/>
          <w:color w:val="auto"/>
          <w:spacing w:val="0"/>
          <w:sz w:val="24"/>
          <w:szCs w:val="24"/>
          <w:highlight w:val="none"/>
          <w:shd w:val="clear" w:fill="FFFFFF"/>
        </w:rPr>
        <w:t>福建康泰招标有限公司</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 福建省福州市鼓楼区湖东路169号中闽天骜大厦第十三层02A单元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邮编： 350001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 樊淑贞、陈东英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 0591-87803505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附1：账户信息</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开户名称： 福建康泰招标有限公司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1、投标人应认真核对账户信息，将投标保证金汇入以上账户，并自行承担因汇错投标保证金而产生的一切后果。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2、投标人在转账或电汇的凭证上应按照以下格式注明，以便核对：“（项目编号：***）的投标保证金”。</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附2：采购标的一览表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采购包预算金额（元）: 6,600,000.00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采购包最高限价（元）: 6,600,000.00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采购包保证金金额（元）: 66,000.00</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罪犯食堂蔬菜禽蛋豆制品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6,600,000.00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批发业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否</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第二章 投标人须知前附表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一、投标人须知前附表1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4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（第三章）</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是否组织现场考察或召开开标前答疑会：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10.4</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投标文件的份数：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（1）可读介质（光盘或U盘） 0 份：投标人应将其上传至福建省政府采购网上公开信息系统的电子投标文件在该可读介质中另存 0 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10.7-（1）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是否允许中标人将本项目的非主体、非关键性工作进行分包：</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4</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10.8-（1）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5</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确定中标候选人名单：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6</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12.2</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本项目中标人的确定（以采购包为单位）：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 采购人应在政府采购招投标管理办法规定的时限内确定中标人。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（2）若出现中标候选人并列情形，则按照下列方式确定中标人：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①招标文件规定的方式：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②若本款第①点规定方式为“无”，则按照下列方式确定：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③若本款第①、②点规定方式均为“无”，则按照下列方式确定：随机抽取。</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（3）本项目确定的中标人家数：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7</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13.2</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8</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15.1-（2）</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9</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15.4</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招标文件的质疑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（1）潜在投标人可在质疑时效期间内对招标文件以书面形式提出质疑。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（2）质疑时效期间：应在依法获取招标文件之日起7个工作日内向 福建康泰招标有限公司 提出，依法获取招标文件的时间以福建省政府采购网上公开信息系统记载的为准。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10</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16.1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监督管理部门： 福建省财政厅政府采购监督管理办公室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11</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18.1</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财政部和福建省财政厅指定的政府采购信息发布媒体（以下简称：“指定媒体”）：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（1）中国政府采购网，网址www.ccgp.gov.cn。</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（2）中国政府采购网福建分网（福建省政府采购网），网址zfcg.czt.fujian.gov.cn。</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5"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12</w:t>
            </w:r>
          </w:p>
        </w:tc>
        <w:tc>
          <w:tcPr>
            <w:tcW w:w="43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19</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(1)本项目代理服务费：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本项目收取代理服务费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代理服务费用收取对象：中标/成交供应商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代理服务费收费标准：本项目代理服务费由中标人支付。本项目为福建省建阳监狱罪犯食堂蔬菜禽蛋豆制品配送服务，合同金额在不超过本项目实际预算金额660万元的范围内据实结算；评标时中标人的报价只作为获取据实结算下浮率的计算依据，因此本项目招标代理服务费以660万元作为收费的计算基数，招标代理服务费按福建省监狱系统招标代理服务费收费标准，以预算金额660万为基数按差额定率累进法计算向中标人收取。费率标准：50万元（含）以下的按1%收取；50万元至100万元的按0.9%收取；100万元至500万元的按0.5%收取；500万元至1000万元的按0.2%收取。中标人应在领取中标通知书前以转账、电汇付款方式一次性向采购代理机构缴纳招标代理服务费。服务费缴纳账户信息：开户名：福建康泰招标有限公司，开户行：中信银行福州江滨路支行，账号：7612110182600018475。</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30分钟，请投标人务必密切关注实时开标流程，并根据流程在系统内按时操作，否则产生的后果由投标人自行承担。g.在开标过程中，因系统故障等导致无法继续进行开标的，投标人须配合等待故障处理，待故障解除后继续开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8"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p>
        </w:tc>
        <w:tc>
          <w:tcPr>
            <w:tcW w:w="4331"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后有投标人须知前附表2，请勿遗漏。</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二、投标人须知前附表2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序号</w:t>
            </w:r>
          </w:p>
        </w:tc>
        <w:tc>
          <w:tcPr>
            <w:tcW w:w="47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w:t>
            </w:r>
          </w:p>
        </w:tc>
        <w:tc>
          <w:tcPr>
            <w:tcW w:w="476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（1）电子招标投标活动的专门规定适用本项目电子招标投标活动。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（2）将招标文件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的内容修正为下列内容：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无。</w:t>
            </w:r>
          </w:p>
          <w:p>
            <w:pPr>
              <w:keepNext w:val="0"/>
              <w:keepLines w:val="0"/>
              <w:widowControl/>
              <w:suppressLineNumbers w:val="0"/>
              <w:jc w:val="left"/>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后适用本项目的电子招标投标活动。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①电子招标投标活动的具体操作流程以福建省政府采购网上公开信息系统设定的为准。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②关于电子投标文件：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a.投标人应按照福建省政府采购网上公开信息系统设定的评审节点编制电子投标文件，否则资格审查小组、评标委员会将按照不利于投标人的内容进行认定。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③关于证明材料或资料：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④关于“全称”、“投标人代表签字”及“加盖单位公章”：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a.在电子投标文件中，涉及“全称”和“投标人代表签字”的内容可使用打字录入方式完成。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b.在电子投标文件中，涉及“加盖单位公章”的内容应使用投标人的CA证书完成，否则投标无效。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c.在电子投标文件中，若投标人按照本增列内容第④点第b项规定加盖其单位公章，则出现无全称、或投标人代表未签字等情形，不视为投标无效。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⑤关于投标人的CA证书：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a.投标人的CA证书应在系统规定时间内使用CA证书进行电子投标文件的解密操作，逾期未解密的视为放弃投标。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b.投标人的CA证书可采用信封（包括但不限于：信封、档案袋、文件袋等）作为外包装进行单独包装。外包装密封、不密封皆可。</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c.投标人的CA证书或外包装应标记“项目名称、项目编号、投标人的全称”等内容，以方便识别、使用。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d.投标人的CA证书应能正常、有效使用，否则产生不利后果由投标人承担责任。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⑥关于投标截止时间过后</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a.未按招标文件规定提交投标保证金的，其投标将按无效投标处理。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b.有下列情形之一的，其投标无效,其保证金不予退还或通过投标保函进行索赔：</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b1不同投标人的电子投标文件具有相同内部识别码；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b2不同投标人的投标保证金从同一单位或个人的账户转出；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b3投标人的投标保证金同一采购包下有其他投标人提交的投标保证金；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b4不同投标人存在串通投标的其他情形。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⑧其他：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第三章 投标人须知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一、总则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1、适用范围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1.1适用于招标文件载明项目的政府采购活动（以下简称：“本次采购活动”）。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2、定义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2.1“采购标的”指招标文件载明的需要采购的货物或服务。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2.2“潜在投标人”指按照招标文件第一章第7条规定获取招标文件且有意向参加本项目投标的供应商。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2.3“投标人”指按照招标文件第一章第7条规定获取招标文件并参加本项目投标的供应商。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2.4“单位负责人”指单位法定代表人或法律、法规规定代表单位行使职权的主要负责人。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2.5“投标人代表”指投标人的单位负责人或“单位负责人授权书”中载明的接受授权方。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3、合格投标人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3.1一般规定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（2）投标人的资格要求：详见招标文件第一章。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3.2若本项目接受联合体投标且投标人为联合体，则联合体各方应遵守本章第3.1条规定，同时还应遵守下列规定：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（1）联合体各方应提交联合体协议，联合体协议应符合招标文件规定。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（2）联合体各方不得再单独参加或与其他供应商另外组成联合体参加同一合同项下的投标。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（3）联合体各方应共同与采购人签订政府采购合同，就政府采购合同约定的事项对采购人承担连带责任。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（5）联合体一方放弃中标的，视为联合体整体放弃中标，联合体各方承担连带责任。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（6）如本项目不接受联合体投标而投标人为联合体的，或者本项目接受联合体投标但投标人组成的联合体不符合本章第3.2条规定的，投标无效。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4.1除招标文件另有规定外，投标人应自行承担其参加本项目投标所涉及的一切费用。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5.1招标文件由下述部分组成：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（1）投标邀请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（2）投标人须知前附表（表1、2）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（3）投标人须知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（4）资格审查与评标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（5）招标内容及要求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（6）政府采购合同（参考文本）</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（7）电子投标文件格式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（8）按照招标文件规定作为招标文件组成部分的其他内容（若有）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5.2招标文件的澄清或修改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 福建康泰招标有限公司 可对已发出的招标文件进行必要的澄清或修改，但不得对招标文件载明的采购标的和投标人的资格要求进行改变。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（3）澄清或修改的内容可能改变招标文件载明的采购标的和投标人的资格要求的，本次采购活动结束， 福建康泰招标有限公司 将依法组织后续采购活动（包括但不限于：重新招标、采用其他方式采购等）。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6、现场考察或开标前答疑会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6.1是否组织现场考察或召开开标前答疑会：详见招标文件第二章。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7、更正公告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7.1若 福建康泰招标有限公司 发布更正公告，则更正公告及其所发布的内容或信息（包括但不限于：招标文件的澄清或修改、现场考察或答疑会的有关事宜等）作为招标文件组成部分，对投标人具有约束力。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7.2更正公告作为 福建康泰招标有限公司 通知所有潜在投标人的书面形式。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8、终止公告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8.1若出现因重大变故导致采购任务取消情形， 福建康泰招标有限公司 可终止招标并发布终止公告。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8.2终止公告作为 福建康泰招标有限公司 通知所有潜在投标人的书面形式。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9.1投标人可对招标文件载明的全部或部分采购包进行投标。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9.2投标人应对同一个采购包内的所有内容进行完整投标，否则投标无效。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9.3投标人代表只能接受一个投标人的授权参加投标，否则投标无效。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9.4单位负责人为同一人或存在直接控股、管理关系的不同供应商，不得同时参加同一合同项下的投标，否则投标无效。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9.5为本项目提供整体设计、规范编制或项目管理、监理、检测等服务的供应商，不得参加本项目除整体设计、规范编制和项目管理、监理、检测等服务外的采购活动，否则投标无效。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9.7有下列情形之一的，视为投标人串通投标，其投标无效：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（1）不同投标人的电子投标文件由同一单位或个人编制；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（2）不同投标人委托同一单位或个人办理投标事宜；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（3）不同投标人的电子投标文件载明的项目管理成员或联系人员为同一人；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（4）不同投标人的电子投标文件异常一致或投标报价呈规律性差异；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（5）不同投标人的电子投标文件相互混装；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（6）不同投标人的投标保证金从同一单位或个人的账户转出；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（7）有关法律、法规和规章及招标文件规定的其他串通投标情形。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10.1电子投标文件的编制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（1）投标人应先仔细阅读招标文件的全部内容后，再进行电子投标文件的编制。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（2）电子投标文件应按照本章第10.2条规定编制其组成部分。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10.2电子投标文件由下述部分组成：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（1）资格及资信证明部分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②投标人的资格及资信证明文件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（2）报价部分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③招标文件规定的价格扣除证明材料（若有）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④招标文件规定的加分证明材料（若有）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（3）技术商务部分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①标的说明一览表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②技术和服务要求响应表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③商务条件响应表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④投标人提交的其他资料（若有）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⑤招标文件规定作为电子投标文件组成部分的其他内容（若有）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10.3电子投标文件的语言</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（1）除招标文件另有规定外，电子投标文件应使用中文文本，若有不同文本，以中文文本为准。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10.4投标文件的份数：详见招标文件第二章。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10.5电子投标文件的格式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（1）除招标文件另有规定外，电子投标文件应使用招标文件第七章规定的格式。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（2）除招标文件另有规定外，电子投标文件应使用不能擦去的墨料或墨水打印、书写或复印。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（3）除招标文件另有规定外，电子投标文件应使用人民币作为计量货币。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（4）除招标文件另有规定外，签署、盖章应遵守下列规定：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①电子投标文件应加盖投标人的单位公章。若投标人代表为单位授权的委托代理人，应提供“单位授权书”。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a.投标人代表签字确认；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b.加盖投标人的单位公章或校正章。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10.6投标报价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（1）投标报价超出最高限价将导致投标无效。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（2）最高限价由采购人根据价格测算情况，在预算金额的额度内合理设定。最高限价不得超出预算金额。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10.7分包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（1）是否允许中标人将本项目的非主体、非关键性工作进行分包：详见招标文件第二章。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（3）招标文件允许中标人将非主体、非关键性工作进行分包的项目，有下列情形之一的，中标人不得分包：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①电子投标文件中未载明分包承担主体；</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②电子投标文件载明的分包承担主体不具备相应资质条件；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③电子投标文件载明的分包承担主体拟再次分包；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④享受中小企业扶持政策获得政府采购合同的，小微企业不得将合同分包给大中型企业，中型企业不得将合同分包给大型企业。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10.8投标有效期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（1）招标文件载明的投标有效期：详见招标文件第二章。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（2）电子投标文件承诺的投标有效期不得少于招标文件载明的投标有效期，否则投标无效。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10.9投标保证金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（1）投标保证金作为投标人按照招标文件规定履行相应投标责任、义务的约束及担保。</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（2）投标人以电子保函形式提交投标保证金的，保函的有效期应等于或长于电子投标文件承诺的投标有效期，否则投标无效。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③其他形式：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④若本项目接受联合体投标且投标人为联合体，则联合体中的牵头方应按照本章第10.9条第（3）款第①、②、③点规定提交投标保证金。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※除招标文件另有规定外，未按照上述规定提交投标保证金将导致资格审查不合格。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①在投标截止时间前撤回已提交的电子投标文件的投标人，其投标保证金将在 福建康泰招标有限公司 收到投标人书面撤回通知之日起5个工作日内退回原账户。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②未中标人的投标保证金将在中标通知书发出之日起5个工作日内退回原账户。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③中标人的投标保证金将在政府采购合同签订之日起5个工作日内退回原账户；合同签订之日以福建省政府采购网上公开信息系统记载的为准。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④终止招标的， 福建康泰招标有限公司 将在终止公告发布之日起5个工作日内退回已收取的投标保证金及其在银行产生的孳息。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⑤除招标文件另有规定外，质疑或投诉涉及的投标人，若投标保证金尚未退还，则待质疑或投诉处理完毕后不计利息原额退还。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※本章第10.9条第（4）款第①、②、③点规定的投标保证金退还时限不包括因投标人自身原因导致无法及时退还而增加的时间。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（6）有下列情形之一的，投标保证金将不予退还或通过投标保函进行索赔：</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①投标人串通投标；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③投标人采取不正当手段诋毁、排挤其他投标人；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④投标截止时间后，投标人在投标有效期内撤销电子投标文件；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⑤招标文件规定的其他不予退还情形；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⑥中标人有下列情形之一的：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a.除不可抗力外，因中标人自身原因未在中标通知书要求的期限内与采购人签订政府采购合同；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b.未按照招标文件、投标文件的约定签订政府采购合同或提交履约保证金。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※若上述投标保证金不予退还情形给采购人（采购代理机构）造成损失，则投标人还要承担相应的赔偿责任。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10.10电子投标文件的提交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（1）一个投标人只能提交一个电子投标文件，并按照招标文件第一章规定在系统上完成上传、解密操作。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10.11电子投标文件的补充、修改或撤回</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（1）投标截止时间前，投标人可对所提交的电子投标文件进行补充、修改或撤回，并书面通知 福建康泰招标有限公司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（2）补充、修改的内容应按照本章第10.5条第（4）款规定进行签署、盖章，并按照本章第10.10条规定提交，否则将被拒收。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※按照上述规定提交的补充、修改内容作为电子投标文件组成部分。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10.12除招标文件另有规定外，有下列情形之一的，投标无效：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（1）电子投标文件未按照招标文件要求签署、盖章；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（2）不符合招标文件中规定的资格要求；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（3）投标报价超过招标文件中规定的预算金额或最高限价；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（4）电子投标文件含有采购人不能接受的附加条件；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（5）有关法律、法规和规章及招标文件规定的其他无效情形。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五、开标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11、开标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11.1 福建康泰招标有限公司 将在招标文件载明的开标时间及地点主持召开开标会，并邀请投标人参加。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11.2开标会的主持人、唱标人、记录人及其他工作人员（若有）均由 福建康泰招标有限公司 派出，现场监督人员（若有）可由有关方面派出。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11.4开标会应遵守下列规定：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（5）若投标人未到开标现场参加开标会，也未通过远程参加开标会的，视同认可开标结果。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11.5投标截止时间后，参加投标的投标人不足三家的，不进行开标。同时，本次采购活动结束， 福建康泰招标有限公司 将依法组织后续采购活动（包括但不限于：重新招标、采用其他方式采购等）。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11.6投标截止时间后撤销投标的处理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投标截止时间后，投标人在投标有效期内撤销投标的，其撤销投标的行为无效。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六、中标与政府采购合同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12、中标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12.1本项目推荐的中标候选人家数：详见招标文件第二章。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12.2本项目中标人的确定：详见招标文件第二章。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12.3中标公告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（1）中标人确定之日起2个工作日内， 福建康泰招标有限公司 将在招标文件载明的指定媒体以中标公告的形式发布中标结果。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（2）中标公告的公告期限为1个工作日。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12.4中标通知书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（1）中标公告发布的同时， 福建康泰招标有限公司 将向中标人发出中标通知书。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（2）中标通知书发出后，采购人不得违法改变中标结果，中标人无正当理由不得放弃中标。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13、政府采购合同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13.2签订时限：详见须知前附表1的13.2。</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13.3政府采购合同的履行、违约责任和解决争议的方法等适用民法典。</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13.4采购人与中标人应根据政府采购合同的约定依法履行合同义务。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13.5政府采购合同履行过程中，采购人若需追加与合同标的相同的货物或服务，则追加采购金额不得超过原合同采购金额的10%。</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13.6中标人在政府采购合同履行过程中应遵守有关法律、法规和规章的强制性规定（即使前述强制性规定有可能在招标文件中未予列明）。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七、询问、质疑与投诉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14、询问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14.1潜在投标人或投标人对本次采购活动的有关事项若有疑问，可向 福建康泰招标有限公司 提出询问， 福建康泰招标有限公司 将按照政府采购法及实施条例的有关规定进行答复。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15、质疑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（1）对招标文件提出质疑的，质疑人应为潜在投标人，且两者的身份、名称等均应保持一致。对采购过程、结果提出质疑的，质疑人应为投标人，且两者的身份、名称等均应保持一致。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（2）质疑人应按照招标文件第二章规定方式提交质疑函。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（3）质疑函应包括下列主要内容：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①质疑人的基本信息，至少包括：全称、地址、邮政编码等；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②所质疑项目的基本信息，至少包括：项目编号、项目名称等；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③所质疑的具体事项（以下简称：“质疑事项”）；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⑤针对质疑事项导致质疑人自身权益受到损害的必要证明材料，至少包括：</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a.质疑人代表的身份证明材料：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a2若本项目接受自然人投标且质疑人为自然人的，提供本人的身份证复印件。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b.其他证明材料（即事实依据和必要的法律依据）包括但不限于下列材料：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b1所质疑的具体事项是与自己有利害关系的证明材料；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b2质疑函所述事实存在的证明材料，如：采购文件、采购过程或中标结果违法违规或不符合采购文件要求等证明材料；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b3依法应终止采购程序的证明材料；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b4应重新采购的证明材料；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b5采购文件、采购过程或中标、成交结果损害自己合法权益的证明材料等；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⑥质疑人代表及其联系方法的信息，至少包括：姓名、手机、电子信箱、邮寄地址等。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⑦提出质疑的日期。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※质疑人为法人或其他组织的，质疑函应由单位负责人或委托代理人签字或盖章，并加盖投标人的单位公章。质疑人为自然人的，质疑函应由本人签字。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15.2对不符合本章第15.1条规定的质疑，将按照下列规定进行处理：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（1）不符合其中第（1）、（2）条规定的，书面告知质疑人不予受理及其理由。</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（2）不符合其中第（3）条规定的，书面告知质疑人修改、补充后在规定时限内重新提交质疑函。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15.3对符合本章第15.1条规定的质疑，将按照政府采购法及实施条例、政府采购质疑和投诉办法的有关规定进行答复。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15.4招标文件的质疑：详见招标文件第二章。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16、投诉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16.2投诉应有明确的请求和必要的证明材料，投诉的事项不得超出已质疑事项的范围。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八、政府采购政策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17、政府采购政策由财政部根据国家的经济和社会发展政策并会同国家有关部委制定，包括但不限于下列具体政策要求：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17.1进口产品指通过中国海关报关验放进入中国境内且产自关境外的产品，其中：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（2）凡在海关特殊监管区域内企业生产或加工（包括从境外进口料件）销往境内其他地区的产品，不作为政府采购项下进口产品。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（3）对从境外进入海关特殊监管区域，再经办理报关手续后从海关特殊监管区进入境内其他地区的产品，认定为进口产品。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（4）招标文件列明不允许或未列明允许进口产品参加投标的，均视为拒绝进口产品参加投标。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（1）中小企业指符合下列条件的中型、小型、微型企业：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②符合中小企业划分标准的个体工商户，在政府采购活动中视同中小企业。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（2）在政府采购活动中，供应商提供的货物、工程或者服务符合下列情形的，享受本办法规定的中小企业扶持政策：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①在货物采购项目中，货物由中小企业制造，即货物由中小企业生产且使用该中小企业商号或者注册商标；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②在工程采购项目中，工程由中小企业承建，即工程施工单位为中小企业；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③在服务采购项目中，服务由中小企业承接，即提供服务的人员为中小企业依照《中华人民共和国劳动合同法》订立劳动合同的从业人员。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在货物采购项目中，供应商提供的货物既有中小企业制造货物，也有大型企业制造货物的，不享受本办法规定的中小企业扶持政策。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以联合体形式参加政府采购活动，联合体各方均为中小企业的，联合体视同中小企业。其中，联合体各方均为小微企业的，联合体视同小微企业。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（3）投标人应当按照招标文件明确的采购标的对应行业的划分标准出具中小企业声明函。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①监狱企业参加采购活动时，应提供由省级以上监狱管理局、戒毒管理局（含新疆生产建设兵团）出具的属于监狱企业的证明文件。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②监狱企业视同小型、微型企业。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（5）残疾人福利性单位指同时符合下列条件的单位：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①安置的残疾人占本单位在职职工人数的比例不低于25%（含25%），并且安置的残疾人人数不少于10人（含10人）；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②依法与安置的每位残疾人签订了一年以上（含一年）的劳动合同或服务协议；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③为安置的每位残疾人按月足额缴纳了基本养老保险、基本医疗保险、失业保险、工伤保险和生育保险等社会保险费；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④通过银行等金融机构向安置的每位残疾人，按月支付了不低于单位所在区县适用的经省级人民政府批准的月最低工资标准的工资；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⑤提供本单位制造的货物、承担的工程或服务，或提供其他残疾人福利性单位制造的货物（不包括使用非残疾人福利性单位注册商标的货物）。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17.5信用记录指由财政部确定的有关网站提供的相关主体信用信息。信用记录的查询及使用应符合财政部文件（财库[2016]125号）规定。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17.6为落实政府采购政策需满足的要求：详见招标文件第一章。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九、本项目的有关信息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18.1指定媒体：详见招标文件第二章。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18.2本项目的潜在投标人或投标人应随时关注指定媒体，否则产生不利后果由其自行承担。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十、其他事项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19.2其他：详见招标文件第二章。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第四章 资格审查与评标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一、资格审查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1、开标结束后，由 福建康泰招标有限公司 负责资格审查小组的组建及资格审查工作的组织。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1.1资格审查小组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资格审查小组由3人组成，并负责具体审查事务， 其中由采购人派出的采购人代表至少1人， 由福建康泰招标有限公司派出的工作人员至少1人， 其余1人可为采购人代表或福建康泰招标有限公司的工作人员。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1.2资格审查的依据是招标文件和电子投标文件。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1.3资格审查的范围及内容：电子投标文件（资格及资信证明部分），具体如下：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（2）“投标人的资格及资信证明文件”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①一般资格证明文件：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3"/>
        <w:gridCol w:w="1762"/>
        <w:gridCol w:w="61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454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5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※备注说明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①投标人应根据自身实际情况提供上述资格要求的证明材料，格式可参考招标文件第七章提供。</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②投标人提供的相应证明材料复印件均应符合：内容完整、清晰、整洁，并由投标人加盖其单位公章。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②.其他资格证明文件：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34"/>
        <w:gridCol w:w="6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资格审查要求概况</w:t>
            </w:r>
          </w:p>
        </w:tc>
        <w:tc>
          <w:tcPr>
            <w:tcW w:w="631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投标人须具备有效的《食品生产许可证》或《食品经营许可证》或《食品药品经营许可证》或《食品药品生产经营许可证》，投标人须提供有效的相关证件复印件，未提供的按无效投标处理。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1.4有下列情形之一的，资格审查不合格：</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未按照招标文件规定提交投标保证金</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资格审查不合格项：</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5"/>
        <w:gridCol w:w="76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资格及资信证明部分中不得出现报价部分的全部或部分的投标报价信息（或组成资料），否则资格审查不合格。</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2、资格审查情况不得私自外泄，有关信息由 福建康泰招标有限公司 统一对外发布。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3、资格审查合格的投标人不足三家的，不进行评标。同时，本次采购活动结束， 福建康泰招标有限公司 将依法组织后续采购活动（包括但不限于：重新招标、采用其他方式采购等）。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4、资格审查结束后，由 福建康泰招标有限公司 负责评标委员会的组建及评标工作的组织。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5、评标委员会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由采购人代表和评审专家两部分共5人组成， 其中由福建省政府采购评审专家库产生的评审专家4人， 由采购人派出的采购人代表1人。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5.2评标委员会负责具体评标事务，并按照下列原则依法独立履行有关职责：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（1）评标应保护国家利益、社会公共利益和各方当事人合法权益，提高采购效益，保证项目质量。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（2）评标应遵循公平、公正、科学、严谨和择优原则。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（3）评标的依据是招标文件和电子投标文件。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（4）应按照招标文件规定推荐中标候选人或确定中标人。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（5）评标应遵守下列评标纪律：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①评标情况不得私自外泄，有关信息由 福建康泰招标有限公司 统一对外发布。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②对 福建康泰招标有限公司 或投标人提供的要求保密的资料，不得摘记翻印和外传。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③不得收受投标人或有关人员的任何礼物，不得串联鼓动其他人袒护某投标人。若与投标人存在利害关系，则应主动声明并回避。</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④全体评委应按照招标文件规定进行评标，一切认定事项应查有实据且不得弄虚作假。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⑤评标中应充分发扬民主，推荐中标候选人或确定中标人后要服从评标报告。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※对违反评标纪律的评委，将取消其评委资格，对评标工作造成严重损失者将予以通报批评乃至追究法律责任。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6、评标程序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6.1评标前的准备工作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（1）全体评委应认真审阅招标文件，了解评委应履行或遵守的职责、义务和评标纪律。</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6.2符合性审查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（1）评标委员会依据招标文件的实质性要求，对通过资格审查的电子投标文件进行符合性审查，以确定其是否满足招标文件的实质性要求。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（2）满足招标文件的实质性要求指电子投标文件对招标文件实质性要求的响应不存在重大偏差或保留。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（5）评标委员会对所有投标人都执行相同的程序和标准。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（6）有下列情形之一的，符合性审查不合格：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①项目一般情形：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2"/>
        <w:gridCol w:w="2903"/>
        <w:gridCol w:w="45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4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426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符合审查要求概况</w:t>
            </w:r>
          </w:p>
        </w:tc>
        <w:tc>
          <w:tcPr>
            <w:tcW w:w="5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投标文件对招标文件实质性要求的响应存在重大偏离或保留。</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②本项目规定的其他情形：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技术符合性</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投标文件技术部分实际得分低于招标文件技术部分总分值50%的视为无效投标。（2）技术部分中不得出现报价部分的全部或部分的投标报价信息（或组成资料），否则符合性审查不合格。（3）明显不符合技术规格、技术标准要求的；（4）投标文件组成不符合招标文件要求的；（5）投标文件中提供虚假或失实资料的；内容不全或关键字迹模糊、无法辨认的；（6）投标人名称或组织结构与资格性审查时不一致且未提供有效证明的；（7）采取分包、转包方式履行合同的；（8）投标文件附有采购人不能接受的条件；（9）不符合招标文件中规定的其他实质性要求的均视为未实质性响应招标文件要求，均按照无效投标处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商务符合性</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投标人未在投标文件中完全响应招标文件第五章招标内容及要求中第“三、商务要求”全部条款的。（2）商务部分中不得出现报价部分的全部或部分的投标报价信息（或组成资料），否则符合性审查不合格。（3）投标文件中提供虚假或失实资料的；（4）内容不全或关键字迹模糊、无法辨认的；（5）投标人名称或组织结构与资格性审查时不一致且未提供有效证明的；（6）采取分包、转包方式履行合同的；（7）投标文件附有采购人不能接受的条件；（8）不符合招标文件中规定的其他实质性要求的均视为未实质性响应招标文件要求，均按照无效投标处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附加符合性：无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价格符合性：无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6.3澄清有关问题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（3）电子投标文件报价出现前后不一致的，除招标文件另有规定外，按照下列规定修正：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①开标一览表内容与电子投标文件中相应内容不一致的，以开标一览表为准；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②大写金额和小写金额不一致的，以大写金额为准；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③单价金额小数点或百分比有明显错位的，以开标一览表的总价为准，并修改单价；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④总价金额与按照单价汇总金额不一致的，以单价金额计算结果为准。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※同时出现两种以上不一致的，按照前款规定的顺序修正。修正后的报价应按照本章第6.3条第（1）、（2）款规定经投标人确认后产生约束力，投标人不确认的，其投标无效。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（4）关于细微偏差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②评标委员会将以书面形式要求存在细微偏差的投标人在评标委员会规定的时间内予以补正。若无法补正，则评标委员会将按照不利于投标人的内容进行认定。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（5）关于投标描述（即电子投标文件中描述的内容）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①投标描述前后不一致且不涉及证明材料的：按照本章第6.3条第（1）、（2）款规定执行。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②投标描述与证明材料不一致或多份证明材料之间不一致的：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a.评标委员会将要求投标人进行书面澄清，并按照不利于投标人的内容进行评标。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6.4比较与评价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（1）按照本章第7条载明的评标方法和标准，对符合性审查合格的电子投标文件进行比较与评价。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（2）关于相同品牌产品（政府采购服务类项目不适用本条款规定）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a.招标文件规定的方式：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b.招标文件未规定的，采取随机抽取方式确定，其他同品牌投标人不作为中标候选人。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③非单一产品采购项目，多家投标人提供的核心产品品牌相同的，按照本章第6.4条第（2）款第①、②规定处理。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（3）漏（缺）项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①招标文件中要求列入报价的费用（含配置、功能），漏（缺）项的报价视为已经包括在投标总价中。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②对多报项及赠送项的价格评标时不予核减，全部进入评标价评议。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6.5推荐中标候选人：详见本章第7.2条规定。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6.6编写评标报告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（1）评标报告由评标委员会负责编写。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（2）评标报告应包括下列内容：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①招标公告刊登的媒体名称、开标日期和地点；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②投标人名单和评标委员会成员名单；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③评标方法和标准；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④开标记录和评标情况及说明，包括无效投标人名单及原因；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⑤评标结果，包括中标候选人名单或确定的中标人；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⑥其他需要说明的情况，包括但不限于：评标过程中投标人的澄清、说明或补正，评委更换等。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6.8评委对需要共同认定的事项存在争议的，应按照少数服从多数的原则进行认定。持不同意见的评委应在评标报告上签署不同意见及理由，否则视为同意评标报告。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6.9在评标过程中发现投标人有下列情形之一的，评标委员会应认定其投标无效，并书面报告本项目监督管理部门：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（1）恶意串通（包括但不限于招标文件第三章第9.7条规定情形）；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（2）妨碍其他投标人的竞争行为；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（3）损害采购人或其他投标人的合法权益。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6.10评标过程中，有下列情形之一的，应予废标：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（1）符合性审查合格的投标人不足三家的；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（2）有关法律、法规和规章规定废标的情形。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※若废标，则本次采购活动结束， 福建康泰招标有限公司 将依法组织后续采购活动（包括但不限于：重新招标、采用其他方式采购等）。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7、评标方法和标准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7.1评标方法：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7.2评标标准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采购包1：综合评分法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（1）投标文件满足招标文件全部实质性要求，且按照评审因素的量化指标评审得分（即评标总得分）最高的投标人为中标候选人。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各项评审因素的设置如下：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价格项（F1×A1）满分为60.00分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价格扣除的规则如下：</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73"/>
        <w:gridCol w:w="1236"/>
        <w:gridCol w:w="575"/>
        <w:gridCol w:w="5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项目</w:t>
            </w:r>
          </w:p>
        </w:tc>
        <w:tc>
          <w:tcPr>
            <w:tcW w:w="227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适用对象</w:t>
            </w:r>
          </w:p>
        </w:tc>
        <w:tc>
          <w:tcPr>
            <w:tcW w:w="11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比例</w:t>
            </w:r>
          </w:p>
        </w:tc>
        <w:tc>
          <w:tcPr>
            <w:tcW w:w="5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小型、微型企业，监狱企业，残疾人福利性单位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投标人或者联合体均为小型、微型企业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w:t>
            </w:r>
            <w:r>
              <w:rPr>
                <w:rFonts w:hint="eastAsia" w:ascii="宋体" w:hAnsi="宋体" w:eastAsia="宋体" w:cs="宋体"/>
                <w:b/>
                <w:bCs/>
                <w:color w:val="auto"/>
                <w:kern w:val="0"/>
                <w:sz w:val="24"/>
                <w:szCs w:val="24"/>
                <w:highlight w:val="none"/>
                <w:lang w:val="en-US" w:eastAsia="zh-CN" w:bidi="ar"/>
              </w:rPr>
              <w:t>3、本项目为服务类采购项目，本项目采购标的对应的中小企业划分标准所属行业为“批发业”。</w:t>
            </w:r>
            <w:r>
              <w:rPr>
                <w:rFonts w:hint="eastAsia" w:ascii="宋体" w:hAnsi="宋体" w:eastAsia="宋体" w:cs="宋体"/>
                <w:color w:val="auto"/>
                <w:kern w:val="0"/>
                <w:sz w:val="24"/>
                <w:szCs w:val="24"/>
                <w:highlight w:val="none"/>
                <w:lang w:val="en-US" w:eastAsia="zh-CN" w:bidi="ar"/>
              </w:rPr>
              <w:t>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投标文件格式）并对声明的真实性负责，其报价享受15%（工程项目为5%）的评审价格扣除优惠。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将依照《中华人民共和国政府采购法》第七十七条第一款的规定被追究法律责任。本文件中其他有关对小微企业及其报价扣除描述情况与此处不一致的，以此处为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技术项（F2×A2）满分为25.00分</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59"/>
        <w:gridCol w:w="935"/>
        <w:gridCol w:w="6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项目</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分值</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技术和服务要求响应情况</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8.00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根据投标人对招标文件《第五章招标内容及要求》“二、技术和服务要求”中的各项要求的响应情况，由评委进行评分：完全满足招标文件要求（按项号计算，共计1</w:t>
            </w:r>
            <w:r>
              <w:rPr>
                <w:rFonts w:hint="eastAsia" w:asciiTheme="minorEastAsia" w:hAnsi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项）的得</w:t>
            </w:r>
            <w:r>
              <w:rPr>
                <w:rFonts w:hint="eastAsia" w:asciiTheme="minorEastAsia" w:hAnsiTheme="minorEastAsia" w:cstheme="minorEastAsia"/>
                <w:color w:val="auto"/>
                <w:kern w:val="0"/>
                <w:sz w:val="24"/>
                <w:szCs w:val="24"/>
                <w:highlight w:val="none"/>
                <w:lang w:val="en-US" w:eastAsia="zh-CN" w:bidi="ar"/>
              </w:rPr>
              <w:t>8</w:t>
            </w:r>
            <w:r>
              <w:rPr>
                <w:rFonts w:hint="eastAsia" w:asciiTheme="minorEastAsia" w:hAnsiTheme="minorEastAsia" w:eastAsiaTheme="minorEastAsia" w:cstheme="minorEastAsia"/>
                <w:color w:val="auto"/>
                <w:kern w:val="0"/>
                <w:sz w:val="24"/>
                <w:szCs w:val="24"/>
                <w:highlight w:val="none"/>
                <w:lang w:val="en-US" w:eastAsia="zh-CN" w:bidi="ar"/>
              </w:rPr>
              <w:t>分；其中标注“★”符号的技术参数（按项号计算，共计</w:t>
            </w:r>
            <w:r>
              <w:rPr>
                <w:rFonts w:hint="eastAsia" w:asciiTheme="minorEastAsia" w:hAnsiTheme="minorEastAsia" w:cstheme="minorEastAsia"/>
                <w:color w:val="auto"/>
                <w:kern w:val="0"/>
                <w:sz w:val="24"/>
                <w:szCs w:val="24"/>
                <w:highlight w:val="none"/>
                <w:lang w:val="en-US" w:eastAsia="zh-CN" w:bidi="ar"/>
              </w:rPr>
              <w:t>9</w:t>
            </w:r>
            <w:r>
              <w:rPr>
                <w:rFonts w:hint="eastAsia" w:asciiTheme="minorEastAsia" w:hAnsiTheme="minorEastAsia" w:eastAsiaTheme="minorEastAsia" w:cstheme="minorEastAsia"/>
                <w:color w:val="auto"/>
                <w:kern w:val="0"/>
                <w:sz w:val="24"/>
                <w:szCs w:val="24"/>
                <w:highlight w:val="none"/>
                <w:lang w:val="en-US" w:eastAsia="zh-CN" w:bidi="ar"/>
              </w:rPr>
              <w:t>项）不允许负偏离，出现负偏离按无效投标处理；未标注“★”符号的技术参数（按项号计算，共计</w:t>
            </w:r>
            <w:r>
              <w:rPr>
                <w:rFonts w:hint="eastAsia" w:asciiTheme="minorEastAsia" w:hAnsi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val="en-US" w:eastAsia="zh-CN" w:bidi="ar"/>
              </w:rPr>
              <w:t>项）每负偏离一项扣</w:t>
            </w:r>
            <w:r>
              <w:rPr>
                <w:rFonts w:hint="eastAsia" w:asciiTheme="minorEastAsia" w:hAnsiTheme="minorEastAsia" w:cstheme="minorEastAsia"/>
                <w:color w:val="auto"/>
                <w:kern w:val="0"/>
                <w:sz w:val="24"/>
                <w:szCs w:val="24"/>
                <w:highlight w:val="none"/>
                <w:lang w:val="en-US" w:eastAsia="zh-CN" w:bidi="ar"/>
              </w:rPr>
              <w:t>1.6</w:t>
            </w:r>
            <w:r>
              <w:rPr>
                <w:rFonts w:hint="eastAsia" w:asciiTheme="minorEastAsia" w:hAnsiTheme="minorEastAsia" w:eastAsiaTheme="minorEastAsia" w:cstheme="minorEastAsia"/>
                <w:color w:val="auto"/>
                <w:kern w:val="0"/>
                <w:sz w:val="24"/>
                <w:szCs w:val="24"/>
                <w:highlight w:val="none"/>
                <w:lang w:val="en-US" w:eastAsia="zh-CN" w:bidi="ar"/>
              </w:rPr>
              <w:t>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供货实力</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根据投标人供货实力情况（重点考核货源渠道等），由评委进行</w:t>
            </w:r>
            <w:r>
              <w:rPr>
                <w:rFonts w:hint="eastAsia" w:asciiTheme="minorEastAsia" w:hAnsiTheme="minorEastAsia" w:eastAsiaTheme="minorEastAsia" w:cstheme="minorEastAsia"/>
                <w:color w:val="auto"/>
                <w:kern w:val="0"/>
                <w:sz w:val="24"/>
                <w:szCs w:val="24"/>
                <w:highlight w:val="none"/>
                <w:lang w:val="en-US" w:eastAsia="zh-CN"/>
              </w:rPr>
              <w:t>评分</w:t>
            </w:r>
            <w:r>
              <w:rPr>
                <w:rFonts w:hint="eastAsia" w:asciiTheme="minorEastAsia" w:hAnsiTheme="minorEastAsia" w:eastAsiaTheme="minorEastAsia" w:cstheme="minorEastAsia"/>
                <w:color w:val="auto"/>
                <w:kern w:val="0"/>
                <w:sz w:val="24"/>
                <w:szCs w:val="24"/>
                <w:highlight w:val="none"/>
              </w:rPr>
              <w:t>：投标人</w:t>
            </w:r>
            <w:r>
              <w:rPr>
                <w:rFonts w:hint="eastAsia" w:asciiTheme="minorEastAsia" w:hAnsiTheme="minorEastAsia" w:eastAsiaTheme="minorEastAsia" w:cstheme="minorEastAsia"/>
                <w:color w:val="auto"/>
                <w:kern w:val="0"/>
                <w:sz w:val="24"/>
                <w:szCs w:val="24"/>
                <w:highlight w:val="none"/>
                <w:lang w:val="en-US" w:eastAsia="zh-CN"/>
              </w:rPr>
              <w:t>具有</w:t>
            </w:r>
            <w:r>
              <w:rPr>
                <w:rFonts w:hint="eastAsia" w:asciiTheme="minorEastAsia" w:hAnsiTheme="minorEastAsia" w:eastAsiaTheme="minorEastAsia" w:cstheme="minorEastAsia"/>
                <w:color w:val="auto"/>
                <w:kern w:val="0"/>
                <w:sz w:val="24"/>
                <w:szCs w:val="24"/>
                <w:highlight w:val="none"/>
              </w:rPr>
              <w:t>自有养殖基地的得3分；投标人有合作的供货商或与养殖基地有合作的得2分，</w:t>
            </w:r>
            <w:r>
              <w:rPr>
                <w:rFonts w:hint="eastAsia" w:asciiTheme="minorEastAsia" w:hAnsiTheme="minorEastAsia" w:eastAsiaTheme="minorEastAsia" w:cstheme="minorEastAsia"/>
                <w:color w:val="auto"/>
                <w:kern w:val="0"/>
                <w:sz w:val="24"/>
                <w:szCs w:val="24"/>
                <w:highlight w:val="none"/>
                <w:lang w:val="en-US" w:eastAsia="zh-CN"/>
              </w:rPr>
              <w:t>其他</w:t>
            </w:r>
            <w:r>
              <w:rPr>
                <w:rFonts w:hint="eastAsia" w:asciiTheme="minorEastAsia" w:hAnsiTheme="minorEastAsia" w:eastAsiaTheme="minorEastAsia" w:cstheme="minorEastAsia"/>
                <w:color w:val="auto"/>
                <w:kern w:val="0"/>
                <w:sz w:val="24"/>
                <w:szCs w:val="24"/>
                <w:highlight w:val="none"/>
              </w:rPr>
              <w:t>不得分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满分3分</w:t>
            </w:r>
            <w:r>
              <w:rPr>
                <w:rFonts w:hint="eastAsia" w:asciiTheme="minorEastAsia" w:hAnsiTheme="minorEastAsia" w:eastAsiaTheme="minorEastAsia" w:cstheme="minorEastAsia"/>
                <w:color w:val="auto"/>
                <w:kern w:val="0"/>
                <w:sz w:val="24"/>
                <w:szCs w:val="24"/>
                <w:highlight w:val="none"/>
              </w:rPr>
              <w:t>。注：</w:t>
            </w:r>
            <w:r>
              <w:rPr>
                <w:rFonts w:hint="eastAsia" w:asciiTheme="minorEastAsia" w:hAnsiTheme="minorEastAsia" w:eastAsiaTheme="minorEastAsia" w:cstheme="minorEastAsia"/>
                <w:color w:val="auto"/>
                <w:kern w:val="0"/>
                <w:sz w:val="24"/>
                <w:szCs w:val="24"/>
                <w:highlight w:val="none"/>
                <w:lang w:val="en-US" w:eastAsia="zh-CN"/>
              </w:rPr>
              <w:t>投标人有</w:t>
            </w:r>
            <w:r>
              <w:rPr>
                <w:rFonts w:hint="eastAsia" w:asciiTheme="minorEastAsia" w:hAnsiTheme="minorEastAsia" w:eastAsiaTheme="minorEastAsia" w:cstheme="minorEastAsia"/>
                <w:color w:val="auto"/>
                <w:kern w:val="0"/>
                <w:sz w:val="24"/>
                <w:szCs w:val="24"/>
                <w:highlight w:val="none"/>
              </w:rPr>
              <w:t>自有养殖基地须提供相关证明材料；</w:t>
            </w:r>
            <w:r>
              <w:rPr>
                <w:rFonts w:hint="eastAsia" w:asciiTheme="minorEastAsia" w:hAnsiTheme="minorEastAsia" w:eastAsiaTheme="minorEastAsia" w:cstheme="minorEastAsia"/>
                <w:color w:val="auto"/>
                <w:kern w:val="0"/>
                <w:sz w:val="24"/>
                <w:szCs w:val="24"/>
                <w:highlight w:val="none"/>
                <w:lang w:val="en-US" w:eastAsia="zh-CN"/>
              </w:rPr>
              <w:t>投标人有</w:t>
            </w:r>
            <w:r>
              <w:rPr>
                <w:rFonts w:hint="eastAsia" w:asciiTheme="minorEastAsia" w:hAnsiTheme="minorEastAsia" w:eastAsiaTheme="minorEastAsia" w:cstheme="minorEastAsia"/>
                <w:color w:val="auto"/>
                <w:kern w:val="0"/>
                <w:sz w:val="24"/>
                <w:szCs w:val="24"/>
                <w:highlight w:val="none"/>
              </w:rPr>
              <w:t>合作的须提供有效的合同证明材料</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车辆配置</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根据投标人针对本项目的用于专门配送的厢式货车情况进行评分：至少需提供3辆厢式货车（其中厢式冷藏车不少于2辆，厢式冷藏车不足2辆</w:t>
            </w:r>
            <w:r>
              <w:rPr>
                <w:rFonts w:hint="eastAsia" w:asciiTheme="minorEastAsia" w:hAnsiTheme="minorEastAsia" w:eastAsiaTheme="minorEastAsia" w:cstheme="minorEastAsia"/>
                <w:color w:val="auto"/>
                <w:kern w:val="0"/>
                <w:sz w:val="24"/>
                <w:szCs w:val="24"/>
                <w:highlight w:val="none"/>
                <w:lang w:val="en-US" w:eastAsia="zh-CN"/>
              </w:rPr>
              <w:t>本项</w:t>
            </w:r>
            <w:r>
              <w:rPr>
                <w:rFonts w:hint="eastAsia" w:asciiTheme="minorEastAsia" w:hAnsiTheme="minorEastAsia" w:eastAsiaTheme="minorEastAsia" w:cstheme="minorEastAsia"/>
                <w:color w:val="auto"/>
                <w:kern w:val="0"/>
                <w:sz w:val="24"/>
                <w:szCs w:val="24"/>
                <w:highlight w:val="none"/>
              </w:rPr>
              <w:t>不得分），在此基础上每增加一辆得1分，满分3分。【投标人须列表说明并提供下列证明材料：①车辆为自有的须提供车辆所有人为投标人公司名称的车辆行驶证、购买证明（如购车人为个人的，则应为投标人法人代表）、车辆照片（含车牌号）等复印件并加盖</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公章）；②车辆为租赁的须提供车辆租赁合同、相应车辆行驶证及双方租赁资金往来证明（需提供投标截止时间前6个月中任意1个月的资金往来凭证）。以上证明材料须在有效期内</w:t>
            </w:r>
            <w:r>
              <w:rPr>
                <w:rFonts w:hint="eastAsia" w:asciiTheme="minorEastAsia" w:hAnsi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未提供完整材料或未提供的不得分。】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、货源供应商情况</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根据投标人针对本项目招标范围内产品的长期合作(</w:t>
            </w:r>
            <w:r>
              <w:rPr>
                <w:rFonts w:hint="eastAsia" w:asciiTheme="minorEastAsia" w:hAnsiTheme="minorEastAsia" w:cstheme="minorEastAsia"/>
                <w:color w:val="auto"/>
                <w:kern w:val="0"/>
                <w:sz w:val="24"/>
                <w:szCs w:val="24"/>
                <w:highlight w:val="none"/>
                <w:lang w:val="en-US" w:eastAsia="zh-CN"/>
              </w:rPr>
              <w:t>合同期两</w:t>
            </w:r>
            <w:r>
              <w:rPr>
                <w:rFonts w:hint="eastAsia" w:asciiTheme="minorEastAsia" w:hAnsiTheme="minorEastAsia" w:eastAsiaTheme="minorEastAsia" w:cstheme="minorEastAsia"/>
                <w:color w:val="auto"/>
                <w:kern w:val="0"/>
                <w:sz w:val="24"/>
                <w:szCs w:val="24"/>
                <w:highlight w:val="none"/>
              </w:rPr>
              <w:t>年及以上，且覆盖本项目服务期)货源供应商情况进行评分：投标人</w:t>
            </w:r>
            <w:r>
              <w:rPr>
                <w:rFonts w:hint="eastAsia" w:asciiTheme="minorEastAsia" w:hAnsiTheme="minorEastAsia" w:cstheme="minorEastAsia"/>
                <w:color w:val="auto"/>
                <w:kern w:val="0"/>
                <w:sz w:val="24"/>
                <w:szCs w:val="24"/>
                <w:highlight w:val="none"/>
                <w:lang w:val="en-US" w:eastAsia="zh-CN"/>
              </w:rPr>
              <w:t>每具</w:t>
            </w:r>
            <w:r>
              <w:rPr>
                <w:rFonts w:hint="eastAsia" w:asciiTheme="minorEastAsia" w:hAnsiTheme="minorEastAsia" w:eastAsiaTheme="minorEastAsia" w:cstheme="minorEastAsia"/>
                <w:color w:val="auto"/>
                <w:kern w:val="0"/>
                <w:sz w:val="24"/>
                <w:szCs w:val="24"/>
                <w:highlight w:val="none"/>
              </w:rPr>
              <w:t>有一家货源供应商的得1分，满分3分。须提供投标人与货源供应商签订的供货合同复印件(</w:t>
            </w:r>
            <w:r>
              <w:rPr>
                <w:rFonts w:hint="eastAsia" w:asciiTheme="minorEastAsia" w:hAnsiTheme="minorEastAsia" w:cstheme="minorEastAsia"/>
                <w:color w:val="auto"/>
                <w:kern w:val="0"/>
                <w:sz w:val="24"/>
                <w:szCs w:val="24"/>
                <w:highlight w:val="none"/>
                <w:lang w:val="en-US" w:eastAsia="zh-CN"/>
              </w:rPr>
              <w:t>合同期两</w:t>
            </w:r>
            <w:r>
              <w:rPr>
                <w:rFonts w:hint="eastAsia" w:asciiTheme="minorEastAsia" w:hAnsiTheme="minorEastAsia" w:eastAsiaTheme="minorEastAsia" w:cstheme="minorEastAsia"/>
                <w:color w:val="auto"/>
                <w:kern w:val="0"/>
                <w:sz w:val="24"/>
                <w:szCs w:val="24"/>
                <w:highlight w:val="none"/>
              </w:rPr>
              <w:t>年及以上，且覆盖本项目服务期)，及资金往来证明材料</w:t>
            </w:r>
            <w:r>
              <w:rPr>
                <w:rFonts w:hint="eastAsia" w:asciiTheme="minorEastAsia" w:hAnsiTheme="minorEastAsia" w:eastAsiaTheme="minorEastAsia" w:cstheme="minorEastAsia"/>
                <w:color w:val="auto"/>
                <w:kern w:val="0"/>
                <w:sz w:val="24"/>
                <w:szCs w:val="24"/>
                <w:highlight w:val="none"/>
                <w:lang w:val="en-US" w:eastAsia="zh-CN"/>
              </w:rPr>
              <w:t>复印件</w:t>
            </w:r>
            <w:r>
              <w:rPr>
                <w:rFonts w:hint="eastAsia" w:asciiTheme="minorEastAsia" w:hAnsiTheme="minorEastAsia" w:eastAsiaTheme="minorEastAsia" w:cstheme="minorEastAsia"/>
                <w:color w:val="auto"/>
                <w:kern w:val="0"/>
                <w:sz w:val="24"/>
                <w:szCs w:val="24"/>
                <w:highlight w:val="none"/>
              </w:rPr>
              <w:t>，否则不得分。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5、</w:t>
            </w:r>
            <w:r>
              <w:rPr>
                <w:rFonts w:ascii="宋体" w:hAnsi="宋体" w:cs="宋体"/>
                <w:color w:val="auto"/>
                <w:kern w:val="0"/>
                <w:sz w:val="24"/>
                <w:highlight w:val="none"/>
              </w:rPr>
              <w:t>可追溯管理</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2.00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highlight w:val="none"/>
              </w:rPr>
              <w:t>投标人按照市场监督管理部门规定的“一品一码”要求，做到食品采购信息可追溯，并能提</w:t>
            </w:r>
            <w:r>
              <w:rPr>
                <w:rFonts w:hint="eastAsia" w:ascii="宋体" w:hAnsi="宋体" w:cs="宋体"/>
                <w:b w:val="0"/>
                <w:bCs w:val="0"/>
                <w:color w:val="auto"/>
                <w:kern w:val="0"/>
                <w:sz w:val="24"/>
                <w:highlight w:val="none"/>
              </w:rPr>
              <w:t>供</w:t>
            </w:r>
            <w:r>
              <w:rPr>
                <w:rFonts w:hint="eastAsia" w:ascii="宋体" w:hAnsi="宋体" w:cs="宋体"/>
                <w:b w:val="0"/>
                <w:bCs w:val="0"/>
                <w:color w:val="auto"/>
                <w:kern w:val="0"/>
                <w:sz w:val="24"/>
                <w:highlight w:val="none"/>
                <w:u w:val="none"/>
              </w:rPr>
              <w:t>蔬菜和禽蛋</w:t>
            </w:r>
            <w:r>
              <w:rPr>
                <w:rFonts w:hint="eastAsia" w:ascii="宋体" w:hAnsi="宋体" w:cs="宋体"/>
                <w:b w:val="0"/>
                <w:bCs w:val="0"/>
                <w:color w:val="auto"/>
                <w:kern w:val="0"/>
                <w:sz w:val="24"/>
                <w:highlight w:val="none"/>
              </w:rPr>
              <w:t>的</w:t>
            </w:r>
            <w:r>
              <w:rPr>
                <w:rFonts w:hint="eastAsia" w:ascii="宋体" w:hAnsi="宋体" w:cs="宋体"/>
                <w:b w:val="0"/>
                <w:bCs w:val="0"/>
                <w:color w:val="auto"/>
                <w:kern w:val="0"/>
                <w:sz w:val="24"/>
                <w:highlight w:val="none"/>
                <w:u w:val="none"/>
              </w:rPr>
              <w:t>溯源记录</w:t>
            </w:r>
            <w:r>
              <w:rPr>
                <w:rFonts w:hint="eastAsia" w:ascii="宋体" w:hAnsi="宋体" w:cs="宋体"/>
                <w:b w:val="0"/>
                <w:bCs w:val="0"/>
                <w:color w:val="auto"/>
                <w:kern w:val="0"/>
                <w:sz w:val="24"/>
                <w:highlight w:val="none"/>
              </w:rPr>
              <w:t>的得</w:t>
            </w:r>
            <w:r>
              <w:rPr>
                <w:rFonts w:hint="eastAsia" w:ascii="宋体" w:hAnsi="宋体" w:cs="宋体"/>
                <w:b w:val="0"/>
                <w:bCs w:val="0"/>
                <w:color w:val="auto"/>
                <w:kern w:val="0"/>
                <w:sz w:val="24"/>
                <w:highlight w:val="none"/>
                <w:lang w:val="en-US" w:eastAsia="zh-CN"/>
              </w:rPr>
              <w:t>2</w:t>
            </w:r>
            <w:r>
              <w:rPr>
                <w:rFonts w:ascii="宋体" w:hAnsi="宋体" w:cs="宋体"/>
                <w:b w:val="0"/>
                <w:bCs w:val="0"/>
                <w:color w:val="auto"/>
                <w:kern w:val="0"/>
                <w:sz w:val="24"/>
                <w:highlight w:val="none"/>
              </w:rPr>
              <w:t>分</w:t>
            </w:r>
            <w:r>
              <w:rPr>
                <w:rFonts w:hint="eastAsia" w:ascii="宋体" w:hAnsi="宋体" w:cs="宋体"/>
                <w:b w:val="0"/>
                <w:bCs w:val="0"/>
                <w:color w:val="auto"/>
                <w:kern w:val="0"/>
                <w:sz w:val="24"/>
                <w:highlight w:val="none"/>
                <w:lang w:eastAsia="zh-CN"/>
              </w:rPr>
              <w:t>。</w:t>
            </w:r>
            <w:r>
              <w:rPr>
                <w:rFonts w:ascii="宋体" w:hAnsi="宋体" w:cs="宋体"/>
                <w:b w:val="0"/>
                <w:bCs w:val="0"/>
                <w:color w:val="auto"/>
                <w:kern w:val="0"/>
                <w:sz w:val="24"/>
                <w:highlight w:val="none"/>
              </w:rPr>
              <w:t>须同时提供</w:t>
            </w:r>
            <w:r>
              <w:rPr>
                <w:rFonts w:hint="eastAsia" w:ascii="宋体" w:hAnsi="宋体" w:cs="宋体"/>
                <w:b w:val="0"/>
                <w:bCs w:val="0"/>
                <w:color w:val="auto"/>
                <w:kern w:val="0"/>
                <w:sz w:val="24"/>
                <w:highlight w:val="none"/>
              </w:rPr>
              <w:t>投</w:t>
            </w:r>
            <w:r>
              <w:rPr>
                <w:rFonts w:hint="eastAsia" w:ascii="宋体" w:hAnsi="宋体" w:cs="宋体"/>
                <w:color w:val="auto"/>
                <w:kern w:val="0"/>
                <w:sz w:val="24"/>
                <w:highlight w:val="none"/>
              </w:rPr>
              <w:t>标人的</w:t>
            </w:r>
            <w:r>
              <w:rPr>
                <w:rFonts w:ascii="宋体" w:hAnsi="宋体" w:cs="宋体"/>
                <w:color w:val="auto"/>
                <w:kern w:val="0"/>
                <w:sz w:val="24"/>
                <w:highlight w:val="none"/>
              </w:rPr>
              <w:t>食品生产经营追溯管理系统页面截图、上游供货商的系统追溯交易记录截图，以及对应的供货商采购单据、供货合同和正式结算税务发票复印件，否则不得分。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食品安全检测设备</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根据投标人提供的具有食品安全检测设备（食品安全检测仪、农残检测仪、微生物检测仪）的情况，由评委进行</w:t>
            </w:r>
            <w:r>
              <w:rPr>
                <w:rFonts w:hint="eastAsia" w:asciiTheme="minorEastAsia" w:hAnsiTheme="minorEastAsia" w:eastAsiaTheme="minorEastAsia" w:cstheme="minorEastAsia"/>
                <w:color w:val="auto"/>
                <w:kern w:val="0"/>
                <w:sz w:val="24"/>
                <w:szCs w:val="24"/>
                <w:highlight w:val="none"/>
                <w:lang w:val="en-US" w:eastAsia="zh-CN"/>
              </w:rPr>
              <w:t>评分</w:t>
            </w:r>
            <w:r>
              <w:rPr>
                <w:rFonts w:hint="eastAsia" w:asciiTheme="minorEastAsia" w:hAnsiTheme="minorEastAsia" w:eastAsiaTheme="minorEastAsia" w:cstheme="minorEastAsia"/>
                <w:color w:val="auto"/>
                <w:kern w:val="0"/>
                <w:sz w:val="24"/>
                <w:szCs w:val="24"/>
                <w:highlight w:val="none"/>
              </w:rPr>
              <w:t>：每提供一种类型的食品安全检测设备的得1分，满分3分。须</w:t>
            </w:r>
            <w:r>
              <w:rPr>
                <w:rFonts w:hint="eastAsia" w:asciiTheme="minorEastAsia" w:hAnsiTheme="minorEastAsia" w:cstheme="minorEastAsia"/>
                <w:color w:val="auto"/>
                <w:kern w:val="0"/>
                <w:sz w:val="24"/>
                <w:szCs w:val="24"/>
                <w:highlight w:val="none"/>
                <w:lang w:val="en-US" w:eastAsia="zh-CN"/>
              </w:rPr>
              <w:t>同时</w:t>
            </w:r>
            <w:r>
              <w:rPr>
                <w:rFonts w:hint="eastAsia" w:asciiTheme="minorEastAsia" w:hAnsiTheme="minorEastAsia" w:eastAsiaTheme="minorEastAsia" w:cstheme="minorEastAsia"/>
                <w:color w:val="auto"/>
                <w:kern w:val="0"/>
                <w:sz w:val="24"/>
                <w:szCs w:val="24"/>
                <w:highlight w:val="none"/>
              </w:rPr>
              <w:t>提供</w:t>
            </w:r>
            <w:r>
              <w:rPr>
                <w:rFonts w:hint="eastAsia" w:asciiTheme="minorEastAsia" w:hAnsiTheme="minorEastAsia" w:cstheme="minorEastAsia"/>
                <w:color w:val="auto"/>
                <w:kern w:val="0"/>
                <w:sz w:val="24"/>
                <w:szCs w:val="24"/>
                <w:highlight w:val="none"/>
                <w:lang w:val="en-US" w:eastAsia="zh-CN"/>
              </w:rPr>
              <w:t>设备</w:t>
            </w:r>
            <w:r>
              <w:rPr>
                <w:rFonts w:hint="eastAsia" w:asciiTheme="minorEastAsia" w:hAnsiTheme="minorEastAsia" w:eastAsiaTheme="minorEastAsia" w:cstheme="minorEastAsia"/>
                <w:color w:val="auto"/>
                <w:kern w:val="0"/>
                <w:sz w:val="24"/>
                <w:szCs w:val="24"/>
                <w:highlight w:val="none"/>
              </w:rPr>
              <w:t>购买发票复印件</w:t>
            </w:r>
            <w:r>
              <w:rPr>
                <w:rFonts w:hint="eastAsia" w:asciiTheme="minorEastAsia" w:hAnsi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设备实物图片，否则不得分。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人员健康证</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center"/>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根据投标人提供的针对本项目配备的从业人员健康证情况，由评委进行</w:t>
            </w:r>
            <w:r>
              <w:rPr>
                <w:rFonts w:hint="eastAsia" w:asciiTheme="minorEastAsia" w:hAnsiTheme="minorEastAsia" w:eastAsiaTheme="minorEastAsia" w:cstheme="minorEastAsia"/>
                <w:color w:val="auto"/>
                <w:kern w:val="0"/>
                <w:sz w:val="24"/>
                <w:szCs w:val="24"/>
                <w:highlight w:val="none"/>
                <w:lang w:val="en-US" w:eastAsia="zh-CN"/>
              </w:rPr>
              <w:t>评分</w:t>
            </w:r>
            <w:r>
              <w:rPr>
                <w:rFonts w:hint="eastAsia" w:asciiTheme="minorEastAsia" w:hAnsiTheme="minorEastAsia" w:eastAsiaTheme="minorEastAsia" w:cstheme="minorEastAsia"/>
                <w:color w:val="auto"/>
                <w:kern w:val="0"/>
                <w:sz w:val="24"/>
                <w:szCs w:val="24"/>
                <w:highlight w:val="none"/>
              </w:rPr>
              <w:t>：每提供一本健康证</w:t>
            </w:r>
            <w:r>
              <w:rPr>
                <w:rFonts w:hint="eastAsia" w:asciiTheme="minorEastAsia" w:hAnsi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rPr>
              <w:t>得0.5分，满分3分。须</w:t>
            </w:r>
            <w:r>
              <w:rPr>
                <w:rFonts w:hint="eastAsia" w:asciiTheme="minorEastAsia" w:hAnsiTheme="minorEastAsia" w:cstheme="minorEastAsia"/>
                <w:color w:val="auto"/>
                <w:kern w:val="0"/>
                <w:sz w:val="24"/>
                <w:szCs w:val="24"/>
                <w:highlight w:val="none"/>
                <w:lang w:val="en-US" w:eastAsia="zh-CN"/>
              </w:rPr>
              <w:t>同时</w:t>
            </w:r>
            <w:r>
              <w:rPr>
                <w:rFonts w:hint="eastAsia" w:asciiTheme="minorEastAsia" w:hAnsiTheme="minorEastAsia" w:eastAsiaTheme="minorEastAsia" w:cstheme="minorEastAsia"/>
                <w:color w:val="auto"/>
                <w:kern w:val="0"/>
                <w:sz w:val="24"/>
                <w:szCs w:val="24"/>
                <w:highlight w:val="none"/>
              </w:rPr>
              <w:t>提供持有健康证人员的清单、有效期内的健康证复印件</w:t>
            </w:r>
            <w:r>
              <w:rPr>
                <w:rFonts w:hint="eastAsia" w:asciiTheme="minorEastAsia" w:hAnsiTheme="minorEastAsia" w:cstheme="minorEastAsia"/>
                <w:color w:val="auto"/>
                <w:kern w:val="0"/>
                <w:sz w:val="24"/>
                <w:szCs w:val="24"/>
                <w:highlight w:val="none"/>
                <w:lang w:val="en-US" w:eastAsia="zh-CN"/>
              </w:rPr>
              <w:t>及</w:t>
            </w:r>
            <w:r>
              <w:rPr>
                <w:rFonts w:hint="eastAsia" w:asciiTheme="minorEastAsia" w:hAnsiTheme="minorEastAsia" w:eastAsiaTheme="minorEastAsia" w:cstheme="minorEastAsia"/>
                <w:color w:val="auto"/>
                <w:kern w:val="0"/>
                <w:sz w:val="24"/>
                <w:szCs w:val="24"/>
                <w:highlight w:val="none"/>
              </w:rPr>
              <w:t>投标截止时间前六个月（不含投标截止时间的当月）中</w:t>
            </w:r>
            <w:r>
              <w:rPr>
                <w:rFonts w:hint="eastAsia" w:asciiTheme="minorEastAsia" w:hAnsiTheme="minorEastAsia" w:cstheme="minorEastAsia"/>
                <w:color w:val="auto"/>
                <w:kern w:val="0"/>
                <w:sz w:val="24"/>
                <w:szCs w:val="24"/>
                <w:highlight w:val="none"/>
                <w:lang w:val="en-US" w:eastAsia="zh-CN"/>
              </w:rPr>
              <w:t>任意</w:t>
            </w:r>
            <w:r>
              <w:rPr>
                <w:rFonts w:hint="eastAsia" w:asciiTheme="minorEastAsia" w:hAnsiTheme="minorEastAsia" w:eastAsiaTheme="minorEastAsia" w:cstheme="minorEastAsia"/>
                <w:color w:val="auto"/>
                <w:kern w:val="0"/>
                <w:sz w:val="24"/>
                <w:szCs w:val="24"/>
                <w:highlight w:val="none"/>
              </w:rPr>
              <w:t>一个月份投标人</w:t>
            </w:r>
            <w:r>
              <w:rPr>
                <w:rFonts w:hint="eastAsia" w:asciiTheme="minorEastAsia" w:hAnsiTheme="minorEastAsia" w:eastAsiaTheme="minorEastAsia" w:cstheme="minorEastAsia"/>
                <w:color w:val="auto"/>
                <w:kern w:val="0"/>
                <w:sz w:val="24"/>
                <w:szCs w:val="24"/>
                <w:highlight w:val="none"/>
                <w:lang w:val="en-US" w:eastAsia="zh-CN"/>
              </w:rPr>
              <w:t>单位</w:t>
            </w:r>
            <w:r>
              <w:rPr>
                <w:rFonts w:hint="eastAsia" w:asciiTheme="minorEastAsia" w:hAnsiTheme="minorEastAsia" w:eastAsiaTheme="minorEastAsia" w:cstheme="minorEastAsia"/>
                <w:color w:val="auto"/>
                <w:kern w:val="0"/>
                <w:sz w:val="24"/>
                <w:szCs w:val="24"/>
                <w:highlight w:val="none"/>
              </w:rPr>
              <w:t>依法为其缴纳的社会保障资金证明材料</w:t>
            </w:r>
            <w:r>
              <w:rPr>
                <w:rFonts w:hint="eastAsia" w:asciiTheme="minorEastAsia" w:hAnsiTheme="minorEastAsia" w:cstheme="minorEastAsia"/>
                <w:color w:val="auto"/>
                <w:kern w:val="0"/>
                <w:sz w:val="24"/>
                <w:szCs w:val="24"/>
                <w:highlight w:val="none"/>
                <w:lang w:val="en-US" w:eastAsia="zh-CN"/>
              </w:rPr>
              <w:t>复印件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否则不得分</w:t>
            </w:r>
            <w:r>
              <w:rPr>
                <w:rFonts w:hint="eastAsia" w:asciiTheme="minorEastAsia" w:hAnsiTheme="minorEastAsia" w:eastAsiaTheme="minorEastAsia" w:cstheme="minorEastAsia"/>
                <w:color w:val="auto"/>
                <w:kern w:val="0"/>
                <w:sz w:val="24"/>
                <w:szCs w:val="24"/>
                <w:highlight w:val="none"/>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商务项（F3×A3）满分为15.00分</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59"/>
        <w:gridCol w:w="935"/>
        <w:gridCol w:w="6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项目</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分值</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360" w:lineRule="auto"/>
              <w:ind w:left="0" w:right="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业绩情况</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根据投标人提供的2018年1月1日起至投标截止时间前（日期以合同签订日期为准），已完成或正在履行中的物资配送或同类销售业绩情况</w:t>
            </w:r>
            <w:r>
              <w:rPr>
                <w:rFonts w:hint="eastAsia" w:asciiTheme="minorEastAsia" w:hAnsiTheme="minorEastAsia" w:eastAsiaTheme="minorEastAsia" w:cstheme="minorEastAsia"/>
                <w:color w:val="auto"/>
                <w:kern w:val="0"/>
                <w:sz w:val="24"/>
                <w:szCs w:val="24"/>
                <w:highlight w:val="none"/>
                <w:lang w:val="en-US" w:eastAsia="zh-CN"/>
              </w:rPr>
              <w:t>进行评分：</w:t>
            </w:r>
            <w:r>
              <w:rPr>
                <w:rFonts w:hint="eastAsia" w:asciiTheme="minorEastAsia" w:hAnsiTheme="minorEastAsia" w:eastAsiaTheme="minorEastAsia" w:cstheme="minorEastAsia"/>
                <w:color w:val="auto"/>
                <w:kern w:val="0"/>
                <w:sz w:val="24"/>
                <w:szCs w:val="24"/>
                <w:highlight w:val="none"/>
              </w:rPr>
              <w:t>每提供1份合格有效的业绩得1分，满分3分。</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须</w:t>
            </w:r>
            <w:r>
              <w:rPr>
                <w:rFonts w:hint="eastAsia" w:asciiTheme="minorEastAsia" w:hAnsiTheme="minorEastAsia" w:eastAsiaTheme="minorEastAsia" w:cstheme="minorEastAsia"/>
                <w:color w:val="auto"/>
                <w:kern w:val="0"/>
                <w:sz w:val="24"/>
                <w:szCs w:val="24"/>
                <w:highlight w:val="none"/>
                <w:lang w:val="en-US" w:eastAsia="zh-CN"/>
              </w:rPr>
              <w:t>同时</w:t>
            </w:r>
            <w:r>
              <w:rPr>
                <w:rFonts w:hint="eastAsia" w:asciiTheme="minorEastAsia" w:hAnsiTheme="minorEastAsia" w:eastAsiaTheme="minorEastAsia" w:cstheme="minorEastAsia"/>
                <w:color w:val="auto"/>
                <w:kern w:val="0"/>
                <w:sz w:val="24"/>
                <w:szCs w:val="24"/>
                <w:highlight w:val="none"/>
              </w:rPr>
              <w:t>提供以下证明材料：①该业绩项目的中标(成交)公告（提供相关网站中标（成交）公告的下载网页并注明网址）；②中标(成交)通知书复印件；③采购合同文本复印件；④能够证明该业绩项目经采购人验收合格的相关证明文件复印件（例如：被服务单位满意度证明文件或者合同期内任一月度发票复印件等）。未同时提供以上各项证明材料的，该项业绩不给予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满意度评价</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根据投标人提供的2018年1月1日起至投标截止时间前（以用户满意度落款时间为准），已完成过同类项目由用户出具的满意度评价为优秀或满意的，每提供1份得1分，满分3分。</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须</w:t>
            </w:r>
            <w:r>
              <w:rPr>
                <w:rFonts w:hint="eastAsia" w:asciiTheme="minorEastAsia" w:hAnsiTheme="minorEastAsia" w:eastAsiaTheme="minorEastAsia" w:cstheme="minorEastAsia"/>
                <w:color w:val="auto"/>
                <w:kern w:val="0"/>
                <w:sz w:val="24"/>
                <w:szCs w:val="24"/>
                <w:highlight w:val="none"/>
                <w:lang w:val="en-US" w:eastAsia="zh-CN"/>
              </w:rPr>
              <w:t>提供项目</w:t>
            </w:r>
            <w:r>
              <w:rPr>
                <w:rFonts w:hint="eastAsia" w:asciiTheme="minorEastAsia" w:hAnsiTheme="minorEastAsia" w:eastAsiaTheme="minorEastAsia" w:cstheme="minorEastAsia"/>
                <w:color w:val="auto"/>
                <w:kern w:val="0"/>
                <w:sz w:val="24"/>
                <w:szCs w:val="24"/>
                <w:highlight w:val="none"/>
              </w:rPr>
              <w:t>合同复印件并提供加盖采购人单位公章(内设部门公章不得分)的服务评价。同一用户</w:t>
            </w:r>
            <w:r>
              <w:rPr>
                <w:rFonts w:hint="eastAsia" w:asciiTheme="minorEastAsia" w:hAnsiTheme="minorEastAsia" w:eastAsia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lang w:val="en-US" w:eastAsia="zh-CN"/>
              </w:rPr>
              <w:t>满意度评价</w:t>
            </w:r>
            <w:r>
              <w:rPr>
                <w:rFonts w:hint="eastAsia" w:asciiTheme="minorEastAsia" w:hAnsiTheme="minorEastAsia" w:eastAsiaTheme="minorEastAsia" w:cstheme="minorEastAsia"/>
                <w:color w:val="auto"/>
                <w:kern w:val="0"/>
                <w:sz w:val="24"/>
                <w:szCs w:val="24"/>
                <w:highlight w:val="none"/>
              </w:rPr>
              <w:t>不重复得分。</w:t>
            </w:r>
            <w:r>
              <w:rPr>
                <w:rFonts w:hint="eastAsia" w:asciiTheme="minorEastAsia" w:hAnsiTheme="minorEastAsia" w:eastAsiaTheme="minorEastAsia" w:cstheme="minorEastAsia"/>
                <w:color w:val="auto"/>
                <w:kern w:val="0"/>
                <w:sz w:val="24"/>
                <w:szCs w:val="24"/>
                <w:highlight w:val="none"/>
                <w:lang w:val="en-US" w:eastAsia="zh-CN"/>
              </w:rPr>
              <w:t>注：本项与“</w:t>
            </w:r>
            <w:r>
              <w:rPr>
                <w:rFonts w:hint="eastAsia" w:asciiTheme="minorEastAsia" w:hAnsiTheme="minorEastAsia" w:eastAsiaTheme="minorEastAsia" w:cstheme="minorEastAsia"/>
                <w:color w:val="auto"/>
                <w:kern w:val="0"/>
                <w:sz w:val="24"/>
                <w:szCs w:val="24"/>
                <w:highlight w:val="none"/>
              </w:rPr>
              <w:t>业绩情况</w:t>
            </w:r>
            <w:r>
              <w:rPr>
                <w:rFonts w:hint="eastAsia" w:asciiTheme="minorEastAsia" w:hAnsiTheme="minorEastAsia" w:eastAsiaTheme="minorEastAsia" w:cstheme="minorEastAsia"/>
                <w:color w:val="auto"/>
                <w:kern w:val="0"/>
                <w:sz w:val="24"/>
                <w:szCs w:val="24"/>
                <w:highlight w:val="none"/>
                <w:lang w:val="en-US" w:eastAsia="zh-CN"/>
              </w:rPr>
              <w:t>”评分项提供同一项目的不重复得分。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投保承诺</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cstheme="minorEastAsia"/>
                <w:color w:val="auto"/>
                <w:kern w:val="0"/>
                <w:sz w:val="24"/>
                <w:szCs w:val="24"/>
                <w:highlight w:val="none"/>
                <w:lang w:val="en-US" w:eastAsia="zh-CN"/>
              </w:rPr>
              <w:t>.00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投标人承诺中标后为本项目投保保额达到500万元（含）以上的食品安全责任保险且受益人为采购人的得3分。</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须提供书面承诺函，格式自拟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Theme="minorEastAsia" w:hAnsi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售后服务响应</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3.00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根据投标人售后服务响应时间进行评分：</w:t>
            </w:r>
            <w:r>
              <w:rPr>
                <w:rFonts w:hint="eastAsia" w:asciiTheme="minorEastAsia" w:hAnsiTheme="minorEastAsia" w:eastAsiaTheme="minorEastAsia" w:cstheme="minorEastAsia"/>
                <w:color w:val="auto"/>
                <w:kern w:val="0"/>
                <w:sz w:val="24"/>
                <w:szCs w:val="24"/>
                <w:highlight w:val="none"/>
              </w:rPr>
              <w:t>配送服务过程中如采购人发现问题，中标人能在接到采购人通知后半小时内到达采购人指定配送地点的得</w:t>
            </w: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分；配送服务过程中如采购人发现问题，中标人能在接到采购人通知后2小时内到达采购人指定配送地点的得1分；其余不得分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满分</w:t>
            </w:r>
            <w:r>
              <w:rPr>
                <w:rFonts w:hint="eastAsia" w:asciiTheme="minorEastAsia" w:hAnsi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en-US" w:eastAsia="zh-CN"/>
              </w:rPr>
              <w:t>分</w:t>
            </w:r>
            <w:r>
              <w:rPr>
                <w:rFonts w:hint="eastAsia" w:asciiTheme="minorEastAsia" w:hAnsiTheme="minorEastAsia" w:eastAsiaTheme="minorEastAsia" w:cstheme="minorEastAsia"/>
                <w:color w:val="auto"/>
                <w:kern w:val="0"/>
                <w:sz w:val="24"/>
                <w:szCs w:val="24"/>
                <w:highlight w:val="none"/>
              </w:rPr>
              <w:t>。投标人须提供书面承诺函，格式自拟</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5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default" w:asciiTheme="minorEastAsia" w:hAnsi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5、</w:t>
            </w:r>
            <w:r>
              <w:rPr>
                <w:rFonts w:hint="eastAsia" w:ascii="宋体" w:hAnsi="宋体" w:cs="宋体"/>
                <w:color w:val="auto"/>
                <w:kern w:val="0"/>
                <w:sz w:val="24"/>
                <w:highlight w:val="none"/>
              </w:rPr>
              <w:t>售后服务方案</w:t>
            </w:r>
          </w:p>
        </w:tc>
        <w:tc>
          <w:tcPr>
            <w:tcW w:w="93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3.00</w:t>
            </w:r>
          </w:p>
        </w:tc>
        <w:tc>
          <w:tcPr>
            <w:tcW w:w="625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宋体" w:hAnsi="宋体" w:cs="宋体"/>
                <w:color w:val="auto"/>
                <w:kern w:val="0"/>
                <w:sz w:val="24"/>
                <w:highlight w:val="none"/>
              </w:rPr>
              <w:t>根据投标人</w:t>
            </w:r>
            <w:r>
              <w:rPr>
                <w:rFonts w:hint="eastAsia" w:ascii="宋体" w:hAnsi="宋体" w:cs="宋体"/>
                <w:color w:val="auto"/>
                <w:kern w:val="0"/>
                <w:sz w:val="24"/>
                <w:highlight w:val="none"/>
                <w:lang w:val="en-US" w:eastAsia="zh-CN"/>
              </w:rPr>
              <w:t>针对本项目</w:t>
            </w:r>
            <w:r>
              <w:rPr>
                <w:rFonts w:hint="eastAsia" w:ascii="宋体" w:hAnsi="宋体" w:cs="宋体"/>
                <w:color w:val="auto"/>
                <w:kern w:val="0"/>
                <w:sz w:val="24"/>
                <w:highlight w:val="none"/>
              </w:rPr>
              <w:t>提供的售后服务方案（包含但不限于①应标货物的运输、装卸、配送、售后服务等安排计划；②设置服务热线，专人服务，专人跟踪；③退换货方案等）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由评委</w:t>
            </w:r>
            <w:r>
              <w:rPr>
                <w:rFonts w:hint="eastAsia" w:ascii="宋体" w:hAnsi="宋体" w:cs="宋体"/>
                <w:color w:val="auto"/>
                <w:kern w:val="0"/>
                <w:sz w:val="24"/>
                <w:highlight w:val="none"/>
              </w:rPr>
              <w:t>进行评分：方案包含的要点齐全无缺漏项、内容与要点相符、每个要点均有展开详细的阐述且能够适用于本项目得3分；方案所包含的要点齐全、内容与要点相符、每个要点均有展开阐述（没有特别具体）但基本能够适用于本项目的得2分；方案所包含的要点齐全、内容与要点相符但仅有纲要、内容简略，未展开详细阐述但基本能够适用于本项目的得1分；方案所包含的要点有缺漏、未提供或内容存在明显错误、内容明显不适用于本项目需求的均不得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加分项（F4×A4）</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优先类节能产品、环境标志产品：无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（4）中标候选人排列规则顺序如下：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a.按照评标总得分（FA）由高到低顺序排列。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b.评标总得分（FA）相同的，按照评标价（即价格扣除后的投标报价）由低到高顺序排列。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c.评标总得分（FA）且评标价（即价格扣除后的投标报价）相同的并列。</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8、其他规定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8.1评标应全程保密且不得透露给任一投标人或与评标工作无关的人员。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8.2评标将进行全程实时录音录像，录音录像资料随采购文件一并存档。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第五章 招标内容及要求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一、项目概况（采购标的）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本项目为福建省建阳监狱罪犯食堂蔬菜禽蛋豆制品配送服务项目，服务期2年；本项目预算金额为6600000元，本项目结算总金额（合同金额）不超过本项目预算金额6600000元，评标时投标人的投标报价只作为获取按实结算的折扣依据，不作为实际结算的合同金额。</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若在服务期内采购总金额已经达到本项目预算总金额，则本合同自动终止（即视为供货期限届满)，超过预算总金额的部分，采购人有权不承担支付价款的责任。合同价款为含税价格且包括中标人履行本合同所产生的一切费用,包括但不限于税费、配送、服务人员的人工费、来往交通费、货品运输、包装、制作及退换货物所产生的一切费用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480" w:lineRule="atLeast"/>
        <w:ind w:left="0" w:right="0" w:firstLine="482"/>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3、报价要求：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本项目投标人采用“下浮率”形式进行报价（所有产品的下浮率须一致）。因福建省政府采购网上公开信息系统无法填写投标“下浮率”，只能填写金额，投标人须在投标文件报价部分备注“下浮率”，作为中标后的结算依据。若备注的“下浮率”与系统上填写的投标报价计算出的“下浮率”不一致时，以电子系统上填写投标报价计算的各投标人“下浮率”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3.2投标时各投标人的投标报价=预算金额×（1-下浮率），例：本项目预算金额为6600000元，下浮率为10.00%</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投标报价6600000×（1-10.00%）=5940000元。则投标人应在福建省政府采购网上公开信息系统报价部分填入投标总价</w:t>
      </w:r>
      <w:r>
        <w:rPr>
          <w:rFonts w:hint="eastAsia" w:ascii="宋体" w:hAnsi="宋体" w:cs="宋体"/>
          <w:color w:val="auto"/>
          <w:highlight w:val="none"/>
          <w:shd w:val="clear" w:color="auto" w:fill="FFFFFF"/>
        </w:rPr>
        <w:t>（投标总价“四舍五入”保留至小数点后两位，以“元”为单位）</w:t>
      </w:r>
      <w:r>
        <w:rPr>
          <w:rFonts w:hint="eastAsia" w:ascii="宋体" w:hAnsi="宋体" w:eastAsia="宋体" w:cs="宋体"/>
          <w:i w:val="0"/>
          <w:iCs w:val="0"/>
          <w:caps w:val="0"/>
          <w:color w:val="auto"/>
          <w:spacing w:val="0"/>
          <w:sz w:val="24"/>
          <w:szCs w:val="24"/>
          <w:highlight w:val="none"/>
          <w:shd w:val="clear" w:fill="FFFFFF"/>
        </w:rPr>
        <w:t>为5940000元。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2"/>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3.3本项目投标人的投标报价不作为合同执行价格，仅作为本次价格得分的计算方法，不作为实际结算的合同金额，实际结算总金额为预算金额</w:t>
      </w:r>
      <w:r>
        <w:rPr>
          <w:rFonts w:hint="eastAsia" w:ascii="宋体" w:hAnsi="宋体" w:eastAsia="宋体" w:cs="宋体"/>
          <w:i w:val="0"/>
          <w:iCs w:val="0"/>
          <w:caps w:val="0"/>
          <w:color w:val="auto"/>
          <w:spacing w:val="0"/>
          <w:sz w:val="24"/>
          <w:szCs w:val="24"/>
          <w:highlight w:val="none"/>
          <w:shd w:val="clear" w:fill="FFFFFF"/>
          <w:lang w:val="en-US" w:eastAsia="zh-CN"/>
        </w:rPr>
        <w:t>6600000元</w:t>
      </w:r>
      <w:r>
        <w:rPr>
          <w:rFonts w:hint="eastAsia" w:ascii="宋体" w:hAnsi="宋体" w:eastAsia="宋体" w:cs="宋体"/>
          <w:i w:val="0"/>
          <w:iCs w:val="0"/>
          <w:caps w:val="0"/>
          <w:color w:val="auto"/>
          <w:spacing w:val="0"/>
          <w:sz w:val="24"/>
          <w:szCs w:val="24"/>
          <w:highlight w:val="none"/>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投标人提供的物资必须符合《中华人民共和国产品质量法》、《中华人民共和国食品卫生法》及国家行业标准的有关规定，且为有效期内安全卫生产品。投标人应按照国家和地方有关食品卫生、质量的相关规定按时保质保量向采购人提供本文件下所采购的所有食品，确保食品不过期、不变质、不添加任何对人体有害的化学添加剂。</w:t>
      </w:r>
      <w:r>
        <w:rPr>
          <w:rFonts w:hint="eastAsia" w:ascii="宋体" w:hAnsi="宋体" w:eastAsia="宋体" w:cs="宋体"/>
          <w:b/>
          <w:bCs/>
          <w:i w:val="0"/>
          <w:iCs w:val="0"/>
          <w:caps w:val="0"/>
          <w:color w:val="auto"/>
          <w:spacing w:val="0"/>
          <w:sz w:val="24"/>
          <w:szCs w:val="24"/>
          <w:highlight w:val="none"/>
          <w:shd w:val="clear" w:fill="FFFFFF"/>
        </w:rPr>
        <w:t>物资验收实行索证制度，每批物资供货方必须出具有符合国家标准的检验证明，实行可追溯制度。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5、若遇本项目相关标准遇国家重新修订，自新标准实行之日起采用新标准执行。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firstLineChars="200"/>
        <w:jc w:val="both"/>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6、投标人应对本项目具体情况了解，具备一定的应急服务、供货、配送、食品检测、食品追溯管理等相关能力；为保障服务品质及正常履约的需要，投标人须为本项目配备相关人员及食品安全相关的检测仪器，积极为本项目提供优质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二、技术和服务要求（以“★”标示的内容为不允许负偏离的实质性要求）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（★项号1）1、配送物资清单及要求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序号1：豆腐及豆制品</w:t>
      </w:r>
    </w:p>
    <w:tbl>
      <w:tblPr>
        <w:tblStyle w:val="14"/>
        <w:tblW w:w="8415" w:type="dxa"/>
        <w:tblInd w:w="0" w:type="dxa"/>
        <w:tblLayout w:type="autofit"/>
        <w:tblCellMar>
          <w:top w:w="0" w:type="dxa"/>
          <w:left w:w="0" w:type="dxa"/>
          <w:bottom w:w="0" w:type="dxa"/>
          <w:right w:w="0" w:type="dxa"/>
        </w:tblCellMar>
      </w:tblPr>
      <w:tblGrid>
        <w:gridCol w:w="676"/>
        <w:gridCol w:w="947"/>
        <w:gridCol w:w="4989"/>
        <w:gridCol w:w="1803"/>
      </w:tblGrid>
      <w:tr>
        <w:tblPrEx>
          <w:tblCellMar>
            <w:top w:w="0" w:type="dxa"/>
            <w:left w:w="0" w:type="dxa"/>
            <w:bottom w:w="0" w:type="dxa"/>
            <w:right w:w="0" w:type="dxa"/>
          </w:tblCellMar>
        </w:tblPrEx>
        <w:tc>
          <w:tcPr>
            <w:tcW w:w="67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945"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货物</w:t>
            </w:r>
          </w:p>
        </w:tc>
        <w:tc>
          <w:tcPr>
            <w:tcW w:w="498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规格要求</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单价最高限价</w:t>
            </w:r>
          </w:p>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（基准价）</w:t>
            </w:r>
          </w:p>
        </w:tc>
      </w:tr>
      <w:tr>
        <w:tblPrEx>
          <w:tblCellMar>
            <w:top w:w="0" w:type="dxa"/>
            <w:left w:w="0" w:type="dxa"/>
            <w:bottom w:w="0" w:type="dxa"/>
            <w:right w:w="0" w:type="dxa"/>
          </w:tblCellMar>
        </w:tblPrEx>
        <w:tc>
          <w:tcPr>
            <w:tcW w:w="67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94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新鲜豆腐干</w:t>
            </w:r>
          </w:p>
        </w:tc>
        <w:tc>
          <w:tcPr>
            <w:tcW w:w="498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每块规格大约为：长5㎝×宽5㎝×厚1.5㎝；</w:t>
            </w:r>
          </w:p>
        </w:tc>
        <w:tc>
          <w:tcPr>
            <w:tcW w:w="180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元/斤</w:t>
            </w:r>
          </w:p>
        </w:tc>
      </w:tr>
      <w:tr>
        <w:tblPrEx>
          <w:tblCellMar>
            <w:top w:w="0" w:type="dxa"/>
            <w:left w:w="0" w:type="dxa"/>
            <w:bottom w:w="0" w:type="dxa"/>
            <w:right w:w="0" w:type="dxa"/>
          </w:tblCellMar>
        </w:tblPrEx>
        <w:tc>
          <w:tcPr>
            <w:tcW w:w="67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94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新鲜豆腐</w:t>
            </w:r>
          </w:p>
        </w:tc>
        <w:tc>
          <w:tcPr>
            <w:tcW w:w="498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1、白色或乳白色，有豆香，无异味；不脱皮、切口光亮，持水性好；</w:t>
            </w:r>
          </w:p>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2、每板重量不少于10斤，每板规格大约为：长32㎝×宽32㎝×厚9.5㎝；</w:t>
            </w:r>
          </w:p>
        </w:tc>
        <w:tc>
          <w:tcPr>
            <w:tcW w:w="180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元/板</w:t>
            </w:r>
          </w:p>
        </w:tc>
      </w:tr>
      <w:tr>
        <w:tblPrEx>
          <w:tblCellMar>
            <w:top w:w="0" w:type="dxa"/>
            <w:left w:w="0" w:type="dxa"/>
            <w:bottom w:w="0" w:type="dxa"/>
            <w:right w:w="0" w:type="dxa"/>
          </w:tblCellMar>
        </w:tblPrEx>
        <w:tc>
          <w:tcPr>
            <w:tcW w:w="67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94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新鲜豆泡</w:t>
            </w:r>
          </w:p>
        </w:tc>
        <w:tc>
          <w:tcPr>
            <w:tcW w:w="498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使用符合国家标准的成品油炸制，无豆腥味、馊味等不良气味或其他外来气味；</w:t>
            </w:r>
          </w:p>
        </w:tc>
        <w:tc>
          <w:tcPr>
            <w:tcW w:w="180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8元/斤</w:t>
            </w:r>
          </w:p>
        </w:tc>
      </w:tr>
      <w:tr>
        <w:tblPrEx>
          <w:tblCellMar>
            <w:top w:w="0" w:type="dxa"/>
            <w:left w:w="0" w:type="dxa"/>
            <w:bottom w:w="0" w:type="dxa"/>
            <w:right w:w="0" w:type="dxa"/>
          </w:tblCellMar>
        </w:tblPrEx>
        <w:tc>
          <w:tcPr>
            <w:tcW w:w="67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945"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新鲜面筋</w:t>
            </w:r>
          </w:p>
        </w:tc>
        <w:tc>
          <w:tcPr>
            <w:tcW w:w="498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符合国家卫生标准，无馊味等不良气味或其他外来气味；</w:t>
            </w:r>
          </w:p>
        </w:tc>
        <w:tc>
          <w:tcPr>
            <w:tcW w:w="180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4.5元/斤</w:t>
            </w:r>
          </w:p>
        </w:tc>
      </w:tr>
    </w:tbl>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序号2：蔬菜</w:t>
      </w:r>
      <w:r>
        <w:rPr>
          <w:rFonts w:hint="eastAsia" w:ascii="宋体" w:hAnsi="宋体" w:eastAsia="宋体" w:cs="宋体"/>
          <w:color w:val="auto"/>
          <w:highlight w:val="none"/>
          <w:shd w:val="clear" w:color="auto" w:fill="FFFFFF"/>
        </w:rPr>
        <w:t> </w:t>
      </w:r>
    </w:p>
    <w:p>
      <w:pPr>
        <w:pStyle w:val="12"/>
        <w:widowControl/>
        <w:spacing w:beforeAutospacing="0" w:afterAutospacing="0" w:line="360" w:lineRule="auto"/>
        <w:ind w:right="-90" w:firstLine="480"/>
        <w:rPr>
          <w:rFonts w:ascii="宋体" w:hAnsi="宋体" w:eastAsia="宋体" w:cs="宋体"/>
          <w:color w:val="auto"/>
          <w:highlight w:val="none"/>
        </w:rPr>
      </w:pPr>
      <w:r>
        <w:rPr>
          <w:rFonts w:hint="eastAsia" w:ascii="宋体" w:hAnsi="宋体" w:eastAsia="宋体" w:cs="宋体"/>
          <w:color w:val="auto"/>
          <w:highlight w:val="none"/>
          <w:shd w:val="clear" w:color="auto" w:fill="FFFFFF"/>
        </w:rPr>
        <w:t>蔬菜品种：白菜、包菜、花菜、茄子、西红柿、藕、土豆、白萝卜、红萝卜、冬瓜、佛手瓜、苦瓜、丝瓜、葫芦、菜瓜、南瓜、番薯、四季豆、香菇、蘑菇、金针菇、红米南瓜、玉米、上海青、空心菜、春菜、芥菜、豆芽、油麦菜、广东芥兰、香葱、西洋芹、香芹、鲜蒜、韭黄、韭菜、彩椒、蒜苔、茭白。</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序号3：禽蛋</w:t>
      </w:r>
    </w:p>
    <w:tbl>
      <w:tblPr>
        <w:tblStyle w:val="14"/>
        <w:tblW w:w="8415" w:type="dxa"/>
        <w:tblInd w:w="0" w:type="dxa"/>
        <w:tblLayout w:type="autofit"/>
        <w:tblCellMar>
          <w:top w:w="0" w:type="dxa"/>
          <w:left w:w="0" w:type="dxa"/>
          <w:bottom w:w="0" w:type="dxa"/>
          <w:right w:w="0" w:type="dxa"/>
        </w:tblCellMar>
      </w:tblPr>
      <w:tblGrid>
        <w:gridCol w:w="721"/>
        <w:gridCol w:w="1878"/>
        <w:gridCol w:w="5816"/>
      </w:tblGrid>
      <w:tr>
        <w:tblPrEx>
          <w:tblCellMar>
            <w:top w:w="0" w:type="dxa"/>
            <w:left w:w="0" w:type="dxa"/>
            <w:bottom w:w="0" w:type="dxa"/>
            <w:right w:w="0" w:type="dxa"/>
          </w:tblCellMar>
        </w:tblPrEx>
        <w:tc>
          <w:tcPr>
            <w:tcW w:w="720" w:type="dxa"/>
            <w:tcBorders>
              <w:top w:val="single" w:color="000000" w:sz="6" w:space="0"/>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875" w:type="dxa"/>
            <w:tcBorders>
              <w:top w:val="single" w:color="000000" w:sz="6" w:space="0"/>
              <w:left w:val="nil"/>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货物</w:t>
            </w:r>
          </w:p>
        </w:tc>
        <w:tc>
          <w:tcPr>
            <w:tcW w:w="5805" w:type="dxa"/>
            <w:tcBorders>
              <w:top w:val="single" w:color="000000" w:sz="6" w:space="0"/>
              <w:left w:val="nil"/>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规格要求</w:t>
            </w:r>
          </w:p>
        </w:tc>
      </w:tr>
      <w:tr>
        <w:tblPrEx>
          <w:tblCellMar>
            <w:top w:w="0" w:type="dxa"/>
            <w:left w:w="0" w:type="dxa"/>
            <w:bottom w:w="0" w:type="dxa"/>
            <w:right w:w="0" w:type="dxa"/>
          </w:tblCellMar>
        </w:tblPrEx>
        <w:tc>
          <w:tcPr>
            <w:tcW w:w="72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875" w:type="dxa"/>
            <w:tcBorders>
              <w:top w:val="nil"/>
              <w:left w:val="nil"/>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新鲜鸡蛋</w:t>
            </w:r>
          </w:p>
        </w:tc>
        <w:tc>
          <w:tcPr>
            <w:tcW w:w="5805" w:type="dxa"/>
            <w:vMerge w:val="restart"/>
            <w:tcBorders>
              <w:top w:val="nil"/>
              <w:left w:val="nil"/>
              <w:bottom w:val="single" w:color="000000" w:sz="6" w:space="0"/>
              <w:right w:val="single" w:color="000000" w:sz="6" w:space="0"/>
            </w:tcBorders>
            <w:shd w:val="clear" w:color="auto" w:fill="auto"/>
            <w:tcMar>
              <w:left w:w="75" w:type="dxa"/>
              <w:right w:w="75" w:type="dxa"/>
            </w:tcMar>
          </w:tcPr>
          <w:p>
            <w:pPr>
              <w:pStyle w:val="12"/>
              <w:widowControl/>
              <w:wordWrap w:val="0"/>
              <w:spacing w:beforeAutospacing="0" w:afterAutospacing="0" w:line="480" w:lineRule="atLeast"/>
              <w:rPr>
                <w:rFonts w:ascii="宋体" w:hAnsi="宋体" w:eastAsia="宋体" w:cs="宋体"/>
                <w:color w:val="auto"/>
                <w:highlight w:val="none"/>
              </w:rPr>
            </w:pPr>
            <w:r>
              <w:rPr>
                <w:rFonts w:hint="eastAsia" w:ascii="宋体" w:hAnsi="宋体" w:eastAsia="宋体" w:cs="宋体"/>
                <w:color w:val="auto"/>
                <w:highlight w:val="none"/>
              </w:rPr>
              <w:t>蛋类应符合GB2748《鲜蛋卫生标准》，蛋壳清洁、无破裂，无异味等要求。</w:t>
            </w:r>
          </w:p>
        </w:tc>
      </w:tr>
      <w:tr>
        <w:tblPrEx>
          <w:tblCellMar>
            <w:top w:w="0" w:type="dxa"/>
            <w:left w:w="0" w:type="dxa"/>
            <w:bottom w:w="0" w:type="dxa"/>
            <w:right w:w="0" w:type="dxa"/>
          </w:tblCellMar>
        </w:tblPrEx>
        <w:tc>
          <w:tcPr>
            <w:tcW w:w="720" w:type="dxa"/>
            <w:tcBorders>
              <w:top w:val="nil"/>
              <w:left w:val="single" w:color="000000" w:sz="6" w:space="0"/>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875" w:type="dxa"/>
            <w:tcBorders>
              <w:top w:val="nil"/>
              <w:left w:val="nil"/>
              <w:bottom w:val="single" w:color="000000" w:sz="6" w:space="0"/>
              <w:right w:val="single" w:color="000000" w:sz="6" w:space="0"/>
            </w:tcBorders>
            <w:shd w:val="clear" w:color="auto" w:fill="auto"/>
            <w:tcMar>
              <w:left w:w="75" w:type="dxa"/>
              <w:right w:w="75" w:type="dxa"/>
            </w:tcMar>
            <w:vAlign w:val="center"/>
          </w:tcPr>
          <w:p>
            <w:pPr>
              <w:pStyle w:val="12"/>
              <w:widowControl/>
              <w:wordWrap w:val="0"/>
              <w:spacing w:beforeAutospacing="0" w:afterAutospacing="0" w:line="480" w:lineRule="atLeast"/>
              <w:jc w:val="center"/>
              <w:rPr>
                <w:rFonts w:ascii="宋体" w:hAnsi="宋体" w:eastAsia="宋体" w:cs="宋体"/>
                <w:color w:val="auto"/>
                <w:highlight w:val="none"/>
              </w:rPr>
            </w:pPr>
            <w:r>
              <w:rPr>
                <w:rFonts w:hint="eastAsia" w:ascii="宋体" w:hAnsi="宋体" w:eastAsia="宋体" w:cs="宋体"/>
                <w:color w:val="auto"/>
                <w:highlight w:val="none"/>
              </w:rPr>
              <w:t>新鲜鸭蛋</w:t>
            </w:r>
          </w:p>
        </w:tc>
        <w:tc>
          <w:tcPr>
            <w:tcW w:w="5805" w:type="dxa"/>
            <w:vMerge w:val="continue"/>
            <w:tcBorders>
              <w:top w:val="nil"/>
              <w:left w:val="nil"/>
              <w:bottom w:val="single" w:color="000000" w:sz="6" w:space="0"/>
              <w:right w:val="single" w:color="000000" w:sz="6" w:space="0"/>
            </w:tcBorders>
            <w:shd w:val="clear" w:color="auto" w:fill="auto"/>
            <w:tcMar>
              <w:left w:w="75" w:type="dxa"/>
              <w:right w:w="75" w:type="dxa"/>
            </w:tcMar>
          </w:tcPr>
          <w:p>
            <w:pPr>
              <w:rPr>
                <w:rFonts w:ascii="宋体" w:hAnsi="宋体" w:eastAsia="宋体" w:cs="宋体"/>
                <w:color w:val="auto"/>
                <w:sz w:val="24"/>
                <w:highlight w:val="none"/>
              </w:rPr>
            </w:pPr>
          </w:p>
        </w:tc>
      </w:tr>
    </w:tbl>
    <w:p>
      <w:pPr>
        <w:pStyle w:val="12"/>
        <w:widowControl/>
        <w:spacing w:beforeAutospacing="0" w:afterAutospacing="0" w:line="480" w:lineRule="atLeast"/>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（★项号2）2、配送物资基准价及结算方式:</w:t>
      </w:r>
    </w:p>
    <w:p>
      <w:pPr>
        <w:pStyle w:val="12"/>
        <w:widowControl/>
        <w:spacing w:beforeAutospacing="0" w:afterAutospacing="0" w:line="360" w:lineRule="auto"/>
        <w:ind w:firstLine="241" w:firstLineChars="100"/>
        <w:rPr>
          <w:rFonts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shd w:val="clear" w:color="auto" w:fill="FFFFFF"/>
        </w:rPr>
        <w:t>序号1：豆腐及豆制品</w:t>
      </w:r>
    </w:p>
    <w:p>
      <w:pPr>
        <w:pStyle w:val="12"/>
        <w:widowControl/>
        <w:spacing w:beforeAutospacing="0" w:afterAutospacing="0"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（1）结算方式：新鲜豆腐干结算价=5</w:t>
      </w: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元/斤×（1-中标下浮率）；新鲜豆腐结算价=</w:t>
      </w:r>
      <w:r>
        <w:rPr>
          <w:rFonts w:hint="eastAsia" w:ascii="宋体" w:hAnsi="宋体" w:eastAsia="宋体" w:cs="宋体"/>
          <w:color w:val="auto"/>
          <w:sz w:val="24"/>
          <w:szCs w:val="24"/>
          <w:highlight w:val="none"/>
          <w:shd w:val="clear" w:color="auto" w:fill="FFFFFF"/>
          <w:lang w:val="en-US" w:eastAsia="zh-CN"/>
        </w:rPr>
        <w:t>20</w:t>
      </w:r>
      <w:r>
        <w:rPr>
          <w:rFonts w:hint="eastAsia" w:ascii="宋体" w:hAnsi="宋体" w:eastAsia="宋体" w:cs="宋体"/>
          <w:color w:val="auto"/>
          <w:sz w:val="24"/>
          <w:szCs w:val="24"/>
          <w:highlight w:val="none"/>
          <w:shd w:val="clear" w:color="auto" w:fill="FFFFFF"/>
        </w:rPr>
        <w:t>元/板×（1-中标下浮率）；新鲜豆泡结算价=8元/斤×（1-中标下浮率）；新鲜面筋结算价=4.5元/斤×（1-中标下浮率）。</w:t>
      </w:r>
    </w:p>
    <w:p>
      <w:pPr>
        <w:pStyle w:val="12"/>
        <w:widowControl/>
        <w:spacing w:beforeAutospacing="0" w:afterAutospacing="0" w:line="360" w:lineRule="auto"/>
        <w:ind w:firstLine="1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（2）豆腐及豆制品的结算价在合同履行期内不变。若遇商场涨跌幅超过60%再做调整。</w:t>
      </w:r>
    </w:p>
    <w:p>
      <w:pPr>
        <w:pStyle w:val="12"/>
        <w:widowControl/>
        <w:spacing w:beforeAutospacing="0" w:afterAutospacing="0" w:line="360" w:lineRule="auto"/>
        <w:ind w:firstLine="184"/>
        <w:rPr>
          <w:rFonts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shd w:val="clear" w:color="auto" w:fill="FFFFFF"/>
        </w:rPr>
        <w:t>序号2：蔬菜</w:t>
      </w:r>
    </w:p>
    <w:p>
      <w:pPr>
        <w:keepNext w:val="0"/>
        <w:keepLines w:val="0"/>
        <w:pageBreakBefore w:val="0"/>
        <w:widowControl/>
        <w:kinsoku/>
        <w:wordWrap w:val="0"/>
        <w:overflowPunct/>
        <w:topLinePunct w:val="0"/>
        <w:autoSpaceDE/>
        <w:autoSpaceDN/>
        <w:bidi w:val="0"/>
        <w:adjustRightInd/>
        <w:snapToGrid/>
        <w:spacing w:after="115" w:line="360" w:lineRule="auto"/>
        <w:ind w:firstLine="480" w:firstLineChars="200"/>
        <w:jc w:val="left"/>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以每个月为一个调价周期调整一次基准价，蔬菜以福州菜篮子网（网址：http://www.fzclz.com/）今日价格中每日公布的蔬菜行情中的平均价为基准价(该网站计费单位为公斤)，结算价=[（上个月26日)的基准价+ （上上个月26日)的基准价]÷2×（1-中标下浮率）；举例：[5月结算价=（4月26日基准价+3月26日基准价）]÷2×（1-中标下浮率）。如遇网站当日未公布价格，则取前一日公布的数据；如遇网站不更新价格，则沿用上个月的结算价。</w:t>
      </w:r>
    </w:p>
    <w:p>
      <w:pPr>
        <w:pStyle w:val="2"/>
        <w:spacing w:line="360" w:lineRule="auto"/>
        <w:ind w:left="0"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如福州菜篮子网站不更新价格超过三个月（含三个月），则取南平市发改委网站——民生价格信息发布——建阳区农贸市场价格上个月第一次公布价格（童游、西街菜市场取最低价）*0.6作为基准价。</w:t>
      </w:r>
    </w:p>
    <w:p>
      <w:pPr>
        <w:pStyle w:val="2"/>
        <w:spacing w:line="360" w:lineRule="auto"/>
        <w:ind w:left="0"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如上述网站无法采价，则以上月建阳永辉超市正达店、永辉超市金都店、永辉超市云谷店、大润发超市任一超市、上月第三周任一天的零售价*0.6为基准价。</w:t>
      </w:r>
    </w:p>
    <w:p>
      <w:pPr>
        <w:pStyle w:val="2"/>
        <w:spacing w:line="360" w:lineRule="auto"/>
        <w:ind w:left="0" w:leftChars="0" w:firstLine="480" w:firstLineChars="200"/>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如超市无法取价的则以上个月建阳贸市场价格*0.6为基准价，结算公式同上。</w:t>
      </w:r>
    </w:p>
    <w:p>
      <w:pPr>
        <w:pStyle w:val="12"/>
        <w:widowControl/>
        <w:spacing w:beforeAutospacing="0" w:afterAutospacing="0" w:line="360" w:lineRule="auto"/>
        <w:ind w:firstLine="420"/>
        <w:rPr>
          <w:rFonts w:hint="eastAsia" w:asciiTheme="minorEastAsia" w:hAnsiTheme="minorEastAsia" w:eastAsiaTheme="minorEastAsia" w:cstheme="minorEastAsia"/>
          <w:color w:val="auto"/>
          <w:sz w:val="24"/>
          <w:szCs w:val="24"/>
          <w:highlight w:val="none"/>
        </w:rPr>
      </w:pPr>
      <w:r>
        <w:rPr>
          <w:rStyle w:val="16"/>
          <w:rFonts w:hint="eastAsia" w:asciiTheme="minorEastAsia" w:hAnsiTheme="minorEastAsia" w:eastAsiaTheme="minorEastAsia" w:cstheme="minorEastAsia"/>
          <w:color w:val="auto"/>
          <w:sz w:val="24"/>
          <w:szCs w:val="24"/>
          <w:highlight w:val="none"/>
          <w:shd w:val="clear" w:color="auto" w:fill="FFFFFF"/>
        </w:rPr>
        <w:t>序号3：禽蛋</w:t>
      </w:r>
    </w:p>
    <w:p>
      <w:pPr>
        <w:pStyle w:val="12"/>
        <w:widowControl/>
        <w:spacing w:beforeAutospacing="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以每个月为一个调价周期调整一次基准价，以“南平市发改委网站-民生价格信息发布-食品零售-永辉超市金都店”上个月25日之前最后一次公布价格为基准价（如遇当日未公布价格或公布价格为政府补贴、促销特价等，则以活动结束次日价格为准，以此顺延），具体结算公式为：结算价=基准价×（1-中标下浮率）。</w:t>
      </w:r>
    </w:p>
    <w:p>
      <w:pPr>
        <w:pStyle w:val="2"/>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若上述方式均无法取价的</w:t>
      </w:r>
      <w:r>
        <w:rPr>
          <w:rFonts w:hint="eastAsia" w:asciiTheme="minorEastAsia" w:hAnsiTheme="minorEastAsia" w:eastAsiaTheme="minorEastAsia" w:cstheme="minorEastAsia"/>
          <w:color w:val="auto"/>
          <w:sz w:val="24"/>
          <w:szCs w:val="24"/>
          <w:highlight w:val="none"/>
        </w:rPr>
        <w:t>则以上月建阳永辉超市正达店、永辉超市金都店、永辉超市云谷店、大润发超市任一超市、上月第三周任一天的零售价为基准价。</w:t>
      </w:r>
    </w:p>
    <w:p>
      <w:pPr>
        <w:pStyle w:val="2"/>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如超市无法取价的则以上个月建阳</w:t>
      </w:r>
      <w:r>
        <w:rPr>
          <w:rFonts w:hint="eastAsia" w:asciiTheme="minorEastAsia" w:hAnsiTheme="minorEastAsia" w:eastAsiaTheme="minorEastAsia" w:cstheme="minorEastAsia"/>
          <w:color w:val="auto"/>
          <w:sz w:val="24"/>
          <w:szCs w:val="24"/>
          <w:highlight w:val="none"/>
          <w:shd w:val="clear" w:color="auto" w:fill="FFFFFF"/>
        </w:rPr>
        <w:t>贸市场价格为基准价，结算公式同上</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12"/>
        <w:widowControl/>
        <w:spacing w:beforeAutospacing="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上述价格结算依据材料（提供网站价格表格、购物小票或正式发票等证明材料并加盖公章）由中标人提供，按采购人要求整理汇总，经采购人确认无误后，作为当月结算依据，采购人有权对中标人提供的价格结算依据材料进行随机抽查核实，如中标人弄虚作假或者未及时提供相关价格依据导致不能正常结算的，一经发现，该批次食材结算基准价由中标人与采购人次月共同重新采集基准价，并按重新采集的基准价*0.5作为结算基准价。</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3、质量及服务要求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3.1物资质量要求：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（★项号3）</w:t>
      </w:r>
      <w:r>
        <w:rPr>
          <w:rFonts w:hint="eastAsia" w:ascii="宋体" w:hAnsi="宋体" w:eastAsia="宋体" w:cs="宋体"/>
          <w:color w:val="auto"/>
          <w:highlight w:val="none"/>
          <w:shd w:val="clear" w:color="auto" w:fill="FFFFFF"/>
        </w:rPr>
        <w:t>3.1.1中标人提供的物资必须符合《中华人民共和国产品质量法》、《中华人民共和国食品卫生法》及国家行业标准的有关规定及采购人的标准要求。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（项号4）</w:t>
      </w:r>
      <w:r>
        <w:rPr>
          <w:rFonts w:hint="eastAsia" w:ascii="宋体" w:hAnsi="宋体" w:eastAsia="宋体" w:cs="宋体"/>
          <w:color w:val="auto"/>
          <w:highlight w:val="none"/>
          <w:shd w:val="clear" w:color="auto" w:fill="FFFFFF"/>
        </w:rPr>
        <w:t>3.1.2蔬菜须确保新鲜、青嫩、干净、无杂草、无浸水泡水或注水，各类蔬菜无腐烂、变质、无臭水味、无糟软状态；根（块）茎类的蔬菜不能有泥巴；香葱、洋葱等的根部要干净，带叶子的蔬菜（如大白菜、包菜等），要求没有烂叶、坏菜心等。叶面光泽，外观整齐、无折断或碎物，闻其味，正常为泥土味，蔬菜味香，若有刺鼻的异味、农药味、腐烂味等，则为不合格；瓜果类蔬菜（萝卜、冬瓜、南瓜、茄子等），果面光泽，看是否有明显的腐烂状。瓜果外观整齐、无折断或碎物，果肉结构为多水、色鲜、有光泽，如果果肉结构水少，有霉变、黑心、木渣等情形，则为不合格。</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（项号5）</w:t>
      </w:r>
      <w:r>
        <w:rPr>
          <w:rFonts w:hint="eastAsia" w:ascii="宋体" w:hAnsi="宋体" w:eastAsia="宋体" w:cs="宋体"/>
          <w:color w:val="auto"/>
          <w:highlight w:val="none"/>
          <w:shd w:val="clear" w:color="auto" w:fill="FFFFFF"/>
        </w:rPr>
        <w:t>3.1.3供货商提供的新鲜豆干呈乳白色或浅黄色，质地细腻，无杂质，有一定的弹性，具有新鲜豆腐干特有的清香气味，无异味；新鲜豆腐呈均匀的乳白色或淡黄色，快形完整，软硬适度，富有一定弹性，质地细腻，结构均匀，无杂质，具有新鲜豆腐特有的清香气味，无异味，水分不大于90%。</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（项号6）</w:t>
      </w:r>
      <w:r>
        <w:rPr>
          <w:rFonts w:hint="eastAsia" w:ascii="宋体" w:hAnsi="宋体" w:eastAsia="宋体" w:cs="宋体"/>
          <w:color w:val="auto"/>
          <w:highlight w:val="none"/>
          <w:shd w:val="clear" w:color="auto" w:fill="FFFFFF"/>
        </w:rPr>
        <w:t>3.1.4供货商应保证豆制品的质量，供应的豆制品必须是新鲜、优质的，由供货商负责送到监区，由监狱派人过磅验收。</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3.2服务要求</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（★项号7）</w:t>
      </w:r>
      <w:r>
        <w:rPr>
          <w:rFonts w:hint="eastAsia" w:ascii="宋体" w:hAnsi="宋体" w:eastAsia="宋体" w:cs="宋体"/>
          <w:color w:val="auto"/>
          <w:highlight w:val="none"/>
          <w:shd w:val="clear" w:color="auto" w:fill="FFFFFF"/>
        </w:rPr>
        <w:t>3.2.1中标人须为本项目配备</w:t>
      </w:r>
      <w:r>
        <w:rPr>
          <w:rFonts w:hint="eastAsia" w:ascii="宋体" w:hAnsi="宋体" w:cs="宋体"/>
          <w:color w:val="auto"/>
          <w:highlight w:val="none"/>
        </w:rPr>
        <w:t>专门配送的厢式货车3辆（其中厢式冷藏车不少于2辆），</w:t>
      </w:r>
      <w:r>
        <w:rPr>
          <w:rFonts w:hint="eastAsia" w:ascii="宋体" w:hAnsi="宋体" w:eastAsia="宋体" w:cs="宋体"/>
          <w:color w:val="auto"/>
          <w:highlight w:val="none"/>
          <w:shd w:val="clear" w:color="auto" w:fill="FFFFFF"/>
        </w:rPr>
        <w:t>中标人应负责将采购的物资，在采购人规定的时间内运至指定地点，实际使用数量由采购人按照使用需要分批次进行采购，供货商应在监狱计划内做到保障供应，不能以任何理由拒送，否则视为违约处理。</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（项号8）</w:t>
      </w:r>
      <w:r>
        <w:rPr>
          <w:rFonts w:hint="eastAsia" w:ascii="宋体" w:hAnsi="宋体" w:eastAsia="宋体" w:cs="宋体"/>
          <w:color w:val="auto"/>
          <w:highlight w:val="none"/>
          <w:shd w:val="clear" w:color="auto" w:fill="FFFFFF"/>
        </w:rPr>
        <w:t>3.2.2到位后的物资由中标人及采购人共同进行质量验收，中标人必须提供每次供应物资品种的物资品种化验单、物资合格证等证明材料（所有证明材料中标人均应加注供货日期和公章）。</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（项号9）</w:t>
      </w:r>
      <w:r>
        <w:rPr>
          <w:rFonts w:hint="eastAsia" w:ascii="宋体" w:hAnsi="宋体" w:eastAsia="宋体" w:cs="宋体"/>
          <w:color w:val="auto"/>
          <w:highlight w:val="none"/>
          <w:shd w:val="clear" w:color="auto" w:fill="FFFFFF"/>
        </w:rPr>
        <w:t>3.2.3对运输车辆进行定期消毒，避免在运输过程中导致交叉感染，使所需物资安全性出现问题。</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（★项号10）</w:t>
      </w:r>
      <w:r>
        <w:rPr>
          <w:rFonts w:hint="eastAsia" w:ascii="宋体" w:hAnsi="宋体" w:eastAsia="宋体" w:cs="宋体"/>
          <w:color w:val="auto"/>
          <w:highlight w:val="none"/>
          <w:shd w:val="clear" w:color="auto" w:fill="FFFFFF"/>
        </w:rPr>
        <w:t>3.2.4中标人应对此次采购的物资按国家有关质量及采购人要求进行配送，不得短斤少两，以次充好。</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（★项号11）</w:t>
      </w:r>
      <w:r>
        <w:rPr>
          <w:rFonts w:hint="eastAsia" w:ascii="宋体" w:hAnsi="宋体" w:eastAsia="宋体" w:cs="宋体"/>
          <w:color w:val="auto"/>
          <w:highlight w:val="none"/>
          <w:shd w:val="clear" w:color="auto" w:fill="FFFFFF"/>
        </w:rPr>
        <w:t>3.2.5在验收上，要求进行索证制度（产品质量必须符合相关标准规定的要求）。对每一种物资如采购人有要求，中标人必须提供检疫检测报告，保证物资的质量安全性。中标人必须根据采购人的要求提供供应物资品种的检疫检测报告、物资品种化验单等证明材料（所有证明材料中标人均应加注供货日期和公章）。</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（★项号12）</w:t>
      </w:r>
      <w:r>
        <w:rPr>
          <w:rFonts w:hint="eastAsia" w:ascii="宋体" w:hAnsi="宋体" w:eastAsia="宋体" w:cs="宋体"/>
          <w:color w:val="auto"/>
          <w:highlight w:val="none"/>
          <w:shd w:val="clear" w:color="auto" w:fill="FFFFFF"/>
        </w:rPr>
        <w:t>3.2.6采购人为特殊单位，中标人必须遵守国家法律及采购人保密、安全的相关规章制度，中标人所有外协人员及车辆进入监区必须遵守采购人监管规章制度，不得接近无关人员，不得与无关人员聊天，不得四处走动，如果为服刑人员提供违禁品（如现金、毒品、酒类、刃具、淫秽书等）及进行其他交易。一经属实者，可视为违约行为，每次给予5000元以上处罚。若造成严重后果，依法追究法律责任。</w:t>
      </w:r>
    </w:p>
    <w:p>
      <w:pPr>
        <w:pStyle w:val="12"/>
        <w:widowControl/>
        <w:spacing w:beforeAutospacing="0" w:afterAutospacing="0" w:line="480" w:lineRule="atLeast"/>
        <w:ind w:firstLine="420"/>
        <w:rPr>
          <w:rFonts w:ascii="宋体" w:hAnsi="宋体" w:eastAsia="宋体" w:cs="宋体"/>
          <w:color w:val="auto"/>
          <w:highlight w:val="none"/>
        </w:rPr>
      </w:pPr>
      <w:r>
        <w:rPr>
          <w:rStyle w:val="16"/>
          <w:rFonts w:hint="eastAsia" w:ascii="宋体" w:hAnsi="宋体" w:eastAsia="宋体" w:cs="宋体"/>
          <w:color w:val="auto"/>
          <w:highlight w:val="none"/>
          <w:shd w:val="clear" w:color="auto" w:fill="FFFFFF"/>
        </w:rPr>
        <w:t>（★项号13）</w:t>
      </w:r>
      <w:r>
        <w:rPr>
          <w:rFonts w:hint="eastAsia" w:ascii="宋体" w:hAnsi="宋体" w:eastAsia="宋体" w:cs="宋体"/>
          <w:color w:val="auto"/>
          <w:highlight w:val="none"/>
          <w:shd w:val="clear" w:color="auto" w:fill="FFFFFF"/>
        </w:rPr>
        <w:t>3.2.7中标人针对本项目配备的人员须具有健康证，中标后并将所有配备人员的名单、身份信息及健康证信息报采购人备案。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b w:val="0"/>
          <w:bCs/>
          <w:color w:val="auto"/>
          <w:sz w:val="24"/>
          <w:szCs w:val="24"/>
          <w:highlight w:val="none"/>
        </w:rPr>
      </w:pPr>
      <w:r>
        <w:rPr>
          <w:rStyle w:val="16"/>
          <w:rFonts w:hint="eastAsia" w:ascii="宋体" w:hAnsi="宋体" w:eastAsia="宋体" w:cs="宋体"/>
          <w:b/>
          <w:bCs w:val="0"/>
          <w:i w:val="0"/>
          <w:iCs w:val="0"/>
          <w:caps w:val="0"/>
          <w:color w:val="auto"/>
          <w:spacing w:val="0"/>
          <w:sz w:val="24"/>
          <w:szCs w:val="24"/>
          <w:highlight w:val="none"/>
          <w:shd w:val="clear" w:fill="FFFFFF"/>
        </w:rPr>
        <w:t>（★项号14）</w:t>
      </w:r>
      <w:r>
        <w:rPr>
          <w:rStyle w:val="16"/>
          <w:rFonts w:hint="eastAsia" w:ascii="宋体" w:hAnsi="宋体" w:eastAsia="宋体" w:cs="宋体"/>
          <w:b w:val="0"/>
          <w:bCs/>
          <w:i w:val="0"/>
          <w:iCs w:val="0"/>
          <w:caps w:val="0"/>
          <w:color w:val="auto"/>
          <w:spacing w:val="0"/>
          <w:sz w:val="24"/>
          <w:szCs w:val="24"/>
          <w:highlight w:val="none"/>
          <w:shd w:val="clear" w:fill="FFFFFF"/>
        </w:rPr>
        <w:t>3.2.8投标人在采购人当地须设有冷藏库（投标时需提供相关证明材料复印件，否则按无效投标处理）；若投标人在采购人当地未设有冷藏库的，投标人须承诺中标后30天内在采购人当地建冷藏库（投标时需提供专项承诺函，格式自拟），否则按无效投标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三、商务要求（以“★”标示的内容为不允许负偏离的实质性要求）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自合同签订之日起7日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福建省南平市建阳市曼头山路7号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按照招标文件要求，验收合格后交付使用。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1、期次1，说明：所提供的货物必须符合《中华人民共和国产品质量法》、《中华人民共和国食品卫生法》及国家行业标准的有关规定及采购人的标准要求。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1、按月实际配送量进行结算，达到付款条件起10日内，支付合同总金额的100.00%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合同支付方式的补充说明：上述“合同支付方式”表述为系统固定格式，本项目支付方式为：按月实际配送量进行结算，每月凭送货清单、验收报告、结算价格表、税务发票等材料，结算前月货款，以转账方式汇入中标人指定账户。本项目招标文件中若有与此处不一致的，以此处补充说明为准。</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采购包1：缴纳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本采购包履约保证金为合同金额的5.0%</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说明：合同签订前中标人必须向采购人缴纳合同金额的5%作为履约保证金（若投标人符合中小微企业认定标准且按招标文件规定提供有效声明函的，则履约保证金为合同总价的4%），该保证金在本合同履行完毕后经中标人申请，无未了事宜15个工作日内无息退还。若投标人违约，采购人没收该保证金；若该保证金不足以赔付违约责任的，按本合同相应条款约定赔付，从未支付的货款中抵扣。</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其他商务要求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Style w:val="16"/>
          <w:rFonts w:hint="eastAsia" w:ascii="宋体" w:hAnsi="宋体" w:eastAsia="宋体" w:cs="宋体"/>
          <w:i w:val="0"/>
          <w:iCs w:val="0"/>
          <w:caps w:val="0"/>
          <w:color w:val="auto"/>
          <w:spacing w:val="0"/>
          <w:sz w:val="24"/>
          <w:szCs w:val="24"/>
          <w:highlight w:val="none"/>
          <w:shd w:val="clear" w:fill="FFFFFF"/>
        </w:rPr>
        <w:t>★8、违约责任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因中标人提供的生活物资验收不合格或供应不及时而出现货物供应短缺的，采购人可自行采购，由此给中标人造成的损失，采购人概不负责。采购人直接采购本批次的货物，所需货款及一切费用由中标人承担，且第一次罚款人民币5000元，第二次罚款人民币10000元，第三次采购人有权取消合同并没收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若发现有产品质量问题、一周内叶类青菜少于本周供应总量40%的或蔬菜的黄叶、烂菜叶、菜头等杂质超过5%的，第一次罚款2000元，第二次罚款3000元，第三次罚款10000元，且采购人有权终止合同，并收缴合同履约保证金，若因蔬菜农残超标导致食物中毒等事故，中标人承担一切经济损失，并追究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合同签订后，供货商单方面不能履行合同，要求解除合同的须提前两个月通知监狱，否则，监狱有权要求供货商继续履行合同，如供货商不履行合同，监狱有权拒付供货商当月全部货款，并没收合同履约保证金，供货商请求解除合同期间，本合同仍然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8.4中标人不按采购人采购的品种、规格、数量（物资采购计划量允许误差5%）供应物资，中标人应按合同价赔偿采购人所购物资（本批次未供应部分）价值的3倍。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因中标人弄虚作假，以次充好，中标人应按合同价赔偿采购人损失物资（本批次不合格部分）价值的3倍，因中标人提供质量不达标或受污染产品，造成采购人食物中毒、人身伤亡及财产损失的，由中标人承担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8.6中标人提供的物资合格证明材料（物资检疫检测报告、物资品种化验单、产品合格证）与本批次物资不符时，采购人应拒收，因此造成受教育人员没有物资食用，按本批物资量合同价值的3倍给予处罚。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8.7因不可预见的原因造成采购人在食用环节物资损失，根据损失程度，中标人应按合同价赔偿采购人损失物资（本批次损失物资量）价值的1-3倍。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8.8中标人不得以任何名义和理由转包他人，若发现转包，采购人有权单方终止合同，视为中标人违约，没收履约保证金。如履约保证金不能弥补中标人违约对采购人造成的损失的，中标人还需另行支付相应的赔偿。</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8.9除上述违约条款外，中标人未履行招标文件、投标文件、合同有关规定的其他事项或服务要求的、每发现一次，需向采购人支付违约金1000元。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Style w:val="16"/>
          <w:rFonts w:hint="eastAsia" w:ascii="宋体" w:hAnsi="宋体" w:eastAsia="宋体" w:cs="宋体"/>
          <w:i w:val="0"/>
          <w:iCs w:val="0"/>
          <w:caps w:val="0"/>
          <w:color w:val="auto"/>
          <w:spacing w:val="0"/>
          <w:sz w:val="24"/>
          <w:szCs w:val="24"/>
          <w:highlight w:val="none"/>
          <w:shd w:val="clear" w:fill="FFFFFF"/>
        </w:rPr>
      </w:pPr>
      <w:r>
        <w:rPr>
          <w:rStyle w:val="16"/>
          <w:rFonts w:hint="eastAsia" w:ascii="宋体" w:hAnsi="宋体" w:eastAsia="宋体" w:cs="宋体"/>
          <w:b w:val="0"/>
          <w:bCs/>
          <w:i w:val="0"/>
          <w:iCs w:val="0"/>
          <w:caps w:val="0"/>
          <w:color w:val="auto"/>
          <w:spacing w:val="0"/>
          <w:sz w:val="24"/>
          <w:szCs w:val="24"/>
          <w:highlight w:val="none"/>
          <w:shd w:val="clear" w:fill="FFFFFF"/>
          <w:lang w:val="en-US" w:eastAsia="zh-CN"/>
        </w:rPr>
        <w:t>8.10</w:t>
      </w:r>
      <w:r>
        <w:rPr>
          <w:rStyle w:val="16"/>
          <w:rFonts w:hint="eastAsia" w:ascii="宋体" w:hAnsi="宋体" w:eastAsia="宋体" w:cs="宋体"/>
          <w:b w:val="0"/>
          <w:bCs/>
          <w:i w:val="0"/>
          <w:iCs w:val="0"/>
          <w:caps w:val="0"/>
          <w:color w:val="auto"/>
          <w:spacing w:val="0"/>
          <w:sz w:val="24"/>
          <w:szCs w:val="24"/>
          <w:highlight w:val="none"/>
          <w:shd w:val="clear" w:fill="FFFFFF"/>
        </w:rPr>
        <w:t>在明确违约责任后，中标人应在接到书面通知书起七天内支付违约金、赔偿金等。</w:t>
      </w:r>
      <w:r>
        <w:rPr>
          <w:rStyle w:val="16"/>
          <w:rFonts w:hint="eastAsia" w:ascii="宋体" w:hAnsi="宋体" w:eastAsia="宋体" w:cs="宋体"/>
          <w:i w:val="0"/>
          <w:iCs w:val="0"/>
          <w:caps w:val="0"/>
          <w:color w:val="auto"/>
          <w:spacing w:val="0"/>
          <w:sz w:val="24"/>
          <w:szCs w:val="24"/>
          <w:highlight w:val="none"/>
          <w:shd w:val="clear" w:fill="FFFFFF"/>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Style w:val="16"/>
          <w:rFonts w:hint="default" w:ascii="宋体" w:hAnsi="宋体" w:eastAsia="宋体" w:cs="宋体"/>
          <w:i w:val="0"/>
          <w:iCs w:val="0"/>
          <w:caps w:val="0"/>
          <w:color w:val="auto"/>
          <w:spacing w:val="0"/>
          <w:sz w:val="24"/>
          <w:szCs w:val="24"/>
          <w:highlight w:val="none"/>
          <w:shd w:val="clear" w:fill="FFFFFF"/>
          <w:lang w:val="en-US" w:eastAsia="zh-CN"/>
        </w:rPr>
      </w:pPr>
      <w:r>
        <w:rPr>
          <w:rStyle w:val="16"/>
          <w:rFonts w:hint="eastAsia" w:ascii="宋体" w:hAnsi="宋体" w:eastAsia="宋体" w:cs="宋体"/>
          <w:i w:val="0"/>
          <w:iCs w:val="0"/>
          <w:caps w:val="0"/>
          <w:color w:val="auto"/>
          <w:spacing w:val="0"/>
          <w:sz w:val="24"/>
          <w:szCs w:val="24"/>
          <w:highlight w:val="none"/>
          <w:shd w:val="clear" w:fill="FFFFFF"/>
        </w:rPr>
        <w:t>★9、</w:t>
      </w:r>
      <w:r>
        <w:rPr>
          <w:rStyle w:val="16"/>
          <w:rFonts w:hint="eastAsia" w:ascii="宋体" w:hAnsi="宋体" w:eastAsia="宋体" w:cs="宋体"/>
          <w:i w:val="0"/>
          <w:iCs w:val="0"/>
          <w:caps w:val="0"/>
          <w:color w:val="auto"/>
          <w:spacing w:val="0"/>
          <w:sz w:val="24"/>
          <w:szCs w:val="24"/>
          <w:highlight w:val="none"/>
          <w:shd w:val="clear" w:fill="FFFFFF"/>
          <w:lang w:val="en-US" w:eastAsia="zh-CN"/>
        </w:rPr>
        <w:t>其他要求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lang w:eastAsia="zh-CN"/>
        </w:rPr>
      </w:pPr>
      <w:r>
        <w:rPr>
          <w:rStyle w:val="16"/>
          <w:rFonts w:hint="eastAsia" w:ascii="宋体" w:hAnsi="宋体" w:eastAsia="宋体" w:cs="宋体"/>
          <w:i w:val="0"/>
          <w:iCs w:val="0"/>
          <w:caps w:val="0"/>
          <w:color w:val="auto"/>
          <w:spacing w:val="0"/>
          <w:sz w:val="24"/>
          <w:szCs w:val="24"/>
          <w:highlight w:val="none"/>
          <w:shd w:val="clear" w:fill="FFFFFF"/>
          <w:lang w:val="en-US" w:eastAsia="zh-CN"/>
        </w:rPr>
        <w:t>9.1</w:t>
      </w:r>
      <w:r>
        <w:rPr>
          <w:rStyle w:val="16"/>
          <w:rFonts w:hint="eastAsia" w:ascii="宋体" w:hAnsi="宋体" w:eastAsia="宋体" w:cs="宋体"/>
          <w:i w:val="0"/>
          <w:iCs w:val="0"/>
          <w:caps w:val="0"/>
          <w:color w:val="auto"/>
          <w:spacing w:val="0"/>
          <w:sz w:val="24"/>
          <w:szCs w:val="24"/>
          <w:highlight w:val="none"/>
          <w:shd w:val="clear" w:fill="FFFFFF"/>
        </w:rPr>
        <w:t>根据财政部《关于运用政府采购政策支持乡村产业振兴的通知》（财库〔2021〕19号）和福建省财政厅《关于深入开展政府采购脱贫地区农副产品工作推进乡村产业振兴的实施意见》（闽财购〔2021〕3号）要求，</w:t>
      </w:r>
      <w:r>
        <w:rPr>
          <w:rStyle w:val="16"/>
          <w:rFonts w:hint="eastAsia" w:ascii="宋体" w:hAnsi="宋体" w:eastAsia="宋体" w:cs="宋体"/>
          <w:i w:val="0"/>
          <w:iCs w:val="0"/>
          <w:caps w:val="0"/>
          <w:color w:val="auto"/>
          <w:spacing w:val="0"/>
          <w:sz w:val="24"/>
          <w:szCs w:val="24"/>
          <w:highlight w:val="none"/>
          <w:shd w:val="clear" w:fill="FFFFFF"/>
          <w:lang w:eastAsia="zh-CN"/>
        </w:rPr>
        <w:t>‘</w:t>
      </w:r>
      <w:r>
        <w:rPr>
          <w:rStyle w:val="16"/>
          <w:rFonts w:hint="eastAsia" w:ascii="宋体" w:hAnsi="宋体" w:eastAsia="宋体" w:cs="宋体"/>
          <w:i w:val="0"/>
          <w:iCs w:val="0"/>
          <w:caps w:val="0"/>
          <w:color w:val="auto"/>
          <w:spacing w:val="0"/>
          <w:sz w:val="24"/>
          <w:szCs w:val="24"/>
          <w:highlight w:val="none"/>
          <w:shd w:val="clear" w:fill="FFFFFF"/>
        </w:rPr>
        <w:t>自2021年起，各级预算单位应当按照不低于15%的比例预留年度食堂食材采购份额，通过脱贫地区农副产品网络销售平台（原贫困地区农副产品网络销售平台）采购脱贫地区农副产品</w:t>
      </w:r>
      <w:r>
        <w:rPr>
          <w:rStyle w:val="16"/>
          <w:rFonts w:hint="eastAsia" w:ascii="宋体" w:hAnsi="宋体" w:eastAsia="宋体" w:cs="宋体"/>
          <w:i w:val="0"/>
          <w:iCs w:val="0"/>
          <w:caps w:val="0"/>
          <w:color w:val="auto"/>
          <w:spacing w:val="0"/>
          <w:sz w:val="24"/>
          <w:szCs w:val="24"/>
          <w:highlight w:val="none"/>
          <w:shd w:val="clear" w:fill="FFFFFF"/>
          <w:lang w:eastAsia="zh-CN"/>
        </w:rPr>
        <w:t>’</w:t>
      </w:r>
      <w:r>
        <w:rPr>
          <w:rStyle w:val="16"/>
          <w:rFonts w:hint="eastAsia" w:ascii="宋体" w:hAnsi="宋体" w:eastAsia="宋体" w:cs="宋体"/>
          <w:i w:val="0"/>
          <w:iCs w:val="0"/>
          <w:caps w:val="0"/>
          <w:color w:val="auto"/>
          <w:spacing w:val="0"/>
          <w:sz w:val="24"/>
          <w:szCs w:val="24"/>
          <w:highlight w:val="none"/>
          <w:shd w:val="clear" w:fill="FFFFFF"/>
        </w:rPr>
        <w:t>，因此，中标人须无条件配合采购人落实该政策执行，中标人在脱贫地区农副产品网络销售平台上下单采购的商品，按平台下单价据实结算，不再按下浮率进行结算。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rPr>
      </w:pPr>
      <w:r>
        <w:rPr>
          <w:rStyle w:val="16"/>
          <w:rFonts w:hint="eastAsia" w:ascii="宋体" w:hAnsi="宋体" w:eastAsia="宋体" w:cs="宋体"/>
          <w:i w:val="0"/>
          <w:iCs w:val="0"/>
          <w:caps w:val="0"/>
          <w:color w:val="auto"/>
          <w:spacing w:val="0"/>
          <w:sz w:val="24"/>
          <w:szCs w:val="24"/>
          <w:highlight w:val="none"/>
          <w:shd w:val="clear" w:fill="FFFFFF"/>
          <w:lang w:val="en-US" w:eastAsia="zh-CN"/>
        </w:rPr>
        <w:t>9.2</w:t>
      </w:r>
      <w:r>
        <w:rPr>
          <w:rStyle w:val="16"/>
          <w:rFonts w:hint="eastAsia" w:ascii="宋体" w:hAnsi="宋体" w:eastAsia="宋体" w:cs="宋体"/>
          <w:i w:val="0"/>
          <w:iCs w:val="0"/>
          <w:caps w:val="0"/>
          <w:color w:val="auto"/>
          <w:spacing w:val="0"/>
          <w:sz w:val="24"/>
          <w:szCs w:val="24"/>
          <w:highlight w:val="none"/>
          <w:shd w:val="clear" w:fill="FFFFFF"/>
        </w:rPr>
        <w:t>中标人及其送货人员必须遵守国家法律及采购人有关管理制度，送货人员要相对固定，进入监狱管理区应主动出示相关证件、健康情况证明，并服从门卫的检查和调度。</w:t>
      </w:r>
      <w:r>
        <w:rPr>
          <w:rStyle w:val="16"/>
          <w:rFonts w:hint="eastAsia" w:ascii="宋体" w:hAnsi="宋体" w:eastAsia="宋体" w:cs="宋体"/>
          <w:i w:val="0"/>
          <w:iCs w:val="0"/>
          <w:caps w:val="0"/>
          <w:color w:val="auto"/>
          <w:spacing w:val="0"/>
          <w:sz w:val="24"/>
          <w:szCs w:val="24"/>
          <w:highlight w:val="none"/>
          <w:shd w:val="clear" w:fill="FFFFFF"/>
          <w:lang w:val="en-US" w:eastAsia="zh-CN"/>
        </w:rPr>
        <w:t>中标</w:t>
      </w:r>
      <w:r>
        <w:rPr>
          <w:rStyle w:val="16"/>
          <w:rFonts w:hint="eastAsia" w:ascii="宋体" w:hAnsi="宋体" w:eastAsia="宋体" w:cs="宋体"/>
          <w:i w:val="0"/>
          <w:iCs w:val="0"/>
          <w:caps w:val="0"/>
          <w:color w:val="auto"/>
          <w:spacing w:val="0"/>
          <w:sz w:val="24"/>
          <w:szCs w:val="24"/>
          <w:highlight w:val="none"/>
          <w:shd w:val="clear" w:fill="FFFFFF"/>
        </w:rPr>
        <w:t>人应按采购人要求对所货人员定岗定人，提供身体健康证明及无犯罪记录，所配编制应增加1名以上临时送货人员并制定临时人员保障方案。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auto"/>
          <w:sz w:val="24"/>
          <w:szCs w:val="24"/>
          <w:highlight w:val="none"/>
        </w:rPr>
      </w:pPr>
      <w:r>
        <w:rPr>
          <w:rStyle w:val="16"/>
          <w:rFonts w:hint="eastAsia" w:ascii="宋体" w:hAnsi="宋体" w:eastAsia="宋体" w:cs="宋体"/>
          <w:i w:val="0"/>
          <w:iCs w:val="0"/>
          <w:caps w:val="0"/>
          <w:color w:val="auto"/>
          <w:spacing w:val="0"/>
          <w:sz w:val="24"/>
          <w:szCs w:val="24"/>
          <w:highlight w:val="none"/>
          <w:shd w:val="clear" w:fill="FFFFFF"/>
          <w:lang w:val="en-US" w:eastAsia="zh-CN"/>
        </w:rPr>
        <w:t>9.3</w:t>
      </w:r>
      <w:r>
        <w:rPr>
          <w:rStyle w:val="16"/>
          <w:rFonts w:hint="eastAsia" w:ascii="宋体" w:hAnsi="宋体" w:eastAsia="宋体" w:cs="宋体"/>
          <w:i w:val="0"/>
          <w:iCs w:val="0"/>
          <w:caps w:val="0"/>
          <w:color w:val="auto"/>
          <w:spacing w:val="0"/>
          <w:sz w:val="24"/>
          <w:szCs w:val="24"/>
          <w:highlight w:val="none"/>
          <w:shd w:val="clear" w:fill="FFFFFF"/>
        </w:rPr>
        <w:t>中标人进入监狱管理区的运输车辆，应按采购人要求报备专属配送保障车辆，必须提供专属保障车辆信息材料并形成配送运输方案，遵守监狱的有关安全管理、防疫管理制度。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Style w:val="16"/>
          <w:rFonts w:hint="eastAsia" w:ascii="宋体" w:hAnsi="宋体" w:eastAsia="宋体" w:cs="宋体"/>
          <w:i w:val="0"/>
          <w:iCs w:val="0"/>
          <w:caps w:val="0"/>
          <w:color w:val="auto"/>
          <w:spacing w:val="0"/>
          <w:sz w:val="24"/>
          <w:szCs w:val="24"/>
          <w:highlight w:val="none"/>
          <w:shd w:val="clear" w:fill="FFFFFF"/>
        </w:rPr>
        <w:t>★</w:t>
      </w:r>
      <w:r>
        <w:rPr>
          <w:rStyle w:val="16"/>
          <w:rFonts w:hint="eastAsia" w:ascii="宋体" w:hAnsi="宋体" w:eastAsia="宋体" w:cs="宋体"/>
          <w:i w:val="0"/>
          <w:iCs w:val="0"/>
          <w:caps w:val="0"/>
          <w:color w:val="auto"/>
          <w:spacing w:val="0"/>
          <w:sz w:val="24"/>
          <w:szCs w:val="24"/>
          <w:highlight w:val="none"/>
          <w:shd w:val="clear" w:fill="FFFFFF"/>
          <w:lang w:val="en-US" w:eastAsia="zh-CN"/>
        </w:rPr>
        <w:t>10</w:t>
      </w:r>
      <w:r>
        <w:rPr>
          <w:rStyle w:val="16"/>
          <w:rFonts w:hint="eastAsia" w:ascii="宋体" w:hAnsi="宋体" w:eastAsia="宋体" w:cs="宋体"/>
          <w:i w:val="0"/>
          <w:iCs w:val="0"/>
          <w:caps w:val="0"/>
          <w:color w:val="auto"/>
          <w:spacing w:val="0"/>
          <w:sz w:val="24"/>
          <w:szCs w:val="24"/>
          <w:highlight w:val="none"/>
          <w:shd w:val="clear" w:fill="FFFFFF"/>
        </w:rPr>
        <w:t>、仲裁、诉讼条款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采购或与采购合同有关的一切事项发生争议，由采购人和中标人双方友好协商解决。协商不成的，任何一方均可向合同履行地人民法院提起诉讼。若因中标人未履行本合同项下义务导致采购人所产生的一切损失（包括但不限于人身财产的损失、律师费、诉讼费、保全费、鉴定费等），均由中标人承担赔偿责任。 </w:t>
      </w:r>
    </w:p>
    <w:p>
      <w:pPr>
        <w:pStyle w:val="12"/>
        <w:widowControl/>
        <w:spacing w:beforeAutospacing="0" w:afterAutospacing="0" w:line="360" w:lineRule="auto"/>
        <w:ind w:firstLine="482" w:firstLineChars="200"/>
        <w:rPr>
          <w:rFonts w:ascii="宋体" w:hAnsi="宋体" w:cs="宋体"/>
          <w:color w:val="auto"/>
          <w:highlight w:val="none"/>
        </w:rPr>
      </w:pPr>
      <w:r>
        <w:rPr>
          <w:rStyle w:val="16"/>
          <w:rFonts w:hint="eastAsia" w:ascii="宋体" w:hAnsi="宋体" w:eastAsia="宋体" w:cs="宋体"/>
          <w:i w:val="0"/>
          <w:iCs w:val="0"/>
          <w:caps w:val="0"/>
          <w:color w:val="auto"/>
          <w:spacing w:val="0"/>
          <w:sz w:val="24"/>
          <w:szCs w:val="24"/>
          <w:highlight w:val="none"/>
          <w:shd w:val="clear" w:fill="FFFFFF"/>
        </w:rPr>
        <w:t>★</w:t>
      </w:r>
      <w:r>
        <w:rPr>
          <w:rStyle w:val="16"/>
          <w:rFonts w:hint="eastAsia" w:ascii="宋体" w:hAnsi="宋体" w:cs="宋体"/>
          <w:bCs/>
          <w:color w:val="auto"/>
          <w:highlight w:val="none"/>
          <w:lang w:val="en-US" w:eastAsia="zh-CN"/>
        </w:rPr>
        <w:t>11</w:t>
      </w:r>
      <w:r>
        <w:rPr>
          <w:rStyle w:val="16"/>
          <w:rFonts w:hint="eastAsia" w:ascii="宋体" w:hAnsi="宋体" w:cs="宋体"/>
          <w:bCs/>
          <w:color w:val="auto"/>
          <w:highlight w:val="none"/>
        </w:rPr>
        <w:t>、违约终止</w:t>
      </w:r>
    </w:p>
    <w:p>
      <w:pPr>
        <w:pStyle w:val="12"/>
        <w:widowControl/>
        <w:spacing w:beforeAutospacing="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.1在合同履行期间，若遇政府部门或上级单位出台有关该项目的政策调整，继续履行合同违反相关政策文件要求的，采购人须提前30日通知中标人终止合同，因此造成的合同解除采购人不承担违约责任。</w:t>
      </w:r>
    </w:p>
    <w:p>
      <w:pPr>
        <w:pStyle w:val="12"/>
        <w:widowControl/>
        <w:spacing w:beforeAutospacing="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12"/>
        <w:widowControl/>
        <w:spacing w:beforeAutospacing="0" w:afterAutospacing="0"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（1）如果中标人未能在协议约定的期限内或采购人准许的任何延期内进行服务。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Style w:val="16"/>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color w:val="auto"/>
          <w:highlight w:val="none"/>
        </w:rPr>
        <w:t>（2）中标人未能履行协议项下的任何其它义务。</w:t>
      </w:r>
    </w:p>
    <w:p>
      <w:pPr>
        <w:pStyle w:val="12"/>
        <w:widowControl/>
        <w:spacing w:beforeAutospacing="0" w:afterAutospacing="0" w:line="360" w:lineRule="auto"/>
        <w:ind w:firstLine="482" w:firstLineChars="200"/>
        <w:rPr>
          <w:rFonts w:ascii="宋体" w:hAnsi="宋体" w:cs="宋体"/>
          <w:color w:val="auto"/>
          <w:highlight w:val="none"/>
        </w:rPr>
      </w:pPr>
      <w:r>
        <w:rPr>
          <w:rStyle w:val="16"/>
          <w:rFonts w:hint="eastAsia" w:ascii="宋体" w:hAnsi="宋体" w:eastAsia="宋体" w:cs="宋体"/>
          <w:i w:val="0"/>
          <w:iCs w:val="0"/>
          <w:caps w:val="0"/>
          <w:color w:val="auto"/>
          <w:spacing w:val="0"/>
          <w:sz w:val="24"/>
          <w:szCs w:val="24"/>
          <w:highlight w:val="none"/>
          <w:shd w:val="clear" w:fill="FFFFFF"/>
        </w:rPr>
        <w:t>★</w:t>
      </w:r>
      <w:r>
        <w:rPr>
          <w:rStyle w:val="16"/>
          <w:rFonts w:hint="eastAsia" w:ascii="宋体" w:hAnsi="宋体" w:cs="宋体"/>
          <w:bCs/>
          <w:color w:val="auto"/>
          <w:highlight w:val="none"/>
          <w:lang w:val="en-US" w:eastAsia="zh-CN"/>
        </w:rPr>
        <w:t>12</w:t>
      </w:r>
      <w:r>
        <w:rPr>
          <w:rStyle w:val="16"/>
          <w:rFonts w:hint="eastAsia" w:ascii="宋体" w:hAnsi="宋体" w:cs="宋体"/>
          <w:bCs/>
          <w:color w:val="auto"/>
          <w:highlight w:val="none"/>
        </w:rPr>
        <w:t>、不可抗力</w:t>
      </w:r>
    </w:p>
    <w:p>
      <w:pPr>
        <w:pStyle w:val="12"/>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2"/>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.2本合同中的不可抗力指不能预见、不能避免并不能克服的客观情况。包括但不限于：自然灾害如地震、台风、洪水、火灾；政府行为、法律规定或其适用的变化或者其他任何无法预见、避免或者控制的事件。</w:t>
      </w:r>
    </w:p>
    <w:p>
      <w:pPr>
        <w:pStyle w:val="12"/>
        <w:widowControl/>
        <w:spacing w:beforeAutospacing="0" w:afterAutospacing="0" w:line="360" w:lineRule="auto"/>
        <w:ind w:firstLine="482" w:firstLineChars="200"/>
        <w:rPr>
          <w:rFonts w:ascii="宋体" w:hAnsi="宋体" w:cs="宋体"/>
          <w:color w:val="auto"/>
          <w:highlight w:val="none"/>
        </w:rPr>
      </w:pPr>
      <w:r>
        <w:rPr>
          <w:rStyle w:val="16"/>
          <w:rFonts w:hint="eastAsia" w:ascii="宋体" w:hAnsi="宋体" w:eastAsia="宋体" w:cs="宋体"/>
          <w:i w:val="0"/>
          <w:iCs w:val="0"/>
          <w:caps w:val="0"/>
          <w:color w:val="auto"/>
          <w:spacing w:val="0"/>
          <w:sz w:val="24"/>
          <w:szCs w:val="24"/>
          <w:highlight w:val="none"/>
          <w:shd w:val="clear" w:fill="FFFFFF"/>
        </w:rPr>
        <w:t>★</w:t>
      </w:r>
      <w:r>
        <w:rPr>
          <w:rStyle w:val="16"/>
          <w:rFonts w:hint="eastAsia" w:ascii="宋体" w:hAnsi="宋体" w:cs="宋体"/>
          <w:bCs/>
          <w:color w:val="auto"/>
          <w:highlight w:val="none"/>
          <w:lang w:val="en-US" w:eastAsia="zh-CN"/>
        </w:rPr>
        <w:t>13</w:t>
      </w:r>
      <w:r>
        <w:rPr>
          <w:rStyle w:val="16"/>
          <w:rFonts w:hint="eastAsia" w:ascii="宋体" w:hAnsi="宋体" w:cs="宋体"/>
          <w:bCs/>
          <w:color w:val="auto"/>
          <w:highlight w:val="none"/>
        </w:rPr>
        <w:t>、</w:t>
      </w:r>
      <w:r>
        <w:rPr>
          <w:rFonts w:hint="eastAsia" w:ascii="宋体" w:hAnsi="宋体" w:cs="宋体"/>
          <w:b/>
          <w:color w:val="auto"/>
          <w:highlight w:val="none"/>
        </w:rPr>
        <w:t>专利</w:t>
      </w:r>
      <w:r>
        <w:rPr>
          <w:rStyle w:val="16"/>
          <w:rFonts w:hint="eastAsia" w:ascii="宋体" w:hAnsi="宋体" w:cs="宋体"/>
          <w:color w:val="auto"/>
          <w:highlight w:val="none"/>
        </w:rPr>
        <w:t>权</w:t>
      </w:r>
      <w:r>
        <w:rPr>
          <w:rStyle w:val="16"/>
          <w:rFonts w:hint="eastAsia" w:ascii="宋体" w:hAnsi="宋体" w:cs="宋体"/>
          <w:bCs/>
          <w:color w:val="auto"/>
          <w:highlight w:val="none"/>
        </w:rPr>
        <w:t>及知识产权</w:t>
      </w:r>
    </w:p>
    <w:p>
      <w:pPr>
        <w:pStyle w:val="12"/>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sz w:val="24"/>
          <w:szCs w:val="24"/>
          <w:highlight w:val="none"/>
        </w:rPr>
      </w:pPr>
      <w:r>
        <w:rPr>
          <w:rStyle w:val="16"/>
          <w:rFonts w:hint="eastAsia" w:ascii="宋体" w:hAnsi="宋体" w:eastAsia="宋体" w:cs="宋体"/>
          <w:i w:val="0"/>
          <w:iCs w:val="0"/>
          <w:caps w:val="0"/>
          <w:color w:val="auto"/>
          <w:spacing w:val="0"/>
          <w:sz w:val="24"/>
          <w:szCs w:val="24"/>
          <w:highlight w:val="none"/>
          <w:shd w:val="clear" w:fill="FFFFFF"/>
        </w:rPr>
        <w:t>★14、保密条款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人要认真遵守国家保密法律、法规和规章制度，履行保密义务；中标人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中标人及其工作人员将承担相应法律后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1、除招标文件另有规定外，若出现有关法律、法规和规章有强制性规定但招标文件未列明的情形，则投标人应按照有关法律、法规和规章强制性规定执行。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2、其他：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第六章 政府采购合同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参考文本</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合同编号：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highlight w:val="none"/>
        </w:rPr>
      </w:pPr>
      <w:r>
        <w:rPr>
          <w:rFonts w:hint="eastAsia" w:ascii="宋体" w:hAnsi="宋体" w:eastAsia="宋体" w:cs="宋体"/>
          <w:b/>
          <w:bCs/>
          <w:i w:val="0"/>
          <w:iCs w:val="0"/>
          <w:caps w:val="0"/>
          <w:color w:val="auto"/>
          <w:spacing w:val="0"/>
          <w:sz w:val="36"/>
          <w:szCs w:val="36"/>
          <w:highlight w:val="none"/>
          <w:shd w:val="clear" w:fill="FFFFFF"/>
        </w:rPr>
        <w:t>福建省政府采购合同（服务类）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24"/>
          <w:szCs w:val="24"/>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1.签订合同应遵守《中华人民共和国政府采购法》及其实施条例、《中华人民共和国民法典》等法律法规及其他有关规定。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3.政府有关主管部门对若干合同有规范文本的，可使用相应合同文本。</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4.本合同范本仅供参考，采购人应当根据采购项目的实际需求对合同条款进行修改、补充。</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电子邮箱：________________</w:t>
      </w:r>
    </w:p>
    <w:p>
      <w:pPr>
        <w:keepNext w:val="0"/>
        <w:keepLines w:val="0"/>
        <w:widowControl/>
        <w:suppressLineNumbers w:val="0"/>
        <w:spacing w:before="0" w:beforeAutospacing="0" w:after="0" w:afterAutospacing="0"/>
        <w:ind w:left="0" w:right="0"/>
        <w:jc w:val="left"/>
        <w:rPr>
          <w:color w:val="auto"/>
          <w:highlight w:val="none"/>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 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住所地： 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联系电话：______________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传真：________________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电子邮箱：________________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根据项目编号为___________ 的 __________项目（以下简称：“本项目”）的采购结果，遵循平等、自愿、公平和诚实信用的原则，双方签署本合同，具体内容如下：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一、合同组成部分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1.1本合同条款及附件；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1.2采购文件及其附件、补充文件；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1.3乙方的响应文件及其附件、补充文件；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1.4其他文件或材料：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二、合同标的</w:t>
      </w:r>
    </w:p>
    <w:p>
      <w:pPr>
        <w:keepNext w:val="0"/>
        <w:keepLines w:val="0"/>
        <w:widowControl/>
        <w:suppressLineNumbers w:val="0"/>
        <w:spacing w:before="0" w:beforeAutospacing="0" w:after="0" w:afterAutospacing="0"/>
        <w:ind w:left="0" w:right="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三、价格形式及合同价款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3.1价格形式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固定单价合同。完成约定服务事项的含税合同单价为：人民币（大写）元（￥ _____________元）。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固定总价合同。完成约定服务事项的含税服务费用为：人民币（大写）元（￥_____________ 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其他方式。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3.2合同价款包含范围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3.3其他需说明的事项：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四、合同标的及服务范围、地点和时间</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4.1项目名称： 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4.2服务范围：_____________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4.3服务地点：_____________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4.4服务完成时间：_____________</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五、服务内容、质量标准和要求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5.1服务工作量的计量方式：_____________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5.2服务内容：_____________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5.3技术保障、服务人员组成、所涉及的货物的质量标准：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（1）服务技术保障：_____________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（2）服务人员组成：_____________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（3）服务设备及物资投入及质量标准：_____________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5.4服务质量标准及要求：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5.4.3其他要求：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六、服务履约验收或考核</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七、甲方的权利与义务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7.1甲方委派___________为联系人，联系方式 ___________，负责与乙方联系。如甲方联系人发生变更，甲方应书面告知乙方。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7.2甲方应为乙方开展服务工作提供必要的工作条件，以及对内对外沟通和配合协助。</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7.3甲方应于___________之前提供服务所需的全部资料，并对所提供材料真实性、完整性、合法性负责。</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7.5甲方应按本合同约定及时足额支付服务费用及相关费用。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7.6其他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八、乙方的权利与义务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8.1乙方委派___________为联系人，联系方式 ___________，负责与甲方联系。如乙方联系人发生变更，乙方应书面告知甲方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8.2乙方应国家法律法规和{{乙方的权利与义务-响应要求-福建}}等要求开展{{乙方的权利与义务-开展服务-福建}}服务；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8.3乙方及其所委派服务人员应按标准或协议约定方式出具服务成果，对并其真实性和合法性负法律责任；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8.5乙方对服务业务应当单独建档，保存完整的工作记录，并对服务过程使用和暂存甲方的文件、材料和财物应当妥善保管。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8.6服务工作结束后,乙方将根据情况对甲方服务相关的管理制度及其他事项等提出改进意见。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8.7其他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九、资金支付方式、时间和条件</w:t>
      </w:r>
    </w:p>
    <w:p>
      <w:pPr>
        <w:keepNext w:val="0"/>
        <w:keepLines w:val="0"/>
        <w:widowControl/>
        <w:suppressLineNumbers w:val="0"/>
        <w:spacing w:before="0" w:beforeAutospacing="0" w:after="0" w:afterAutospacing="0"/>
        <w:ind w:left="0" w:right="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□有，□无。具体如下：（按照采购文件规定填写）。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10.1乙方向甲方缴纳人民币 / 元作为本合同的履约保证金。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10.2履约保证金缴纳形式：支票/汇票/电汇/保函等非现金形式。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10.3履约保证金合同履行完毕前有效，合同履行完毕后一次性结清退还。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十一、合同期限</w:t>
      </w:r>
    </w:p>
    <w:p>
      <w:pPr>
        <w:keepNext w:val="0"/>
        <w:keepLines w:val="0"/>
        <w:widowControl/>
        <w:suppressLineNumbers w:val="0"/>
        <w:spacing w:before="0" w:beforeAutospacing="0" w:after="0" w:afterAutospacing="0"/>
        <w:ind w:left="0" w:right="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十二、保密条款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12.1对于在采购和合同履行过程中所获悉的属于保密的内容，甲、乙双方均负有保密义务。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12.2其他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十三、违约责任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13.1甲方违约责任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（1）甲方无正当理由拒绝乙方提供合格服务的，甲方应向乙方偿付所拒收合同总价________的违约金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（2）甲方无故逾期验收和办理合同款项支付手续的,甲方应按逾期付款总额每日________向乙方支付违约金。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（3）其他违约情形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13.2乙方违约责任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（2）乙方所履行的服务不符合合同规定及《采购文件》规定标准的，甲方有权拒绝，乙方愿意整改但逾期履行的，按乙方逾期履行处理。乙方拒绝整改的，视为“乙方不按合同约定履约”</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（3）乙方不按合同约定履约的，甲方可以解除采购合同，并对乙方已缴纳的履约保证金作“不予退还”处理。同时，乙方须按以下约定向甲方支付违约金：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（4）其他违约情形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十四、不可抗力事件处理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十五、解决争议的方法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15.1甲、乙双方协商解决。</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15.2若协商解决不成，双方明确按以下第_种方式解决：</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1、提交仲裁委员会仲裁，具体如下：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2、向人民法院提起诉讼。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十六、合同其他条款</w:t>
      </w:r>
    </w:p>
    <w:p>
      <w:pPr>
        <w:keepNext w:val="0"/>
        <w:keepLines w:val="0"/>
        <w:widowControl/>
        <w:suppressLineNumbers w:val="0"/>
        <w:spacing w:before="0" w:beforeAutospacing="0" w:after="0" w:afterAutospacing="0"/>
        <w:ind w:left="0" w:right="0"/>
        <w:jc w:val="left"/>
        <w:rPr>
          <w:color w:val="auto"/>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十七、其他约定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17.1合同文件与本合同具有同等法律效力。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17.3本合同未尽事宜，遵照《中华人民共和国民法典》有关条文执行。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17.4本合同正本一式_______份，具有同等法律效力，甲方、乙方各执_______份；副本_______份，_______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17.5本合同已用于政府采购合同融资，为本项目提供合同融资的金融机构为：_______，甲乙双方应当按照融资合同的约定进行资金使用及款项支付。</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中标（成交）供应商应于采购合同签订之日起_______内，向发放政采贷的金融机构提交政府采购中标（成交）通知书和政府采购合同，贷款金额以政府采购合同金额为限。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17.6其他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十八、合同附件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甲方（采购人）：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乙方（中标或成交人）：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法定（授权）代表人：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纳税人识别号：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开户银行：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账号：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签订地点：_____________</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签订日期：____年___月___日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39"/>
          <w:szCs w:val="39"/>
          <w:highlight w:val="none"/>
          <w:shd w:val="clear" w:fill="FFFFFF"/>
        </w:rPr>
      </w:pPr>
      <w:r>
        <w:rPr>
          <w:rFonts w:hint="eastAsia" w:ascii="宋体" w:hAnsi="宋体" w:eastAsia="宋体" w:cs="宋体"/>
          <w:b/>
          <w:bCs/>
          <w:i w:val="0"/>
          <w:iCs w:val="0"/>
          <w:caps w:val="0"/>
          <w:color w:val="auto"/>
          <w:spacing w:val="0"/>
          <w:sz w:val="39"/>
          <w:szCs w:val="39"/>
          <w:highlight w:val="none"/>
          <w:shd w:val="clear"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39"/>
          <w:szCs w:val="39"/>
          <w:highlight w:val="none"/>
        </w:rPr>
      </w:pPr>
      <w:r>
        <w:rPr>
          <w:rFonts w:hint="eastAsia" w:ascii="宋体" w:hAnsi="宋体" w:eastAsia="宋体" w:cs="宋体"/>
          <w:b/>
          <w:bCs/>
          <w:i w:val="0"/>
          <w:iCs w:val="0"/>
          <w:caps w:val="0"/>
          <w:color w:val="auto"/>
          <w:spacing w:val="0"/>
          <w:sz w:val="39"/>
          <w:szCs w:val="39"/>
          <w:highlight w:val="none"/>
          <w:shd w:val="clear" w:fill="FFFFFF"/>
        </w:rPr>
        <w:t>第七章 电子投标文件格式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封面格式(资格及资信证明部分)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（资格及资信证明部分）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一、投标函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1.1所投采购包的投标报价详见“开标一览表”及“投标分项报价表”。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2.8我方承诺电子投标文件所提供的全部资料真实可靠，并接受评标委员会、采购人、采购代理机构、监管部门进一步审查其中任何资料真实性的要求。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2.9除招标文件另有规定外，对于贵单位按照下述联络方式发出的任何信息</w:t>
      </w:r>
      <w:bookmarkStart w:id="0" w:name="_GoBack"/>
      <w:r>
        <w:rPr>
          <w:rFonts w:hint="eastAsia" w:ascii="宋体" w:hAnsi="宋体" w:eastAsia="宋体" w:cs="宋体"/>
          <w:color w:val="auto"/>
          <w:sz w:val="24"/>
          <w:szCs w:val="24"/>
          <w:highlight w:val="none"/>
        </w:rPr>
        <w:t>或通知，均视为我方已收悉前述信息或通知的全部内容：</w:t>
      </w:r>
    </w:p>
    <w:bookmarkEnd w:id="0"/>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w:t>
      </w:r>
      <w:r>
        <w:rPr>
          <w:rFonts w:hint="eastAsia" w:ascii="宋体" w:hAnsi="宋体" w:eastAsia="宋体" w:cs="宋体"/>
          <w:color w:val="auto"/>
          <w:sz w:val="24"/>
          <w:szCs w:val="24"/>
          <w:highlight w:val="none"/>
          <w:lang w:val="en-US" w:eastAsia="zh-CN"/>
        </w:rPr>
        <w:t>讯</w:t>
      </w:r>
      <w:r>
        <w:rPr>
          <w:rFonts w:hint="eastAsia" w:ascii="宋体" w:hAnsi="宋体" w:eastAsia="宋体" w:cs="宋体"/>
          <w:color w:val="auto"/>
          <w:sz w:val="24"/>
          <w:szCs w:val="24"/>
          <w:highlight w:val="none"/>
        </w:rPr>
        <w:t>地址：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二、投标人的资格及资信证明文件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二-1单位授权书（若有）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二-2营业执照等证明文件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二-3财务状况报告（财务报告、或资信证明）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二-4依法缴纳税收证明材料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二-5依法缴纳社会保障资金证明材料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二-6具备履行合同所必需设备和专业技术能力的声明函（若有）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二-7参加采购活动前三年内在经营活动中没有重大违法记录书面声明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二-8信用记录查询提示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二-9中小企业声明函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中小企业声明函（工程、服务）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残疾人福利性单位声明函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（以资格条件落实中小企业扶持政策时适用，若有）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二-10联合体协议（若有）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（填写“工作及义务的具体内容”）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全称</w:t>
      </w:r>
      <w:r>
        <w:rPr>
          <w:rFonts w:hint="eastAsia" w:ascii="宋体" w:hAnsi="宋体" w:eastAsia="宋体" w:cs="宋体"/>
          <w:color w:val="auto"/>
          <w:sz w:val="24"/>
          <w:szCs w:val="24"/>
          <w:highlight w:val="none"/>
        </w:rPr>
        <w:t>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（签字或盖章）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二-11分包意向协议（若有）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0"/>
        <w:gridCol w:w="4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二-12其他资格证明文件（若有）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二-12-①具备履行合同所必需设备和专业技术能力专项证明材料（若有）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现附上我方具备履行合同所必需的设备和专业技术能力的专项证明材料复印件（具体附后），上述证明材料真实有效，否则我方负全部责任。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1、招标文件要求投标人提供“具备履行合同所必需的设备和专业技术能力专项证明材料”的，投标人应按照招标文件规定在此项下提供相应证明材料复印件。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2、投标人提供的相应证明材料复印件均应符合：内容完整、清晰、整洁，并由投标人加盖其单位公章。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二-12-②招标文件规定的其他资格证明文件（若有）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三、投标保证金</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封面格式(报价部分)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（报价部分）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四、招标文件规定的加分证明材料（若有）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一、开标一览表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8"/>
        <w:gridCol w:w="2008"/>
        <w:gridCol w:w="1003"/>
        <w:gridCol w:w="4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284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840"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a.&gt;投标报价的明细：详见《投标分项报价表》。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9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p>
        </w:tc>
        <w:tc>
          <w:tcPr>
            <w:tcW w:w="5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2840"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1.1投标人应按照本表格式填写所投的采购包的“投标报价”。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1.2本表中列示的“采购包”应与《投标分项报价表》中列示的“采购包”保持一致，即：若本表中列示的“采购包”为“1”时，《投标分项报价表》中列示的“采购包”亦应为“1”，以此类推。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二、投标分项报价表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1068"/>
        <w:gridCol w:w="639"/>
        <w:gridCol w:w="854"/>
        <w:gridCol w:w="1495"/>
        <w:gridCol w:w="639"/>
        <w:gridCol w:w="1496"/>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1.4同一采购包中，“单价（现场）”×“数量”=“总价（现场）”，全部品目号“总价（现场）”的合计金额应与《开标一览表》中相应采购包列示的“投标总价”保持一致。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1.5若招标文件要求投标人对“备品备件价格、专用工具价格、技术服务费、安装调试费、检验培训费、运输费、保险费、税收”等进行报价的，请在本表的“备注”项下填写。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三、招标文件规定的价格扣除证明材料（若有）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三-1优先类节能产品、环境标志产品价格扣除证明材料（若有）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三-1-①优先类节能产品、环境标志产品统计表（价格扣除适用，若有）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5"/>
        <w:gridCol w:w="1034"/>
        <w:gridCol w:w="1265"/>
        <w:gridCol w:w="1784"/>
        <w:gridCol w:w="800"/>
        <w:gridCol w:w="178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64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60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74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46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7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4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6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7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0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6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74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5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464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a.采购包内属于节能、环境标志产品的报价总金额：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b.采购包投标总价（报价总金额）：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c.“采购包内属于节能、环境标志产品的报价总金额”占“采购包投标总价（报价总金额）”的比例（以%列示）：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1、对节能、环境标志产品计算价格扣除时，只依据电子投标文件“三-1-②优先类节能产品、环境标志产品证明材料（价格扣除适用，若有）”。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三-1-②优先类节能产品、环境标志产品证明材料（价格扣除适用，若有）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三-2小型、微型企业产品等价格扣除证明材料（若有）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三-2-①中小企业声明函（价格扣除适用，若有）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中小企业声明函（货物）</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三-2-②小型、微型企业等证明材料（价格扣除适用，若有）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残疾人福利性单位声明函（价格扣除适用，若有）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三-3招标文件规定的其他价格扣除证明材料（若有）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四、招标文件规定的加分证明材料（若有）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四-1优先类节能产品、环境标志产品加分证明材料（若有）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四-1-①优先类节能产品、环境标志产品统计表（加分适用，若有）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货币及单位：人民币元</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6"/>
        <w:gridCol w:w="976"/>
        <w:gridCol w:w="1220"/>
        <w:gridCol w:w="1709"/>
        <w:gridCol w:w="732"/>
        <w:gridCol w:w="1709"/>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428"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1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1、对节能、环境标志产品计算价格扣除时，只依据电子投标文件“四-1-②优先类节能产品、环境标志产品加分证明材料（加分适用，若有）”。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3.1若节能、环境标志产品仅是构成投标产品的部件、组件或零件，则该投标产品不享受鼓励优惠政策。同一品目中各认证证书不重复计算价格扣除。强制类节能产品不享受价格扣除。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3.3投标人应按照招标文件要求认真统计、计算，否则评标委员会不予认定。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3.4若无节能、环境标志产品，不填写本表，否则，视为提供虚假材料。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四-1-②优先类节能产品、环境标志产品证明材料（加分适用，若有）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四-2招标文件规定的其他加分证明材料（若有）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若投标人可享受招标文件规定的除“优先类节能产品、环境标志产品加分”外的其他加分优惠，则投标人应按照招标文件要求提供相应证明材料。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封面格式(技术商务部分)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78"/>
          <w:szCs w:val="78"/>
          <w:highlight w:val="none"/>
        </w:rPr>
      </w:pPr>
      <w:r>
        <w:rPr>
          <w:rFonts w:hint="eastAsia" w:ascii="宋体" w:hAnsi="宋体" w:eastAsia="宋体" w:cs="宋体"/>
          <w:b/>
          <w:bCs/>
          <w:color w:val="auto"/>
          <w:sz w:val="78"/>
          <w:szCs w:val="78"/>
          <w:highlight w:val="none"/>
        </w:rPr>
        <w:t>（技术商务部分）</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39"/>
          <w:szCs w:val="39"/>
          <w:highlight w:val="none"/>
        </w:rPr>
      </w:pPr>
      <w:r>
        <w:rPr>
          <w:rFonts w:hint="eastAsia" w:ascii="宋体" w:hAnsi="宋体" w:eastAsia="宋体" w:cs="宋体"/>
          <w:b/>
          <w:bCs/>
          <w:color w:val="auto"/>
          <w:sz w:val="39"/>
          <w:szCs w:val="39"/>
          <w:highlight w:val="none"/>
        </w:rPr>
        <w:t>（填写正本或副本）</w:t>
      </w:r>
    </w:p>
    <w:p>
      <w:pPr>
        <w:keepNext w:val="0"/>
        <w:keepLines w:val="0"/>
        <w:widowControl/>
        <w:suppressLineNumbers w:val="0"/>
        <w:spacing w:after="240" w:afterAutospacing="0"/>
        <w:jc w:val="left"/>
        <w:rPr>
          <w:color w:val="auto"/>
          <w:highlight w:val="none"/>
        </w:rPr>
      </w:pP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r>
        <w:rPr>
          <w:rFonts w:ascii="宋体" w:hAnsi="宋体" w:eastAsia="宋体" w:cs="宋体"/>
          <w:color w:val="auto"/>
          <w:kern w:val="0"/>
          <w:sz w:val="24"/>
          <w:szCs w:val="24"/>
          <w:highlight w:val="none"/>
          <w:lang w:val="en-US" w:eastAsia="zh-CN" w:bidi="ar"/>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（项目名称：（由投标人填写）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（备案编号：（由投标人填写）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（项目编号：（由投标人填写）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（所投采购包：（由投标人填写）</w:t>
      </w:r>
    </w:p>
    <w:p>
      <w:pPr>
        <w:keepNext w:val="0"/>
        <w:keepLines w:val="0"/>
        <w:widowControl/>
        <w:suppressLineNumbers w:val="0"/>
        <w:spacing w:after="240" w:afterAutospacing="0"/>
        <w:jc w:val="left"/>
        <w:rPr>
          <w:color w:val="auto"/>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投标人：（填写“全称”）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（由投标人填写）年（由投标人填写）月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索引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一、标的说明一览表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5"/>
        <w:gridCol w:w="1485"/>
        <w:gridCol w:w="1857"/>
        <w:gridCol w:w="1114"/>
        <w:gridCol w:w="1485"/>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0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二、技术和服务要求响应表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三、商务条件响应表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1643"/>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color w:val="auto"/>
                <w:sz w:val="24"/>
                <w:szCs w:val="24"/>
                <w:highlight w:val="none"/>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 </w:t>
      </w:r>
    </w:p>
    <w:p>
      <w:pPr>
        <w:rPr>
          <w:rFonts w:hint="eastAsia" w:ascii="宋体" w:hAnsi="宋体" w:eastAsia="宋体" w:cs="宋体"/>
          <w:b/>
          <w:bCs/>
          <w:i w:val="0"/>
          <w:iCs w:val="0"/>
          <w:caps w:val="0"/>
          <w:color w:val="auto"/>
          <w:spacing w:val="0"/>
          <w:sz w:val="27"/>
          <w:szCs w:val="27"/>
          <w:highlight w:val="none"/>
          <w:shd w:val="clear" w:fill="FFFFFF"/>
        </w:rPr>
      </w:pPr>
      <w:r>
        <w:rPr>
          <w:rFonts w:hint="eastAsia" w:ascii="宋体" w:hAnsi="宋体" w:eastAsia="宋体" w:cs="宋体"/>
          <w:b/>
          <w:bCs/>
          <w:i w:val="0"/>
          <w:iCs w:val="0"/>
          <w:caps w:val="0"/>
          <w:color w:val="auto"/>
          <w:spacing w:val="0"/>
          <w:sz w:val="27"/>
          <w:szCs w:val="27"/>
          <w:highlight w:val="none"/>
          <w:shd w:val="clear" w:fill="FFFFFF"/>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shd w:val="clear" w:fill="FFFFFF"/>
        </w:rPr>
        <w:t>四、投标人提交的其他资料（若有）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p>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NjQ0ZWZmN2U4NWYyMGNhZWRiNTU1MDBjOWRhYzgifQ=="/>
  </w:docVars>
  <w:rsids>
    <w:rsidRoot w:val="49116D64"/>
    <w:rsid w:val="014F6641"/>
    <w:rsid w:val="02652727"/>
    <w:rsid w:val="02BF15A4"/>
    <w:rsid w:val="02E870B2"/>
    <w:rsid w:val="04640655"/>
    <w:rsid w:val="056401E1"/>
    <w:rsid w:val="07E01DA1"/>
    <w:rsid w:val="09067F2D"/>
    <w:rsid w:val="0AE47DFA"/>
    <w:rsid w:val="0C090503"/>
    <w:rsid w:val="0C3E178C"/>
    <w:rsid w:val="0D215336"/>
    <w:rsid w:val="0DD556BB"/>
    <w:rsid w:val="0E93713F"/>
    <w:rsid w:val="1209283C"/>
    <w:rsid w:val="12165C31"/>
    <w:rsid w:val="170F4451"/>
    <w:rsid w:val="1BBE01F3"/>
    <w:rsid w:val="1BCA0860"/>
    <w:rsid w:val="1CBA49EE"/>
    <w:rsid w:val="1D9F5E03"/>
    <w:rsid w:val="1DD20D73"/>
    <w:rsid w:val="1DD269F4"/>
    <w:rsid w:val="1DFA7E83"/>
    <w:rsid w:val="20E57FD0"/>
    <w:rsid w:val="229E2B2D"/>
    <w:rsid w:val="23243032"/>
    <w:rsid w:val="249A0F36"/>
    <w:rsid w:val="26713510"/>
    <w:rsid w:val="2E362909"/>
    <w:rsid w:val="2E7679C3"/>
    <w:rsid w:val="2E9D1A1F"/>
    <w:rsid w:val="307F7AFA"/>
    <w:rsid w:val="314564AC"/>
    <w:rsid w:val="323B5CA2"/>
    <w:rsid w:val="33F151B2"/>
    <w:rsid w:val="340C4E7A"/>
    <w:rsid w:val="34AA5E1B"/>
    <w:rsid w:val="35E33ED3"/>
    <w:rsid w:val="374F0223"/>
    <w:rsid w:val="383D5141"/>
    <w:rsid w:val="38D224F7"/>
    <w:rsid w:val="39AE76A2"/>
    <w:rsid w:val="3A015A23"/>
    <w:rsid w:val="3BB52F69"/>
    <w:rsid w:val="3DBD3E0B"/>
    <w:rsid w:val="3DE96EF8"/>
    <w:rsid w:val="40324B88"/>
    <w:rsid w:val="42552DB0"/>
    <w:rsid w:val="425B7C9B"/>
    <w:rsid w:val="42A94EAA"/>
    <w:rsid w:val="42D55C9F"/>
    <w:rsid w:val="44B2731B"/>
    <w:rsid w:val="45F20916"/>
    <w:rsid w:val="49116D64"/>
    <w:rsid w:val="49DF2FAE"/>
    <w:rsid w:val="4C355901"/>
    <w:rsid w:val="4C455C43"/>
    <w:rsid w:val="4F195BA7"/>
    <w:rsid w:val="50F51123"/>
    <w:rsid w:val="52577F51"/>
    <w:rsid w:val="525941F7"/>
    <w:rsid w:val="53E2646E"/>
    <w:rsid w:val="54754BEC"/>
    <w:rsid w:val="57071C9D"/>
    <w:rsid w:val="57840C48"/>
    <w:rsid w:val="5814296E"/>
    <w:rsid w:val="59034EBC"/>
    <w:rsid w:val="5AC266B1"/>
    <w:rsid w:val="5B767BC7"/>
    <w:rsid w:val="5D3F048D"/>
    <w:rsid w:val="5D890FB1"/>
    <w:rsid w:val="60471B32"/>
    <w:rsid w:val="6075604D"/>
    <w:rsid w:val="619F22FA"/>
    <w:rsid w:val="630E7C68"/>
    <w:rsid w:val="651D270F"/>
    <w:rsid w:val="667C005C"/>
    <w:rsid w:val="66A7157D"/>
    <w:rsid w:val="66F94E82"/>
    <w:rsid w:val="685E5C6B"/>
    <w:rsid w:val="68C54CEF"/>
    <w:rsid w:val="69AD6F8D"/>
    <w:rsid w:val="69E70113"/>
    <w:rsid w:val="6A4F7117"/>
    <w:rsid w:val="6E0F7A08"/>
    <w:rsid w:val="702F7EED"/>
    <w:rsid w:val="70AE7531"/>
    <w:rsid w:val="718D348F"/>
    <w:rsid w:val="729C3F60"/>
    <w:rsid w:val="72D90141"/>
    <w:rsid w:val="73BD2884"/>
    <w:rsid w:val="750E70AC"/>
    <w:rsid w:val="75705A58"/>
    <w:rsid w:val="77B02B31"/>
    <w:rsid w:val="77BB7F74"/>
    <w:rsid w:val="78BD078C"/>
    <w:rsid w:val="793F725B"/>
    <w:rsid w:val="79872B48"/>
    <w:rsid w:val="7AD16771"/>
    <w:rsid w:val="7B811F45"/>
    <w:rsid w:val="7C0B7A60"/>
    <w:rsid w:val="7D9046C1"/>
    <w:rsid w:val="7E56046A"/>
    <w:rsid w:val="7EEF3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3"/>
    <w:qFormat/>
    <w:uiPriority w:val="0"/>
    <w:pPr>
      <w:spacing w:before="0" w:beforeAutospacing="1" w:after="0" w:afterAutospacing="1"/>
      <w:ind w:left="0" w:right="0"/>
      <w:jc w:val="left"/>
    </w:pPr>
    <w:rPr>
      <w:kern w:val="0"/>
      <w:sz w:val="24"/>
      <w:lang w:val="en-US" w:eastAsia="zh-CN" w:bidi="ar"/>
    </w:rPr>
  </w:style>
  <w:style w:type="paragraph" w:customStyle="1" w:styleId="13">
    <w:name w:val="样式 标题 3 + (中文) 黑体 小四 非加粗 段前: 7.8 磅 段后: 0 磅 行距: 固定值 20 磅"/>
    <w:basedOn w:val="6"/>
    <w:qFormat/>
    <w:uiPriority w:val="0"/>
    <w:pPr>
      <w:tabs>
        <w:tab w:val="left" w:pos="425"/>
      </w:tabs>
      <w:spacing w:line="400" w:lineRule="exact"/>
    </w:pPr>
    <w:rPr>
      <w:rFonts w:ascii="Times New Roman" w:hAnsi="Times New Roman" w:eastAsia="黑体" w:cs="宋体"/>
      <w:b w:val="0"/>
      <w:kern w:val="2"/>
      <w:sz w:val="24"/>
      <w:szCs w:val="20"/>
    </w:rPr>
  </w:style>
  <w:style w:type="character" w:styleId="16">
    <w:name w:val="Strong"/>
    <w:basedOn w:val="15"/>
    <w:qFormat/>
    <w:uiPriority w:val="0"/>
    <w:rPr>
      <w:b/>
    </w:rPr>
  </w:style>
  <w:style w:type="paragraph" w:customStyle="1" w:styleId="1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53465</Words>
  <Characters>55579</Characters>
  <Lines>0</Lines>
  <Paragraphs>0</Paragraphs>
  <TotalTime>10</TotalTime>
  <ScaleCrop>false</ScaleCrop>
  <LinksUpToDate>false</LinksUpToDate>
  <CharactersWithSpaces>56385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2023-07-07T04:53:00Z</dcterms:created>
  <dc:creator>FanShuZhen</dc:creator>
  <cp:lastModifiedBy>Lenovo</cp:lastModifiedBy>
  <dcterms:modified xsi:type="dcterms:W3CDTF">2025-06-24T01:45:17Z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1A774052D6E04F209FBE067B62F7B330_13</vt:lpwstr>
  </property>
</Properties>
</file>