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宋体" w:hAnsi="宋体" w:cs="宋体"/>
          <w:b/>
          <w:bCs/>
          <w:kern w:val="0"/>
          <w:sz w:val="48"/>
          <w:szCs w:val="48"/>
        </w:rPr>
      </w:pPr>
      <w:r>
        <w:rPr>
          <w:rFonts w:hint="eastAsia" w:ascii="宋体" w:hAnsi="宋体" w:cs="宋体"/>
          <w:b/>
          <w:bCs/>
          <w:kern w:val="0"/>
          <w:sz w:val="48"/>
          <w:szCs w:val="48"/>
        </w:rPr>
        <w:t>2021年福建省龙岩监狱周界和监舍疏通门监控及报警联动采购项目</w:t>
      </w:r>
    </w:p>
    <w:p>
      <w:pPr>
        <w:widowControl/>
        <w:spacing w:line="360" w:lineRule="atLeast"/>
        <w:jc w:val="center"/>
        <w:rPr>
          <w:rFonts w:ascii="宋体" w:hAnsi="宋体" w:cs="宋体"/>
          <w:b/>
          <w:bCs/>
          <w:kern w:val="0"/>
          <w:sz w:val="72"/>
        </w:rPr>
      </w:pPr>
    </w:p>
    <w:p>
      <w:pPr>
        <w:widowControl/>
        <w:spacing w:line="360" w:lineRule="atLeast"/>
        <w:jc w:val="center"/>
        <w:rPr>
          <w:rFonts w:ascii="宋体" w:hAnsi="宋体" w:cs="宋体"/>
          <w:kern w:val="0"/>
          <w:sz w:val="52"/>
          <w:szCs w:val="52"/>
        </w:rPr>
      </w:pPr>
      <w:r>
        <w:rPr>
          <w:rFonts w:hint="eastAsia" w:ascii="宋体" w:hAnsi="宋体" w:cs="宋体"/>
          <w:b/>
          <w:bCs/>
          <w:kern w:val="0"/>
          <w:sz w:val="52"/>
          <w:szCs w:val="52"/>
        </w:rPr>
        <w:t>网上竞价文件</w:t>
      </w:r>
    </w:p>
    <w:p>
      <w:pPr>
        <w:widowControl/>
        <w:spacing w:line="495" w:lineRule="atLeast"/>
        <w:jc w:val="center"/>
        <w:rPr>
          <w:rFonts w:ascii="宋体" w:hAnsi="宋体" w:cs="宋体"/>
          <w:b/>
          <w:bCs/>
          <w:kern w:val="0"/>
          <w:sz w:val="36"/>
        </w:rPr>
      </w:pPr>
      <w:r>
        <w:rPr>
          <w:rFonts w:hint="eastAsia" w:ascii="宋体" w:hAnsi="宋体" w:cs="宋体"/>
          <w:b/>
          <w:bCs/>
          <w:kern w:val="0"/>
          <w:sz w:val="36"/>
        </w:rPr>
        <w:t> </w:t>
      </w:r>
    </w:p>
    <w:p>
      <w:pPr>
        <w:widowControl/>
        <w:spacing w:line="495" w:lineRule="atLeast"/>
        <w:jc w:val="center"/>
        <w:rPr>
          <w:rFonts w:ascii="宋体" w:hAnsi="宋体" w:cs="宋体"/>
          <w:b/>
          <w:bCs/>
          <w:kern w:val="0"/>
          <w:sz w:val="36"/>
        </w:rPr>
      </w:pPr>
      <w:r>
        <w:rPr>
          <w:rFonts w:hint="eastAsia" w:ascii="宋体" w:hAnsi="宋体" w:cs="宋体"/>
          <w:b/>
          <w:bCs/>
          <w:kern w:val="0"/>
          <w:sz w:val="36"/>
        </w:rPr>
        <w:t>竞价编号：YSZB-LY-2021-02</w:t>
      </w:r>
    </w:p>
    <w:p>
      <w:pPr>
        <w:widowControl/>
        <w:spacing w:line="495" w:lineRule="atLeast"/>
        <w:jc w:val="center"/>
        <w:rPr>
          <w:rFonts w:ascii="宋体" w:hAnsi="宋体" w:cs="宋体"/>
          <w:b/>
          <w:bCs/>
          <w:kern w:val="0"/>
          <w:sz w:val="36"/>
        </w:rPr>
      </w:pPr>
    </w:p>
    <w:p>
      <w:pPr>
        <w:widowControl/>
        <w:spacing w:line="495" w:lineRule="atLeast"/>
        <w:jc w:val="center"/>
        <w:rPr>
          <w:rFonts w:ascii="宋体" w:hAnsi="宋体" w:cs="宋体"/>
          <w:b/>
          <w:bCs/>
          <w:kern w:val="0"/>
          <w:szCs w:val="21"/>
        </w:rPr>
      </w:pPr>
    </w:p>
    <w:p>
      <w:pPr>
        <w:widowControl/>
        <w:spacing w:line="495" w:lineRule="atLeast"/>
        <w:jc w:val="center"/>
        <w:rPr>
          <w:rFonts w:ascii="宋体" w:hAnsi="宋体" w:cs="宋体"/>
          <w:b/>
          <w:bCs/>
          <w:kern w:val="0"/>
          <w:sz w:val="36"/>
        </w:rPr>
      </w:pPr>
    </w:p>
    <w:p>
      <w:pPr>
        <w:widowControl/>
        <w:spacing w:line="495" w:lineRule="atLeast"/>
        <w:jc w:val="center"/>
        <w:rPr>
          <w:rFonts w:ascii="宋体" w:hAnsi="宋体" w:cs="宋体"/>
          <w:b/>
          <w:bCs/>
          <w:kern w:val="0"/>
          <w:sz w:val="36"/>
        </w:rPr>
      </w:pPr>
      <w:r>
        <w:rPr>
          <w:rFonts w:hint="eastAsia" w:ascii="宋体" w:hAnsi="宋体" w:cs="宋体"/>
          <w:b/>
          <w:bCs/>
          <w:kern w:val="0"/>
          <w:sz w:val="36"/>
        </w:rPr>
        <w:t>采购人：福建省龙岩监狱</w:t>
      </w:r>
      <w:bookmarkStart w:id="3" w:name="_GoBack"/>
      <w:bookmarkEnd w:id="3"/>
    </w:p>
    <w:p>
      <w:pPr>
        <w:widowControl/>
        <w:spacing w:line="495" w:lineRule="atLeast"/>
        <w:jc w:val="center"/>
        <w:rPr>
          <w:rFonts w:ascii="宋体" w:hAnsi="宋体" w:cs="宋体"/>
          <w:b/>
          <w:bCs/>
          <w:kern w:val="0"/>
          <w:sz w:val="36"/>
        </w:rPr>
      </w:pPr>
    </w:p>
    <w:p>
      <w:pPr>
        <w:widowControl/>
        <w:spacing w:line="495" w:lineRule="atLeast"/>
        <w:jc w:val="center"/>
        <w:rPr>
          <w:rFonts w:ascii="宋体" w:hAnsi="宋体" w:cs="宋体"/>
          <w:b/>
          <w:bCs/>
          <w:kern w:val="0"/>
          <w:sz w:val="36"/>
        </w:rPr>
      </w:pPr>
    </w:p>
    <w:p>
      <w:pPr>
        <w:widowControl/>
        <w:spacing w:line="495" w:lineRule="atLeast"/>
        <w:jc w:val="center"/>
        <w:rPr>
          <w:rFonts w:ascii="宋体" w:hAnsi="宋体" w:cs="宋体"/>
          <w:kern w:val="0"/>
          <w:szCs w:val="21"/>
        </w:rPr>
      </w:pPr>
      <w:r>
        <w:rPr>
          <w:rFonts w:hint="eastAsia" w:ascii="宋体" w:hAnsi="宋体" w:cs="宋体"/>
          <w:b/>
          <w:bCs/>
          <w:spacing w:val="-15"/>
          <w:kern w:val="0"/>
          <w:sz w:val="48"/>
        </w:rPr>
        <w:t>福建优胜招标项目管理集团有限公司</w:t>
      </w:r>
    </w:p>
    <w:p>
      <w:pPr>
        <w:widowControl/>
        <w:spacing w:line="495" w:lineRule="atLeast"/>
        <w:jc w:val="center"/>
        <w:rPr>
          <w:rFonts w:ascii="宋体" w:hAnsi="宋体" w:cs="宋体"/>
          <w:b/>
          <w:bCs/>
          <w:kern w:val="0"/>
          <w:sz w:val="36"/>
        </w:rPr>
      </w:pPr>
      <w:r>
        <w:rPr>
          <w:rFonts w:hint="eastAsia" w:ascii="宋体" w:hAnsi="宋体" w:cs="宋体"/>
          <w:b/>
          <w:bCs/>
          <w:kern w:val="0"/>
          <w:sz w:val="36"/>
        </w:rPr>
        <w:t>二0二一年十二月</w:t>
      </w:r>
    </w:p>
    <w:p>
      <w:pPr>
        <w:widowControl/>
        <w:spacing w:line="360" w:lineRule="auto"/>
        <w:jc w:val="left"/>
        <w:rPr>
          <w:rFonts w:ascii="宋体" w:hAnsi="宋体" w:cs="宋体"/>
          <w:kern w:val="0"/>
          <w:szCs w:val="21"/>
        </w:rPr>
      </w:pPr>
      <w:r>
        <w:rPr>
          <w:rFonts w:ascii="宋体" w:hAnsi="宋体" w:cs="宋体"/>
          <w:kern w:val="0"/>
          <w:szCs w:val="21"/>
        </w:rPr>
        <w:pict>
          <v:rect id="_x0000_i1025" o:spt="1" style="height:1.5pt;width:0.05pt;" fillcolor="#ACA899" filled="t" stroked="f" coordsize="21600,21600" o:hr="t" o:hrstd="t" o:hralign="center">
            <v:path/>
            <v:fill on="t" focussize="0,0"/>
            <v:stroke on="f"/>
            <v:imagedata o:title=""/>
            <o:lock v:ext="edit"/>
            <w10:wrap type="none"/>
            <w10:anchorlock/>
          </v:rect>
        </w:pict>
      </w:r>
    </w:p>
    <w:p>
      <w:pPr>
        <w:rPr>
          <w:rFonts w:ascii="宋体" w:hAnsi="宋体"/>
          <w:b/>
          <w:bCs/>
          <w:sz w:val="28"/>
          <w:szCs w:val="28"/>
        </w:rPr>
      </w:pPr>
      <w:r>
        <w:rPr>
          <w:rFonts w:hint="eastAsia" w:ascii="宋体" w:hAnsi="宋体"/>
          <w:b/>
          <w:bCs/>
          <w:sz w:val="28"/>
          <w:szCs w:val="28"/>
        </w:rPr>
        <w:t>地址: 龙岩市新罗区龙岩大道383号万阳城A3梯1921、1922室</w:t>
      </w:r>
    </w:p>
    <w:p>
      <w:pPr>
        <w:rPr>
          <w:rFonts w:ascii="宋体" w:hAnsi="宋体" w:eastAsia="宋体"/>
          <w:b/>
          <w:bCs/>
          <w:sz w:val="28"/>
          <w:szCs w:val="28"/>
        </w:rPr>
      </w:pPr>
      <w:r>
        <w:rPr>
          <w:rFonts w:hint="eastAsia" w:ascii="宋体" w:hAnsi="宋体"/>
          <w:b/>
          <w:bCs/>
          <w:sz w:val="28"/>
          <w:szCs w:val="28"/>
        </w:rPr>
        <w:t>电话:0597-2283818传真：0597-2283818</w:t>
      </w:r>
    </w:p>
    <w:p>
      <w:pPr>
        <w:rPr>
          <w:rFonts w:ascii="宋体" w:hAnsi="宋体"/>
          <w:b/>
          <w:bCs/>
          <w:sz w:val="28"/>
          <w:szCs w:val="28"/>
        </w:rPr>
      </w:pPr>
      <w:r>
        <w:rPr>
          <w:rFonts w:hint="eastAsia" w:ascii="宋体" w:hAnsi="宋体"/>
          <w:b/>
          <w:bCs/>
          <w:sz w:val="28"/>
          <w:szCs w:val="28"/>
        </w:rPr>
        <w:t>网址:www.fjyszb.com                  邮箱:fjlyyszb@163.com</w:t>
      </w:r>
    </w:p>
    <w:p>
      <w:pPr>
        <w:widowControl/>
        <w:textAlignment w:val="center"/>
        <w:rPr>
          <w:rFonts w:ascii="宋体" w:hAnsi="宋体" w:cs="宋体"/>
          <w:b/>
          <w:bCs/>
          <w:color w:val="000000" w:themeColor="text1"/>
          <w:kern w:val="0"/>
          <w:sz w:val="22"/>
          <w:szCs w:val="22"/>
        </w:rPr>
        <w:sectPr>
          <w:pgSz w:w="11906" w:h="16838"/>
          <w:pgMar w:top="1440" w:right="1800" w:bottom="1440" w:left="1800" w:header="851" w:footer="992" w:gutter="0"/>
          <w:cols w:space="425" w:num="1"/>
          <w:docGrid w:type="lines" w:linePitch="312" w:charSpace="0"/>
        </w:sectPr>
      </w:pPr>
    </w:p>
    <w:p>
      <w:pPr>
        <w:widowControl/>
        <w:textAlignment w:val="center"/>
        <w:rPr>
          <w:rFonts w:ascii="宋体" w:hAnsi="宋体" w:cs="宋体"/>
          <w:b/>
          <w:bCs/>
          <w:color w:val="000000" w:themeColor="text1"/>
          <w:kern w:val="0"/>
          <w:sz w:val="22"/>
          <w:szCs w:val="22"/>
        </w:rPr>
      </w:pPr>
    </w:p>
    <w:p>
      <w:pPr>
        <w:widowControl/>
        <w:numPr>
          <w:ilvl w:val="0"/>
          <w:numId w:val="1"/>
        </w:numPr>
        <w:textAlignment w:val="center"/>
        <w:rPr>
          <w:rFonts w:ascii="宋体" w:hAnsi="宋体" w:cs="宋体"/>
          <w:b/>
          <w:bCs/>
          <w:color w:val="000000" w:themeColor="text1"/>
          <w:kern w:val="0"/>
          <w:sz w:val="22"/>
          <w:szCs w:val="22"/>
        </w:rPr>
      </w:pPr>
      <w:r>
        <w:rPr>
          <w:rFonts w:hint="eastAsia" w:ascii="宋体" w:hAnsi="宋体" w:cs="宋体"/>
          <w:b/>
          <w:bCs/>
          <w:color w:val="000000" w:themeColor="text1"/>
          <w:kern w:val="0"/>
          <w:sz w:val="22"/>
          <w:szCs w:val="22"/>
        </w:rPr>
        <w:t>竞价货物内容及要求</w:t>
      </w:r>
    </w:p>
    <w:p>
      <w:pPr>
        <w:widowControl/>
        <w:textAlignment w:val="center"/>
        <w:rPr>
          <w:rFonts w:ascii="宋体" w:hAnsi="宋体" w:cs="宋体"/>
          <w:b/>
          <w:bCs/>
          <w:color w:val="000000" w:themeColor="text1"/>
          <w:kern w:val="0"/>
          <w:sz w:val="22"/>
          <w:szCs w:val="22"/>
        </w:rPr>
      </w:pPr>
    </w:p>
    <w:tbl>
      <w:tblPr>
        <w:tblStyle w:val="9"/>
        <w:tblW w:w="5000" w:type="pct"/>
        <w:tblInd w:w="0" w:type="dxa"/>
        <w:tblLayout w:type="fixed"/>
        <w:tblCellMar>
          <w:top w:w="0" w:type="dxa"/>
          <w:left w:w="108" w:type="dxa"/>
          <w:bottom w:w="0" w:type="dxa"/>
          <w:right w:w="108" w:type="dxa"/>
        </w:tblCellMar>
      </w:tblPr>
      <w:tblGrid>
        <w:gridCol w:w="539"/>
        <w:gridCol w:w="3117"/>
        <w:gridCol w:w="990"/>
        <w:gridCol w:w="3876"/>
      </w:tblGrid>
      <w:tr>
        <w:tblPrEx>
          <w:tblCellMar>
            <w:top w:w="0" w:type="dxa"/>
            <w:left w:w="108" w:type="dxa"/>
            <w:bottom w:w="0" w:type="dxa"/>
            <w:right w:w="108" w:type="dxa"/>
          </w:tblCellMar>
        </w:tblPrEx>
        <w:trPr>
          <w:trHeight w:val="90" w:hRule="atLeast"/>
        </w:trPr>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项目名称</w:t>
            </w:r>
          </w:p>
        </w:tc>
        <w:tc>
          <w:tcPr>
            <w:tcW w:w="1829"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2021年福建省龙岩监狱周界和监舍疏通门监控及报警联动采购项目</w:t>
            </w:r>
          </w:p>
        </w:tc>
        <w:tc>
          <w:tcPr>
            <w:tcW w:w="581"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项目</w:t>
            </w:r>
          </w:p>
          <w:p>
            <w:pPr>
              <w:jc w:val="cente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编号</w:t>
            </w:r>
          </w:p>
        </w:tc>
        <w:tc>
          <w:tcPr>
            <w:tcW w:w="227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YSZB-LY-2021-02</w:t>
            </w:r>
          </w:p>
          <w:p>
            <w:pPr>
              <w:jc w:val="center"/>
              <w:rPr>
                <w:rFonts w:ascii="宋体" w:hAnsi="宋体" w:eastAsia="宋体" w:cs="宋体"/>
                <w:bCs/>
                <w:color w:val="000000" w:themeColor="text1"/>
                <w:kern w:val="0"/>
                <w:sz w:val="24"/>
                <w:shd w:val="clear" w:color="auto" w:fill="FFFFFF"/>
              </w:rPr>
            </w:pPr>
          </w:p>
        </w:tc>
      </w:tr>
      <w:tr>
        <w:tblPrEx>
          <w:tblCellMar>
            <w:top w:w="0" w:type="dxa"/>
            <w:left w:w="108" w:type="dxa"/>
            <w:bottom w:w="0" w:type="dxa"/>
            <w:right w:w="108" w:type="dxa"/>
          </w:tblCellMar>
        </w:tblPrEx>
        <w:trPr>
          <w:trHeight w:val="347"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预算金额</w:t>
            </w:r>
          </w:p>
        </w:tc>
        <w:tc>
          <w:tcPr>
            <w:tcW w:w="1829"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20万元</w:t>
            </w:r>
          </w:p>
        </w:tc>
        <w:tc>
          <w:tcPr>
            <w:tcW w:w="581"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采购</w:t>
            </w:r>
          </w:p>
          <w:p>
            <w:pPr>
              <w:jc w:val="cente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方式</w:t>
            </w:r>
          </w:p>
        </w:tc>
        <w:tc>
          <w:tcPr>
            <w:tcW w:w="227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网上竞价</w:t>
            </w:r>
          </w:p>
        </w:tc>
      </w:tr>
      <w:tr>
        <w:tblPrEx>
          <w:tblCellMar>
            <w:top w:w="0" w:type="dxa"/>
            <w:left w:w="108" w:type="dxa"/>
            <w:bottom w:w="0" w:type="dxa"/>
            <w:right w:w="108" w:type="dxa"/>
          </w:tblCellMar>
        </w:tblPrEx>
        <w:trPr>
          <w:trHeight w:val="9507" w:hRule="atLeast"/>
        </w:trPr>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文件主要内容</w:t>
            </w:r>
          </w:p>
        </w:tc>
        <w:tc>
          <w:tcPr>
            <w:tcW w:w="4684" w:type="pct"/>
            <w:gridSpan w:val="3"/>
            <w:tcBorders>
              <w:top w:val="single" w:color="auto" w:sz="4" w:space="0"/>
              <w:left w:val="nil"/>
              <w:bottom w:val="single" w:color="auto" w:sz="4" w:space="0"/>
              <w:right w:val="single" w:color="auto" w:sz="4" w:space="0"/>
            </w:tcBorders>
            <w:shd w:val="clear" w:color="auto" w:fill="auto"/>
            <w:noWrap/>
          </w:tcPr>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第一部分 采购内容及要求</w:t>
            </w:r>
          </w:p>
          <w:p>
            <w:pPr>
              <w:numPr>
                <w:ilvl w:val="255"/>
                <w:numId w:val="0"/>
              </w:numPr>
              <w:rPr>
                <w:b/>
                <w:bCs/>
                <w:sz w:val="24"/>
              </w:rPr>
            </w:pPr>
            <w:bookmarkStart w:id="0" w:name="_Toc473884028"/>
            <w:r>
              <w:rPr>
                <w:rFonts w:hint="eastAsia"/>
                <w:b/>
                <w:bCs/>
                <w:sz w:val="24"/>
              </w:rPr>
              <w:t>一、项目概况：</w:t>
            </w:r>
          </w:p>
          <w:p>
            <w:pPr>
              <w:ind w:firstLine="420" w:firstLineChars="200"/>
              <w:rPr>
                <w:rFonts w:ascii="宋体" w:hAnsi="宋体" w:eastAsia="宋体" w:cs="宋体"/>
              </w:rPr>
            </w:pPr>
            <w:r>
              <w:rPr>
                <w:rFonts w:hint="eastAsia" w:ascii="宋体" w:hAnsi="宋体" w:eastAsia="宋体" w:cs="宋体"/>
              </w:rPr>
              <w:t>福建省龙岩监狱拟采购周界和监舍疏通门监控及报警联动系统，项目预算金额20万元。</w:t>
            </w:r>
          </w:p>
          <w:p>
            <w:pPr>
              <w:numPr>
                <w:ilvl w:val="255"/>
                <w:numId w:val="0"/>
              </w:numPr>
              <w:rPr>
                <w:rFonts w:ascii="宋体" w:hAnsi="宋体" w:eastAsia="宋体" w:cs="宋体"/>
                <w:b/>
                <w:bCs/>
                <w:sz w:val="24"/>
              </w:rPr>
            </w:pPr>
            <w:r>
              <w:rPr>
                <w:rFonts w:hint="eastAsia" w:ascii="宋体" w:hAnsi="宋体" w:eastAsia="宋体" w:cs="宋体"/>
                <w:b/>
                <w:bCs/>
                <w:sz w:val="24"/>
              </w:rPr>
              <w:t>二、项目内容及要求：</w:t>
            </w:r>
          </w:p>
          <w:p>
            <w:pPr>
              <w:rPr>
                <w:rFonts w:ascii="宋体" w:hAnsi="宋体" w:eastAsia="宋体" w:cs="宋体"/>
                <w:b/>
                <w:bCs/>
                <w:sz w:val="24"/>
              </w:rPr>
            </w:pPr>
            <w:r>
              <w:rPr>
                <w:rFonts w:hint="eastAsia" w:ascii="宋体" w:hAnsi="宋体" w:eastAsia="宋体" w:cs="宋体"/>
                <w:b/>
                <w:bCs/>
                <w:sz w:val="24"/>
              </w:rPr>
              <w:t>1、报价要求：</w:t>
            </w:r>
          </w:p>
          <w:p>
            <w:pPr>
              <w:numPr>
                <w:ilvl w:val="255"/>
                <w:numId w:val="0"/>
              </w:numPr>
              <w:ind w:firstLine="420" w:firstLineChars="200"/>
            </w:pPr>
            <w:r>
              <w:rPr>
                <w:rFonts w:hint="eastAsia"/>
              </w:rPr>
              <w:t>报价人按项目总价报价，总报价作为评标依据。</w:t>
            </w:r>
            <w:r>
              <w:rPr>
                <w:rFonts w:hint="eastAsia"/>
                <w:b/>
                <w:bCs/>
              </w:rPr>
              <w:t>报价人同时应列出纸质采购清单，清单应列名所投设备名称、技术规格参数、品牌、型号、计量单位、数量、单价、总价等信息，并加盖公章，在项目成交后提交至招标代理公司。</w:t>
            </w:r>
            <w:r>
              <w:rPr>
                <w:rFonts w:hint="eastAsia"/>
              </w:rPr>
              <w:t>超过项目最高预算的报价为无效报价。报价人投报的价格包含但不仅限于：设备主、辅材料、运输、管件预埋、系统施工安装、调试、施工安全风险金、技术培训费用、验收、售后服务等一切费用，还包含其中施工安全风险费金含土建施工预留、预埋不准确或设计标高或管道走向与其他专业有矛盾，导致施工、安装、维护等过程中产生的额外费用，采购人不再支付其他费用。</w:t>
            </w:r>
          </w:p>
          <w:p>
            <w:pPr>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2、</w:t>
            </w:r>
            <w:bookmarkEnd w:id="0"/>
            <w:bookmarkStart w:id="1" w:name="_Toc451876424"/>
            <w:r>
              <w:rPr>
                <w:rFonts w:hint="eastAsia" w:ascii="宋体" w:hAnsi="宋体" w:eastAsia="宋体" w:cs="宋体"/>
                <w:b/>
                <w:color w:val="000000" w:themeColor="text1"/>
                <w:kern w:val="0"/>
                <w:sz w:val="24"/>
                <w:shd w:val="clear" w:color="auto" w:fill="FFFFFF"/>
              </w:rPr>
              <w:t>采购清单及技术参数、要求</w:t>
            </w:r>
          </w:p>
          <w:tbl>
            <w:tblPr>
              <w:tblStyle w:val="9"/>
              <w:tblW w:w="7998" w:type="dxa"/>
              <w:tblInd w:w="89" w:type="dxa"/>
              <w:tblLayout w:type="fixed"/>
              <w:tblCellMar>
                <w:top w:w="0" w:type="dxa"/>
                <w:left w:w="108" w:type="dxa"/>
                <w:bottom w:w="0" w:type="dxa"/>
                <w:right w:w="108" w:type="dxa"/>
              </w:tblCellMar>
            </w:tblPr>
            <w:tblGrid>
              <w:gridCol w:w="471"/>
              <w:gridCol w:w="1370"/>
              <w:gridCol w:w="3866"/>
              <w:gridCol w:w="747"/>
              <w:gridCol w:w="1544"/>
            </w:tblGrid>
            <w:tr>
              <w:tblPrEx>
                <w:tblCellMar>
                  <w:top w:w="0" w:type="dxa"/>
                  <w:left w:w="108" w:type="dxa"/>
                  <w:bottom w:w="0" w:type="dxa"/>
                  <w:right w:w="108" w:type="dxa"/>
                </w:tblCellMar>
              </w:tblPrEx>
              <w:trPr>
                <w:trHeight w:val="291" w:hRule="atLeast"/>
              </w:trPr>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bookmarkStart w:id="2" w:name="_Toc473884029"/>
                  <w:r>
                    <w:rPr>
                      <w:rFonts w:hint="eastAsia"/>
                    </w:rPr>
                    <w:t>序号</w:t>
                  </w:r>
                </w:p>
              </w:tc>
              <w:tc>
                <w:tcPr>
                  <w:tcW w:w="8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设备名称</w:t>
                  </w:r>
                </w:p>
              </w:tc>
              <w:tc>
                <w:tcPr>
                  <w:tcW w:w="23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技术参数</w:t>
                  </w:r>
                </w:p>
              </w:tc>
              <w:tc>
                <w:tcPr>
                  <w:tcW w:w="4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单位</w:t>
                  </w:r>
                </w:p>
              </w:tc>
              <w:tc>
                <w:tcPr>
                  <w:tcW w:w="943" w:type="pct"/>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rPr>
                    <w:t>数量</w:t>
                  </w:r>
                </w:p>
              </w:tc>
            </w:tr>
            <w:tr>
              <w:tblPrEx>
                <w:tblCellMar>
                  <w:top w:w="0" w:type="dxa"/>
                  <w:left w:w="108" w:type="dxa"/>
                  <w:bottom w:w="0" w:type="dxa"/>
                  <w:right w:w="108" w:type="dxa"/>
                </w:tblCellMar>
              </w:tblPrEx>
              <w:trPr>
                <w:trHeight w:val="674"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400万像素红外球机</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fldChar w:fldCharType="begin"/>
                  </w:r>
                  <w:r>
                    <w:instrText xml:space="preserve"> HYPERLINK </w:instrText>
                  </w:r>
                  <w:r>
                    <w:fldChar w:fldCharType="separate"/>
                  </w:r>
                  <w:r>
                    <w:rPr>
                      <w:rFonts w:hint="eastAsia"/>
                    </w:rPr>
                    <w:t>400万星光级25倍红外球型网络摄像机1/1.8”逐行扫描400万像素CMOS图像传感器；6~150mm电动变焦，25倍光学变倍；支持：人脸检测，支持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自适应以太网电口；供电方式：AC24V±25%；DC24V±25%；功耗：53W Max，电源防护：支持过压过流保护，6KV防雷；工作环境：–40°C ~ 65°C，≤95%RH（相对湿度，无冷凝）；防护等级：IP66，防暴等级：IK10（除玻璃部分）</w:t>
                  </w:r>
                  <w:r>
                    <w:rPr>
                      <w:rFonts w:hint="eastAsia"/>
                    </w:rPr>
                    <w:fldChar w:fldCharType="end"/>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台</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w:t>
                  </w:r>
                </w:p>
              </w:tc>
            </w:tr>
            <w:tr>
              <w:tblPrEx>
                <w:tblCellMar>
                  <w:top w:w="0" w:type="dxa"/>
                  <w:left w:w="108" w:type="dxa"/>
                  <w:bottom w:w="0" w:type="dxa"/>
                  <w:right w:w="108" w:type="dxa"/>
                </w:tblCellMar>
              </w:tblPrEx>
              <w:trPr>
                <w:trHeight w:val="526"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2</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球机支架</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球机支架</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个</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w:t>
                  </w:r>
                </w:p>
              </w:tc>
            </w:tr>
            <w:tr>
              <w:tblPrEx>
                <w:tblCellMar>
                  <w:top w:w="0" w:type="dxa"/>
                  <w:left w:w="108" w:type="dxa"/>
                  <w:bottom w:w="0" w:type="dxa"/>
                  <w:right w:w="108" w:type="dxa"/>
                </w:tblCellMar>
              </w:tblPrEx>
              <w:trPr>
                <w:trHeight w:val="2291"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3</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400万像素红外</w:t>
                  </w:r>
                  <w:r>
                    <w:rPr>
                      <w:rFonts w:hint="eastAsia"/>
                    </w:rPr>
                    <w:br w:type="textWrapping"/>
                  </w:r>
                  <w:r>
                    <w:rPr>
                      <w:rFonts w:hint="eastAsia"/>
                    </w:rPr>
                    <w:t>枪型摄像机</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400万像素1/3"筒型网络摄像机；4.0/6.0/8.0/12.0mm定焦；内置Mic；10M/100M自适应网口；0.003ux (F1.6，AGC ON，彩色)，0lux(开启红外)；宽动态范围：120dB；红外补光；30FPS（2688*1520）；支持人脸检测、运动检测、越界检测、区域入侵、进入区域、离开区域、遮挡检测、声音异常；供电方式：DC12V(±25%)；工作温湿度：-30℃~60℃，≤95%RH；功耗：7.5W MAX；防护等级：IP66；IK10；</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台</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11</w:t>
                  </w:r>
                </w:p>
              </w:tc>
            </w:tr>
            <w:tr>
              <w:tblPrEx>
                <w:tblCellMar>
                  <w:top w:w="0" w:type="dxa"/>
                  <w:left w:w="108" w:type="dxa"/>
                  <w:bottom w:w="0" w:type="dxa"/>
                  <w:right w:w="108" w:type="dxa"/>
                </w:tblCellMar>
              </w:tblPrEx>
              <w:trPr>
                <w:trHeight w:val="488"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4</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6寸筒机支架</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立装二维支架</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个</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11</w:t>
                  </w:r>
                </w:p>
              </w:tc>
            </w:tr>
            <w:tr>
              <w:tblPrEx>
                <w:tblCellMar>
                  <w:top w:w="0" w:type="dxa"/>
                  <w:left w:w="108" w:type="dxa"/>
                  <w:bottom w:w="0" w:type="dxa"/>
                  <w:right w:w="108" w:type="dxa"/>
                </w:tblCellMar>
              </w:tblPrEx>
              <w:trPr>
                <w:trHeight w:val="526"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5</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DC12V/1A墙插式</w:t>
                  </w:r>
                  <w:r>
                    <w:rPr>
                      <w:rFonts w:hint="eastAsia"/>
                    </w:rPr>
                    <w:br w:type="textWrapping"/>
                  </w:r>
                  <w:r>
                    <w:rPr>
                      <w:rFonts w:hint="eastAsia"/>
                    </w:rPr>
                    <w:t>电源适配器</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Non-Brand DC12V/1A墙插电源适配器</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个</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11</w:t>
                  </w:r>
                </w:p>
              </w:tc>
            </w:tr>
            <w:tr>
              <w:tblPrEx>
                <w:tblCellMar>
                  <w:top w:w="0" w:type="dxa"/>
                  <w:left w:w="108" w:type="dxa"/>
                  <w:bottom w:w="0" w:type="dxa"/>
                  <w:right w:w="108" w:type="dxa"/>
                </w:tblCellMar>
              </w:tblPrEx>
              <w:trPr>
                <w:trHeight w:val="2450"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6</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500万像素鱼眼</w:t>
                  </w:r>
                  <w:r>
                    <w:rPr>
                      <w:rFonts w:hint="eastAsia"/>
                    </w:rPr>
                    <w:br w:type="textWrapping"/>
                  </w:r>
                  <w:r>
                    <w:rPr>
                      <w:rFonts w:hint="eastAsia"/>
                    </w:rPr>
                    <w:t>摄像机</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500万像素1/1.8"鱼眼半球网络摄像机；2.1mm</w:t>
                  </w:r>
                  <w:r>
                    <w:rPr>
                      <w:rFonts w:hint="eastAsia"/>
                    </w:rPr>
                    <w:br w:type="textWrapping"/>
                  </w:r>
                  <w:r>
                    <w:rPr>
                      <w:rFonts w:hint="eastAsia"/>
                    </w:rPr>
                    <w:t>定焦；音频1入1出；告警1入1出；Micro SD；</w:t>
                  </w:r>
                  <w:r>
                    <w:rPr>
                      <w:rFonts w:hint="eastAsia"/>
                    </w:rPr>
                    <w:br w:type="textWrapping"/>
                  </w:r>
                  <w:r>
                    <w:rPr>
                      <w:rFonts w:hint="eastAsia"/>
                    </w:rPr>
                    <w:t>1路RS485串口；BNC接口；10M/100M自适应网口；</w:t>
                  </w:r>
                  <w:r>
                    <w:rPr>
                      <w:rFonts w:hint="eastAsia"/>
                    </w:rPr>
                    <w:br w:type="textWrapping"/>
                  </w:r>
                  <w:r>
                    <w:rPr>
                      <w:rFonts w:hint="eastAsia"/>
                    </w:rPr>
                    <w:t>0lux(开启红外)；宽动态范围：120dB；红外补光；15FPS（4000 × 3000)；支持运动检测、遮挡检测、声音异常、越界检测、区域入侵/热度图、定时抓拍、隔时抓拍、事件抓拍；供电方式：DC12V(±25%)、PoE；工作温湿度：-35℃~60℃，≤90%RH；功耗：9.6W MAX；防护等级：IP68；防暴等级：IK10；</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台</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36</w:t>
                  </w:r>
                </w:p>
              </w:tc>
            </w:tr>
            <w:tr>
              <w:tblPrEx>
                <w:tblCellMar>
                  <w:top w:w="0" w:type="dxa"/>
                  <w:left w:w="108" w:type="dxa"/>
                  <w:bottom w:w="0" w:type="dxa"/>
                  <w:right w:w="108" w:type="dxa"/>
                </w:tblCellMar>
              </w:tblPrEx>
              <w:trPr>
                <w:trHeight w:val="488"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7</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4寸半球斜装支架</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4寸半球斜装支架</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个</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36</w:t>
                  </w:r>
                </w:p>
              </w:tc>
            </w:tr>
            <w:tr>
              <w:tblPrEx>
                <w:tblCellMar>
                  <w:top w:w="0" w:type="dxa"/>
                  <w:left w:w="108" w:type="dxa"/>
                  <w:bottom w:w="0" w:type="dxa"/>
                  <w:right w:w="108" w:type="dxa"/>
                </w:tblCellMar>
              </w:tblPrEx>
              <w:trPr>
                <w:trHeight w:val="488"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8</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信号线</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RVVP2*0.5</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米</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500</w:t>
                  </w:r>
                </w:p>
              </w:tc>
            </w:tr>
            <w:tr>
              <w:tblPrEx>
                <w:tblCellMar>
                  <w:top w:w="0" w:type="dxa"/>
                  <w:left w:w="108" w:type="dxa"/>
                  <w:bottom w:w="0" w:type="dxa"/>
                  <w:right w:w="108" w:type="dxa"/>
                </w:tblCellMar>
              </w:tblPrEx>
              <w:trPr>
                <w:trHeight w:val="497"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9</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门磁</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连接方式：常闭/常开，电流/电压/功率：0.5A/200V/30W,工作距离（mm）：30、60</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对</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70</w:t>
                  </w:r>
                </w:p>
              </w:tc>
            </w:tr>
            <w:tr>
              <w:tblPrEx>
                <w:tblCellMar>
                  <w:top w:w="0" w:type="dxa"/>
                  <w:left w:w="108" w:type="dxa"/>
                  <w:bottom w:w="0" w:type="dxa"/>
                  <w:right w:w="108" w:type="dxa"/>
                </w:tblCellMar>
              </w:tblPrEx>
              <w:trPr>
                <w:trHeight w:val="406"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10</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立杆</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杆高度4.5米加厚材料，材质镀锌钢管，管下直径12CM,管上直径12CM，顶部伸出长度1米,包含地笼高度500*螺杆间距280*280MM</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根</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8</w:t>
                  </w:r>
                </w:p>
              </w:tc>
            </w:tr>
            <w:tr>
              <w:tblPrEx>
                <w:tblCellMar>
                  <w:top w:w="0" w:type="dxa"/>
                  <w:left w:w="108" w:type="dxa"/>
                  <w:bottom w:w="0" w:type="dxa"/>
                  <w:right w:w="108" w:type="dxa"/>
                </w:tblCellMar>
              </w:tblPrEx>
              <w:trPr>
                <w:trHeight w:val="1746"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11</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电源</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输出：直流电压：12V,额定电流：12.5A,电流范围：0-12.5A;额定功率：150W,启动500ms,30ms/230VAC, 保持时间：40ms/115VAC;输入电压范围：85-132VAC/170-264VAC,频率范围：47-63Hz,交流电流：2.8A/115VAC,浪涌电流:60A/230VAC；过载保持：110-140%；过电压13.8-16.2V；可承受300VAC浪涌输入10秒；</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个</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12</w:t>
                  </w:r>
                </w:p>
              </w:tc>
            </w:tr>
            <w:tr>
              <w:tblPrEx>
                <w:tblCellMar>
                  <w:top w:w="0" w:type="dxa"/>
                  <w:left w:w="108" w:type="dxa"/>
                  <w:bottom w:w="0" w:type="dxa"/>
                  <w:right w:w="108" w:type="dxa"/>
                </w:tblCellMar>
              </w:tblPrEx>
              <w:trPr>
                <w:trHeight w:val="469"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12</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电源线</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RVV2*2.5</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米</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1300</w:t>
                  </w:r>
                </w:p>
              </w:tc>
            </w:tr>
            <w:tr>
              <w:tblPrEx>
                <w:tblCellMar>
                  <w:top w:w="0" w:type="dxa"/>
                  <w:left w:w="108" w:type="dxa"/>
                  <w:bottom w:w="0" w:type="dxa"/>
                  <w:right w:w="108" w:type="dxa"/>
                </w:tblCellMar>
              </w:tblPrEx>
              <w:trPr>
                <w:trHeight w:val="469"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13</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电源线</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RVV2*1.5</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米</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650</w:t>
                  </w:r>
                </w:p>
              </w:tc>
            </w:tr>
            <w:tr>
              <w:tblPrEx>
                <w:tblCellMar>
                  <w:top w:w="0" w:type="dxa"/>
                  <w:left w:w="108" w:type="dxa"/>
                  <w:bottom w:w="0" w:type="dxa"/>
                  <w:right w:w="108" w:type="dxa"/>
                </w:tblCellMar>
              </w:tblPrEx>
              <w:trPr>
                <w:trHeight w:val="469"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14</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PVC管</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t>Ø</w:t>
                  </w:r>
                  <w:r>
                    <w:rPr>
                      <w:rFonts w:hint="eastAsia"/>
                    </w:rPr>
                    <w:t>2.0</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米</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1800</w:t>
                  </w:r>
                </w:p>
              </w:tc>
            </w:tr>
            <w:tr>
              <w:tblPrEx>
                <w:tblCellMar>
                  <w:top w:w="0" w:type="dxa"/>
                  <w:left w:w="108" w:type="dxa"/>
                  <w:bottom w:w="0" w:type="dxa"/>
                  <w:right w:w="108" w:type="dxa"/>
                </w:tblCellMar>
              </w:tblPrEx>
              <w:trPr>
                <w:trHeight w:val="572"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15</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网线</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产品适用：1000Base-T，最大单段长度：100米，传输速率：100Mbps 包装长度：305米</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箱</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3</w:t>
                  </w:r>
                </w:p>
              </w:tc>
            </w:tr>
            <w:tr>
              <w:tblPrEx>
                <w:tblCellMar>
                  <w:top w:w="0" w:type="dxa"/>
                  <w:left w:w="108" w:type="dxa"/>
                  <w:bottom w:w="0" w:type="dxa"/>
                  <w:right w:w="108" w:type="dxa"/>
                </w:tblCellMar>
              </w:tblPrEx>
              <w:trPr>
                <w:trHeight w:val="2524"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16</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光端机</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支持100Base-TX 1000Base-T自适应；支持端口隔离；支持全双工和半双工传输模式，能自动协商内置高效交换核心，减少广播包；支持双绞线口自动交叉，方便系统调试安装；支持全双工和半双工传输模式，能自动协商；支持VLAN超长数据包传输；支持QoS，保证VOIP数据包传输；支持STP生成树，构成冗余网络；低功耗，低发热，能长时间稳定工作；支持双纤多模、双纤单模和单纤单模多种光纤口；接口2个1000M SC光口、4个10/100/1000m;双纤单模10KM;接口SC FP 1310</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对</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7</w:t>
                  </w:r>
                </w:p>
              </w:tc>
            </w:tr>
            <w:tr>
              <w:tblPrEx>
                <w:tblCellMar>
                  <w:top w:w="0" w:type="dxa"/>
                  <w:left w:w="108" w:type="dxa"/>
                  <w:bottom w:w="0" w:type="dxa"/>
                  <w:right w:w="108" w:type="dxa"/>
                </w:tblCellMar>
              </w:tblPrEx>
              <w:trPr>
                <w:trHeight w:val="469"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17</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光纤</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12芯单模，符合国标GB/T 13993中有关要求</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米</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1300</w:t>
                  </w:r>
                </w:p>
              </w:tc>
            </w:tr>
            <w:tr>
              <w:tblPrEx>
                <w:tblCellMar>
                  <w:top w:w="0" w:type="dxa"/>
                  <w:left w:w="108" w:type="dxa"/>
                  <w:bottom w:w="0" w:type="dxa"/>
                  <w:right w:w="108" w:type="dxa"/>
                </w:tblCellMar>
              </w:tblPrEx>
              <w:trPr>
                <w:trHeight w:val="629"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18</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辅材</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防水设备箱、立杆摄像头横担、光纤熔接、电源插座、空气开关等</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批</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w:t>
                  </w:r>
                </w:p>
              </w:tc>
            </w:tr>
            <w:tr>
              <w:tblPrEx>
                <w:tblCellMar>
                  <w:top w:w="0" w:type="dxa"/>
                  <w:left w:w="108" w:type="dxa"/>
                  <w:bottom w:w="0" w:type="dxa"/>
                  <w:right w:w="108" w:type="dxa"/>
                </w:tblCellMar>
              </w:tblPrEx>
              <w:trPr>
                <w:trHeight w:val="488" w:hRule="atLeast"/>
              </w:trPr>
              <w:tc>
                <w:tcPr>
                  <w:tcW w:w="2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rPr>
                    <w:t>19</w:t>
                  </w:r>
                </w:p>
              </w:tc>
              <w:tc>
                <w:tcPr>
                  <w:tcW w:w="837"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管路开挖</w:t>
                  </w:r>
                </w:p>
              </w:tc>
              <w:tc>
                <w:tcPr>
                  <w:tcW w:w="2362" w:type="pct"/>
                  <w:tcBorders>
                    <w:top w:val="nil"/>
                    <w:left w:val="nil"/>
                    <w:bottom w:val="single" w:color="auto" w:sz="4" w:space="0"/>
                    <w:right w:val="single" w:color="auto" w:sz="4" w:space="0"/>
                  </w:tcBorders>
                  <w:shd w:val="clear" w:color="auto" w:fill="auto"/>
                  <w:noWrap/>
                  <w:vAlign w:val="center"/>
                </w:tcPr>
                <w:p>
                  <w:pPr>
                    <w:widowControl/>
                    <w:jc w:val="left"/>
                  </w:pPr>
                  <w:r>
                    <w:rPr>
                      <w:rFonts w:hint="eastAsia"/>
                    </w:rPr>
                    <w:t>2根20PVC管，25cm深，550米长，含10米水泥路面</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批</w:t>
                  </w:r>
                </w:p>
              </w:tc>
              <w:tc>
                <w:tcPr>
                  <w:tcW w:w="943"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rPr>
                    <w:t>1</w:t>
                  </w:r>
                </w:p>
              </w:tc>
            </w:tr>
          </w:tbl>
          <w:p>
            <w:pPr>
              <w:rPr>
                <w:rFonts w:ascii="宋体" w:hAnsi="宋体" w:eastAsia="宋体" w:cs="宋体"/>
                <w:bCs/>
                <w:color w:val="000000" w:themeColor="text1"/>
                <w:kern w:val="0"/>
                <w:sz w:val="24"/>
                <w:shd w:val="clear" w:color="auto" w:fill="FFFFFF"/>
              </w:rPr>
            </w:pPr>
          </w:p>
          <w:bookmarkEnd w:id="1"/>
          <w:bookmarkEnd w:id="2"/>
          <w:p>
            <w:pPr>
              <w:rPr>
                <w:b/>
                <w:bCs/>
                <w:sz w:val="24"/>
              </w:rPr>
            </w:pPr>
            <w:r>
              <w:rPr>
                <w:rFonts w:hint="eastAsia"/>
                <w:b/>
                <w:bCs/>
                <w:sz w:val="24"/>
              </w:rPr>
              <w:t>注：项目按固定总价形式承包。</w:t>
            </w:r>
          </w:p>
          <w:p>
            <w:pPr>
              <w:rPr>
                <w:rFonts w:ascii="宋体" w:hAnsi="宋体" w:eastAsia="宋体" w:cs="宋体"/>
                <w:b/>
                <w:bCs/>
                <w:sz w:val="24"/>
              </w:rPr>
            </w:pPr>
            <w:r>
              <w:rPr>
                <w:rFonts w:hint="eastAsia" w:ascii="宋体" w:hAnsi="宋体" w:eastAsia="宋体" w:cs="宋体"/>
                <w:b/>
                <w:bCs/>
                <w:sz w:val="24"/>
              </w:rPr>
              <w:t>3、龙岩监狱周界摄像机安装位置：在综合楼楼顶安装两台球机、办公楼楼顶安装一台球机（网线直连）；在监狱东面沿老水泥厂马路安装4台枪机（光纤连接，须立杆和开挖管路）；在监狱西面G235辅路沿隔音墙至老水泥厂北门围墙安装1台球机和7台枪机（光纤连接，须立杆和开挖管路）。</w:t>
            </w:r>
          </w:p>
          <w:p>
            <w:pPr>
              <w:rPr>
                <w:rFonts w:ascii="宋体" w:hAnsi="宋体" w:eastAsia="宋体" w:cs="宋体"/>
                <w:b/>
                <w:bCs/>
                <w:sz w:val="24"/>
              </w:rPr>
            </w:pPr>
            <w:r>
              <w:rPr>
                <w:rFonts w:hint="eastAsia" w:ascii="宋体" w:hAnsi="宋体" w:eastAsia="宋体" w:cs="宋体"/>
                <w:b/>
                <w:bCs/>
                <w:sz w:val="24"/>
              </w:rPr>
              <w:t>监狱各楼层疏通门楼梯安装的监控半球共36台，疏通门上安装门磁，连接至监控半球报警输入端用于检测疏通门的开闭并产生报警至监控中心平台。所有监控设备需无缝对接监狱现使用的宇视监控平台。</w:t>
            </w:r>
          </w:p>
          <w:p>
            <w:pPr>
              <w:rPr>
                <w:b/>
                <w:bCs/>
              </w:rPr>
            </w:pPr>
            <w:r>
              <w:rPr>
                <w:rFonts w:hint="eastAsia"/>
                <w:b/>
                <w:bCs/>
              </w:rPr>
              <w:t>三、履约保证金：</w:t>
            </w:r>
          </w:p>
          <w:p>
            <w:pPr>
              <w:ind w:firstLine="420" w:firstLineChars="200"/>
            </w:pPr>
            <w:r>
              <w:rPr>
                <w:rFonts w:hint="eastAsia"/>
              </w:rPr>
              <w:t>合同签订前，成交人须向采购人缴纳成交金额5%的履约保证金，质保期结束后，无未了事宜，由成交人申请，采购人在15个工作日内无息退还。</w:t>
            </w:r>
          </w:p>
          <w:p>
            <w:pPr>
              <w:rPr>
                <w:b/>
                <w:bCs/>
              </w:rPr>
            </w:pPr>
            <w:r>
              <w:rPr>
                <w:rFonts w:hint="eastAsia"/>
                <w:b/>
                <w:bCs/>
              </w:rPr>
              <w:t>四、送货要求：</w:t>
            </w:r>
          </w:p>
          <w:p>
            <w:pPr>
              <w:numPr>
                <w:ilvl w:val="0"/>
                <w:numId w:val="2"/>
              </w:numPr>
            </w:pPr>
            <w:r>
              <w:rPr>
                <w:rFonts w:hint="eastAsia"/>
              </w:rPr>
              <w:t>交货地点：福建省龙岩市新罗区中城解放北路92号龙岩监狱</w:t>
            </w:r>
          </w:p>
          <w:p>
            <w:pPr>
              <w:numPr>
                <w:ilvl w:val="0"/>
                <w:numId w:val="2"/>
              </w:numPr>
            </w:pPr>
            <w:r>
              <w:rPr>
                <w:rFonts w:hint="eastAsia"/>
              </w:rPr>
              <w:t>交货时间：签订合同后20日内交货，并按采购人要求安装调试并验收完毕。</w:t>
            </w:r>
          </w:p>
          <w:p>
            <w:pPr>
              <w:numPr>
                <w:ilvl w:val="0"/>
                <w:numId w:val="2"/>
              </w:numPr>
            </w:pPr>
            <w:r>
              <w:rPr>
                <w:rFonts w:hint="eastAsia"/>
              </w:rPr>
              <w:t>收货联系人：卢先生   18965978566</w:t>
            </w:r>
          </w:p>
          <w:p>
            <w:pPr>
              <w:numPr>
                <w:ilvl w:val="0"/>
                <w:numId w:val="2"/>
              </w:numPr>
              <w:ind w:left="489" w:hanging="249"/>
            </w:pPr>
            <w:r>
              <w:rPr>
                <w:rFonts w:hint="eastAsia"/>
              </w:rPr>
              <w:t>交货方式：</w:t>
            </w:r>
          </w:p>
          <w:p>
            <w:pPr>
              <w:ind w:firstLine="420"/>
            </w:pPr>
            <w:r>
              <w:rPr>
                <w:rFonts w:hint="eastAsia"/>
              </w:rPr>
              <w:t>1.成交人提供设备须为全新未使用且经国家相关管理部门认证并检验合格的产品。设备及其辅助装置的铭牌、使用指示、警告指示应以中文或英文及易懂的通用符号来表示，应能够准确无误地表示设备的型号、规格、制造商等内容。</w:t>
            </w:r>
          </w:p>
          <w:p>
            <w:pPr>
              <w:ind w:left="489"/>
            </w:pPr>
            <w:r>
              <w:rPr>
                <w:rFonts w:hint="eastAsia"/>
              </w:rPr>
              <w:t>2.成交人必须能按照采购文件的规定，准时提供设备、配件、材料及工具，并负责所供设备、软件、配件、材料及工具的包装和运输。</w:t>
            </w:r>
          </w:p>
          <w:p>
            <w:pPr>
              <w:rPr>
                <w:b/>
                <w:bCs/>
              </w:rPr>
            </w:pPr>
            <w:r>
              <w:rPr>
                <w:rFonts w:hint="eastAsia"/>
                <w:b/>
                <w:bCs/>
              </w:rPr>
              <w:t>五、验收要求：</w:t>
            </w:r>
          </w:p>
          <w:p>
            <w:pPr>
              <w:pStyle w:val="8"/>
              <w:shd w:val="clear" w:color="auto" w:fill="FFFFFF"/>
              <w:spacing w:beforeAutospacing="0" w:afterAutospacing="0"/>
              <w:ind w:firstLine="420"/>
              <w:jc w:val="both"/>
              <w:rPr>
                <w:rFonts w:ascii="Times New Roman" w:hAnsi="Times New Roman"/>
                <w:kern w:val="2"/>
                <w:sz w:val="21"/>
              </w:rPr>
            </w:pPr>
            <w:r>
              <w:rPr>
                <w:rFonts w:hint="eastAsia" w:ascii="Times New Roman" w:hAnsi="Times New Roman"/>
                <w:kern w:val="2"/>
                <w:sz w:val="21"/>
              </w:rPr>
              <w:t>1、成交供应商应于发货前通知采购人准备收货，因未通知造成采购人增加的额外收货准备费用及相关费用，或未按通知时间交货引起的二次收货准备费用及相关费用由成交供应商方承担。</w:t>
            </w:r>
          </w:p>
          <w:p>
            <w:pPr>
              <w:pStyle w:val="8"/>
              <w:shd w:val="clear" w:color="auto" w:fill="FFFFFF"/>
              <w:spacing w:beforeAutospacing="0" w:afterAutospacing="0"/>
              <w:ind w:firstLine="420"/>
              <w:jc w:val="both"/>
              <w:rPr>
                <w:rFonts w:ascii="Times New Roman" w:hAnsi="Times New Roman"/>
                <w:kern w:val="2"/>
                <w:sz w:val="21"/>
              </w:rPr>
            </w:pPr>
            <w:r>
              <w:rPr>
                <w:rFonts w:hint="eastAsia" w:ascii="Times New Roman" w:hAnsi="Times New Roman"/>
                <w:kern w:val="2"/>
                <w:sz w:val="21"/>
              </w:rPr>
              <w:t>2、货物到达收货地点时，采购人应对所交付货物的数量、外观质量、产品说明书、合格证书及技术资料等进行清点验收，若货物发生缺、损或与采购文件不符的，采购人有权拒绝接收，交货期不予顺延，成交供应商应尽快负责补足或更换。</w:t>
            </w:r>
          </w:p>
          <w:p>
            <w:pPr>
              <w:pStyle w:val="8"/>
              <w:shd w:val="clear" w:color="auto" w:fill="FFFFFF"/>
              <w:spacing w:beforeAutospacing="0" w:afterAutospacing="0"/>
              <w:ind w:firstLine="420"/>
              <w:jc w:val="both"/>
              <w:rPr>
                <w:rFonts w:ascii="Times New Roman" w:hAnsi="Times New Roman"/>
                <w:kern w:val="2"/>
                <w:sz w:val="21"/>
              </w:rPr>
            </w:pPr>
            <w:r>
              <w:rPr>
                <w:rFonts w:hint="eastAsia" w:ascii="Times New Roman" w:hAnsi="Times New Roman"/>
                <w:kern w:val="2"/>
                <w:sz w:val="21"/>
              </w:rPr>
              <w:t>3、货物送达后，双方应当商定安装及验收时间，成交供应商应在规定时间内安排安装调试，设备的安装、调试及检验结果应符合生产厂家产品标准、国家有关标准和规范。采购人应在成交供应商安装调试完成后在约定的时限内及时验收。</w:t>
            </w:r>
          </w:p>
          <w:p>
            <w:pPr>
              <w:pStyle w:val="8"/>
              <w:shd w:val="clear" w:color="auto" w:fill="FFFFFF"/>
              <w:spacing w:beforeAutospacing="0" w:afterAutospacing="0"/>
              <w:ind w:firstLine="420"/>
              <w:jc w:val="both"/>
              <w:rPr>
                <w:rFonts w:ascii="Times New Roman" w:hAnsi="Times New Roman"/>
                <w:kern w:val="2"/>
                <w:sz w:val="21"/>
              </w:rPr>
            </w:pPr>
            <w:r>
              <w:rPr>
                <w:rFonts w:hint="eastAsia" w:ascii="Times New Roman" w:hAnsi="Times New Roman"/>
                <w:kern w:val="2"/>
                <w:sz w:val="21"/>
              </w:rPr>
              <w:t>4、</w:t>
            </w:r>
            <w:r>
              <w:rPr>
                <w:rFonts w:ascii="Times New Roman" w:hAnsi="Times New Roman"/>
                <w:kern w:val="2"/>
                <w:sz w:val="21"/>
              </w:rPr>
              <w:t>采购人应认真负责对成交供应商所提供的货物按合同约定进行验收，验收结束后，如发现货物质量与采购文件不符，采购人应当在5个日历日内书面通知成交供应商。成交供应商应当尽快负责补足或更换。</w:t>
            </w:r>
          </w:p>
          <w:p>
            <w:pPr>
              <w:rPr>
                <w:b/>
                <w:bCs/>
              </w:rPr>
            </w:pPr>
            <w:r>
              <w:rPr>
                <w:rFonts w:hint="eastAsia"/>
                <w:b/>
                <w:bCs/>
              </w:rPr>
              <w:t>六、结算与付款方式：</w:t>
            </w:r>
          </w:p>
          <w:p>
            <w:pPr>
              <w:ind w:firstLine="420" w:firstLineChars="200"/>
            </w:pPr>
            <w:r>
              <w:rPr>
                <w:rFonts w:hint="eastAsia"/>
              </w:rPr>
              <w:t>项目</w:t>
            </w:r>
            <w:r>
              <w:t>验收合格后，成交供应商开具合同货款金额100%的发票，并凭验收单及相关的财务凭证，办理付款手续。项目经验收合格之日起</w:t>
            </w:r>
            <w:r>
              <w:rPr>
                <w:rFonts w:hint="eastAsia"/>
              </w:rPr>
              <w:t>15个工作日内一次性付清合同金额。</w:t>
            </w:r>
          </w:p>
          <w:p>
            <w:pPr>
              <w:ind w:firstLine="420" w:firstLineChars="200"/>
            </w:pPr>
            <w:r>
              <w:rPr>
                <w:rFonts w:hint="eastAsia"/>
              </w:rPr>
              <w:t>支付方式：以转账的方式支付款项。</w:t>
            </w:r>
          </w:p>
          <w:p>
            <w:pPr>
              <w:rPr>
                <w:b/>
                <w:bCs/>
              </w:rPr>
            </w:pPr>
            <w:r>
              <w:rPr>
                <w:rFonts w:hint="eastAsia"/>
                <w:b/>
                <w:bCs/>
              </w:rPr>
              <w:t>七、服务要求：</w:t>
            </w:r>
          </w:p>
          <w:p>
            <w:pPr>
              <w:pStyle w:val="8"/>
              <w:shd w:val="clear" w:color="auto" w:fill="FFFFFF"/>
              <w:spacing w:beforeAutospacing="0" w:afterAutospacing="0"/>
              <w:ind w:firstLine="420"/>
              <w:jc w:val="both"/>
              <w:rPr>
                <w:rFonts w:ascii="Times New Roman" w:hAnsi="Times New Roman"/>
                <w:kern w:val="2"/>
                <w:sz w:val="21"/>
              </w:rPr>
            </w:pPr>
            <w:r>
              <w:rPr>
                <w:rFonts w:hint="eastAsia" w:ascii="Times New Roman" w:hAnsi="Times New Roman"/>
                <w:kern w:val="2"/>
                <w:sz w:val="21"/>
              </w:rPr>
              <w:t>（一）提供壹年免费质保，质保期从验收合格之日起计算。</w:t>
            </w:r>
          </w:p>
          <w:p>
            <w:pPr>
              <w:pStyle w:val="8"/>
              <w:shd w:val="clear" w:color="auto" w:fill="FFFFFF"/>
              <w:spacing w:beforeAutospacing="0" w:afterAutospacing="0"/>
              <w:ind w:firstLine="420"/>
              <w:jc w:val="both"/>
              <w:rPr>
                <w:rFonts w:ascii="Times New Roman" w:hAnsi="Times New Roman"/>
                <w:kern w:val="2"/>
                <w:sz w:val="21"/>
              </w:rPr>
            </w:pPr>
            <w:r>
              <w:rPr>
                <w:rFonts w:hint="eastAsia" w:ascii="Times New Roman" w:hAnsi="Times New Roman"/>
                <w:kern w:val="2"/>
                <w:sz w:val="21"/>
              </w:rPr>
              <w:t>（二）质保期内提供免费咨询和技术维护服务，同时提供7X24小时电话热线咨询服务。</w:t>
            </w:r>
          </w:p>
          <w:p>
            <w:pPr>
              <w:pStyle w:val="8"/>
              <w:shd w:val="clear" w:color="auto" w:fill="FFFFFF"/>
              <w:spacing w:beforeAutospacing="0" w:afterAutospacing="0"/>
              <w:ind w:firstLine="420"/>
              <w:jc w:val="both"/>
              <w:rPr>
                <w:rFonts w:ascii="Times New Roman" w:hAnsi="Times New Roman"/>
                <w:kern w:val="2"/>
                <w:sz w:val="21"/>
              </w:rPr>
            </w:pPr>
            <w:r>
              <w:rPr>
                <w:rFonts w:hint="eastAsia" w:ascii="Times New Roman" w:hAnsi="Times New Roman"/>
                <w:kern w:val="2"/>
                <w:sz w:val="21"/>
              </w:rPr>
              <w:t>（三）成交供应商须派遣技术人员到采购人指定现场负责设备的安装和调试工作。设备调试正常后，成交供应商须对设备操作及简单维修等注意事项，给予现场培训，使用户熟练掌握设备使用。</w:t>
            </w:r>
          </w:p>
          <w:p>
            <w:pPr>
              <w:pStyle w:val="8"/>
              <w:shd w:val="clear" w:color="auto" w:fill="FFFFFF"/>
              <w:spacing w:beforeAutospacing="0" w:afterAutospacing="0"/>
              <w:ind w:firstLine="420"/>
              <w:jc w:val="both"/>
              <w:rPr>
                <w:rFonts w:ascii="Times New Roman" w:hAnsi="Times New Roman"/>
                <w:kern w:val="2"/>
                <w:sz w:val="21"/>
              </w:rPr>
            </w:pPr>
            <w:r>
              <w:rPr>
                <w:rFonts w:hint="eastAsia" w:ascii="Times New Roman" w:hAnsi="Times New Roman"/>
                <w:kern w:val="2"/>
                <w:sz w:val="21"/>
              </w:rPr>
              <w:t>（四）在质保期内，若软硬件设备出现故障，成交供应商应在接到故障申报2小时内响应，24小时内排除故障，直至满足最终验收指标和性能的要求。</w:t>
            </w:r>
          </w:p>
          <w:p>
            <w:pPr>
              <w:pStyle w:val="8"/>
              <w:shd w:val="clear" w:color="auto" w:fill="FFFFFF"/>
              <w:spacing w:beforeAutospacing="0" w:afterAutospacing="0"/>
              <w:ind w:firstLine="420"/>
              <w:jc w:val="both"/>
              <w:rPr>
                <w:rFonts w:ascii="Times New Roman" w:hAnsi="Times New Roman"/>
                <w:kern w:val="2"/>
                <w:sz w:val="21"/>
              </w:rPr>
            </w:pPr>
            <w:r>
              <w:rPr>
                <w:rFonts w:hint="eastAsia" w:ascii="Times New Roman" w:hAnsi="Times New Roman"/>
                <w:kern w:val="2"/>
                <w:sz w:val="21"/>
              </w:rPr>
              <w:t>（五）成交供应商在质保期内未履行或未完全履行上述所列售后服务的，每违约一次扣除1000元履约保证金，若因此给采购人造成损失的，成交供应商还应赔偿采购人所受的损失,一年内超过三次的，采购人有权扣除全部履约保证金直至终止合同。</w:t>
            </w:r>
          </w:p>
          <w:p>
            <w:pPr>
              <w:rPr>
                <w:b/>
                <w:bCs/>
              </w:rPr>
            </w:pPr>
            <w:r>
              <w:rPr>
                <w:rFonts w:hint="eastAsia"/>
                <w:b/>
                <w:bCs/>
              </w:rPr>
              <w:t>八、违约责任要求：</w:t>
            </w:r>
          </w:p>
          <w:p>
            <w:pPr>
              <w:pStyle w:val="8"/>
              <w:wordWrap w:val="0"/>
              <w:spacing w:before="75" w:beforeAutospacing="0" w:after="75" w:afterAutospacing="0"/>
              <w:ind w:firstLine="420" w:firstLineChars="200"/>
              <w:rPr>
                <w:rFonts w:ascii="Times New Roman" w:hAnsi="Times New Roman"/>
                <w:kern w:val="2"/>
                <w:sz w:val="21"/>
              </w:rPr>
            </w:pPr>
            <w:r>
              <w:rPr>
                <w:rFonts w:hint="eastAsia" w:ascii="Times New Roman" w:hAnsi="Times New Roman"/>
                <w:kern w:val="2"/>
                <w:sz w:val="21"/>
              </w:rPr>
              <w:t>（一）成交供应商应在经营范围内经营，否则应承担由此产生的法律责任。</w:t>
            </w:r>
          </w:p>
          <w:p>
            <w:pPr>
              <w:pStyle w:val="8"/>
              <w:wordWrap w:val="0"/>
              <w:spacing w:before="75" w:beforeAutospacing="0" w:after="75" w:afterAutospacing="0"/>
              <w:ind w:firstLine="420" w:firstLineChars="200"/>
              <w:rPr>
                <w:rFonts w:ascii="Times New Roman" w:hAnsi="Times New Roman"/>
                <w:kern w:val="2"/>
                <w:sz w:val="21"/>
              </w:rPr>
            </w:pPr>
            <w:r>
              <w:rPr>
                <w:rFonts w:hint="eastAsia" w:ascii="Times New Roman" w:hAnsi="Times New Roman"/>
                <w:kern w:val="2"/>
                <w:sz w:val="21"/>
              </w:rPr>
              <w:t>（二）除不可抗拒原因，成交供应商单方解除合同的，没收全额履约保证金，如对采购人造成其他损失的，成交供应商需支付相应的赔偿。</w:t>
            </w:r>
          </w:p>
          <w:p>
            <w:pPr>
              <w:pStyle w:val="8"/>
              <w:wordWrap w:val="0"/>
              <w:spacing w:before="75" w:beforeAutospacing="0" w:after="75" w:afterAutospacing="0"/>
              <w:ind w:firstLine="420" w:firstLineChars="200"/>
              <w:rPr>
                <w:rFonts w:ascii="Times New Roman" w:hAnsi="Times New Roman"/>
                <w:kern w:val="2"/>
                <w:sz w:val="21"/>
              </w:rPr>
            </w:pPr>
            <w:r>
              <w:rPr>
                <w:rFonts w:hint="eastAsia" w:ascii="Times New Roman" w:hAnsi="Times New Roman"/>
                <w:kern w:val="2"/>
                <w:sz w:val="21"/>
              </w:rPr>
              <w:t>（三）在明确违约责任后，成交供应商应在接到书面通知书起七天内支付违约金、赔偿金等。</w:t>
            </w:r>
          </w:p>
          <w:p>
            <w:pPr>
              <w:pStyle w:val="8"/>
              <w:wordWrap w:val="0"/>
              <w:spacing w:before="75" w:beforeAutospacing="0" w:after="75" w:afterAutospacing="0"/>
              <w:ind w:firstLine="420" w:firstLineChars="200"/>
              <w:rPr>
                <w:rFonts w:ascii="Times New Roman" w:hAnsi="Times New Roman"/>
                <w:kern w:val="2"/>
                <w:sz w:val="21"/>
              </w:rPr>
            </w:pPr>
            <w:r>
              <w:rPr>
                <w:rFonts w:hint="eastAsia" w:ascii="Times New Roman" w:hAnsi="Times New Roman"/>
                <w:kern w:val="2"/>
                <w:sz w:val="21"/>
              </w:rPr>
              <w:t>（四）成交供应商超出约定供货期限20个工作日不能按期交货完成调试的，采购人有权扣除成交供应商全部履约保证金，并终止合同。如对采购人造成其他损失的，成交供应商需另行支付相应的赔偿。</w:t>
            </w:r>
          </w:p>
          <w:p>
            <w:pPr>
              <w:pStyle w:val="8"/>
              <w:wordWrap w:val="0"/>
              <w:spacing w:before="75" w:beforeAutospacing="0" w:after="75" w:afterAutospacing="0"/>
              <w:ind w:firstLine="420" w:firstLineChars="200"/>
              <w:rPr>
                <w:rFonts w:ascii="Times New Roman" w:hAnsi="Times New Roman"/>
                <w:kern w:val="2"/>
                <w:sz w:val="21"/>
              </w:rPr>
            </w:pPr>
            <w:r>
              <w:rPr>
                <w:rFonts w:hint="eastAsia" w:ascii="Times New Roman" w:hAnsi="Times New Roman"/>
                <w:kern w:val="2"/>
                <w:sz w:val="21"/>
              </w:rPr>
              <w:t>（五）成交供应商所交货物品种、型号、测试报告等相关材料不符合成交要求的，采购人有权拒收，原则上退换货，并扣除成交供应商履约保证金2000元，如对采购人造成其他损失的，成交供应商需另行支付相应的赔偿，直至终止合同。</w:t>
            </w:r>
            <w:r>
              <w:rPr>
                <w:rFonts w:hint="eastAsia" w:ascii="Times New Roman" w:hAnsi="Times New Roman"/>
                <w:kern w:val="2"/>
                <w:sz w:val="21"/>
              </w:rPr>
              <w:br w:type="textWrapping"/>
            </w:r>
            <w:r>
              <w:rPr>
                <w:rFonts w:hint="eastAsia" w:ascii="Times New Roman" w:hAnsi="Times New Roman"/>
                <w:kern w:val="2"/>
                <w:sz w:val="21"/>
              </w:rPr>
              <w:t xml:space="preserve">    （六）本项目不允许成交供应商以任何名义和理由进行转包，如有发现，采购人有权单方终止合同，没收全额履约保证金。如履约保证金不能弥补违约对采购人造成的损失的，成交供应商另行支付相应赔偿。</w:t>
            </w:r>
          </w:p>
          <w:p>
            <w:pPr>
              <w:pStyle w:val="8"/>
              <w:wordWrap w:val="0"/>
              <w:spacing w:before="75" w:beforeAutospacing="0" w:after="75" w:afterAutospacing="0"/>
              <w:rPr>
                <w:rFonts w:ascii="Times New Roman" w:hAnsi="Times New Roman"/>
                <w:b/>
                <w:bCs/>
                <w:kern w:val="2"/>
                <w:sz w:val="21"/>
              </w:rPr>
            </w:pPr>
            <w:r>
              <w:rPr>
                <w:rFonts w:hint="eastAsia" w:ascii="Times New Roman" w:hAnsi="Times New Roman"/>
                <w:b/>
                <w:bCs/>
                <w:kern w:val="2"/>
                <w:sz w:val="21"/>
              </w:rPr>
              <w:t>九、其它要求</w:t>
            </w:r>
          </w:p>
          <w:p>
            <w:pPr>
              <w:pStyle w:val="8"/>
              <w:wordWrap w:val="0"/>
              <w:spacing w:before="75" w:beforeAutospacing="0" w:after="75" w:afterAutospacing="0"/>
              <w:ind w:firstLine="420" w:firstLineChars="200"/>
              <w:rPr>
                <w:rFonts w:ascii="Times New Roman" w:hAnsi="Times New Roman"/>
                <w:kern w:val="2"/>
                <w:sz w:val="21"/>
              </w:rPr>
            </w:pPr>
            <w:r>
              <w:rPr>
                <w:rFonts w:hint="eastAsia" w:ascii="Times New Roman" w:hAnsi="Times New Roman"/>
                <w:kern w:val="2"/>
                <w:sz w:val="21"/>
              </w:rPr>
              <w:t>（一）成交供应商送货车辆应性能安全可靠，门窗完好无损，同时随车配备安全保险锁，遵守采购人单位车辆相关管理规定。</w:t>
            </w:r>
          </w:p>
          <w:p>
            <w:pPr>
              <w:pStyle w:val="8"/>
              <w:wordWrap w:val="0"/>
              <w:spacing w:before="75" w:beforeAutospacing="0" w:after="75" w:afterAutospacing="0"/>
              <w:ind w:firstLine="420" w:firstLineChars="200"/>
              <w:rPr>
                <w:rFonts w:hint="eastAsia" w:ascii="Times New Roman" w:hAnsi="Times New Roman"/>
                <w:kern w:val="2"/>
                <w:sz w:val="21"/>
              </w:rPr>
            </w:pPr>
            <w:r>
              <w:rPr>
                <w:rFonts w:hint="eastAsia" w:ascii="Times New Roman" w:hAnsi="Times New Roman"/>
                <w:kern w:val="2"/>
                <w:sz w:val="21"/>
              </w:rPr>
              <w:t>（二）由于采购人单位管理的特殊性，要求成交供应商指派送货或管理人员必须为男性，且无犯罪前科等符合采购人外涉人员的管理规定。</w:t>
            </w:r>
          </w:p>
          <w:p>
            <w:pPr>
              <w:pStyle w:val="8"/>
              <w:wordWrap w:val="0"/>
              <w:spacing w:before="75" w:beforeAutospacing="0" w:after="75" w:afterAutospacing="0"/>
              <w:ind w:firstLine="420" w:firstLineChars="200"/>
              <w:rPr>
                <w:rFonts w:ascii="Times New Roman" w:hAnsi="Times New Roman"/>
                <w:kern w:val="2"/>
                <w:sz w:val="21"/>
              </w:rPr>
            </w:pPr>
            <w:r>
              <w:rPr>
                <w:rFonts w:hint="eastAsia" w:ascii="Times New Roman" w:hAnsi="Times New Roman"/>
                <w:kern w:val="2"/>
                <w:sz w:val="21"/>
              </w:rPr>
              <w:t>（三）项目施工需要符合采购人单位疫情管理规定。由此产生的费用由成交供应商自理。</w:t>
            </w:r>
          </w:p>
          <w:p>
            <w:pPr>
              <w:pStyle w:val="8"/>
              <w:wordWrap w:val="0"/>
              <w:spacing w:before="75" w:beforeAutospacing="0" w:after="75" w:afterAutospacing="0"/>
              <w:ind w:firstLine="420" w:firstLineChars="200"/>
              <w:rPr>
                <w:rFonts w:ascii="Times New Roman" w:hAnsi="Times New Roman"/>
                <w:kern w:val="2"/>
                <w:sz w:val="21"/>
              </w:rPr>
            </w:pPr>
            <w:r>
              <w:rPr>
                <w:rFonts w:hint="eastAsia" w:ascii="Times New Roman" w:hAnsi="Times New Roman"/>
                <w:kern w:val="2"/>
                <w:sz w:val="21"/>
              </w:rPr>
              <w:t>（四）保密要求</w:t>
            </w:r>
          </w:p>
          <w:p>
            <w:pPr>
              <w:pStyle w:val="8"/>
              <w:wordWrap w:val="0"/>
              <w:spacing w:before="75" w:beforeAutospacing="0" w:after="75" w:afterAutospacing="0"/>
              <w:ind w:firstLine="420" w:firstLineChars="200"/>
              <w:rPr>
                <w:rFonts w:ascii="Times New Roman" w:hAnsi="Times New Roman"/>
                <w:kern w:val="2"/>
                <w:sz w:val="21"/>
              </w:rPr>
            </w:pPr>
            <w:r>
              <w:rPr>
                <w:rFonts w:hint="eastAsia" w:ascii="Times New Roman" w:hAnsi="Times New Roman"/>
                <w:kern w:val="2"/>
                <w:sz w:val="21"/>
              </w:rPr>
              <w:t>成交供应商要认真遵守国家保密法律、法规和规章制度，履行保密义务；成交供应商进入采购人工作区域的工作人员需签订《保密承诺书》，要严格履行保密义务，未经采购人允许不得违规记录、存储、复制国家秘密信息，不以任何方式泄露所接触和知悉的国家秘密，严禁将采购人工作文件等内部资料泄露出去，如发生泄密行为，成交供应商及其工作人员将承担相应法律后果。</w:t>
            </w:r>
          </w:p>
          <w:p>
            <w:pPr>
              <w:rPr>
                <w:rFonts w:ascii="宋体" w:hAnsi="宋体" w:eastAsia="宋体" w:cs="宋体"/>
                <w:bCs/>
                <w:color w:val="000000" w:themeColor="text1"/>
                <w:kern w:val="0"/>
                <w:sz w:val="24"/>
                <w:shd w:val="clear" w:color="auto" w:fill="FFFFFF"/>
              </w:rPr>
            </w:pPr>
          </w:p>
        </w:tc>
      </w:tr>
    </w:tbl>
    <w:p>
      <w:pPr>
        <w:rPr>
          <w:rFonts w:ascii="宋体" w:hAnsi="宋体" w:eastAsia="宋体" w:cs="宋体"/>
          <w:bCs/>
          <w:color w:val="000000" w:themeColor="text1"/>
          <w:kern w:val="0"/>
          <w:sz w:val="24"/>
          <w:shd w:val="clear" w:color="auto" w:fill="FFFFFF"/>
        </w:rPr>
      </w:pPr>
    </w:p>
    <w:p>
      <w:pPr>
        <w:rPr>
          <w:rFonts w:ascii="宋体" w:hAnsi="宋体" w:eastAsia="宋体" w:cs="宋体"/>
          <w:b/>
          <w:color w:val="000000" w:themeColor="text1"/>
          <w:kern w:val="0"/>
          <w:sz w:val="24"/>
          <w:shd w:val="clear" w:color="auto" w:fill="FFFFFF"/>
        </w:rPr>
      </w:pPr>
    </w:p>
    <w:p>
      <w:pPr>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根据《福建省财政厅关于进一步做好省级网上竞价采购工作的通知》（闽财购[2010]18号）的规定，福建优胜招标项目管理集团有限公司采用网上竞价（以下简称“竞价”）方式组织实施本次货物及服务的网上竞价，现邀请合格的供应商前来报价。</w:t>
      </w:r>
    </w:p>
    <w:p>
      <w:pPr>
        <w:rPr>
          <w:rFonts w:ascii="宋体" w:hAnsi="宋体" w:eastAsia="宋体" w:cs="宋体"/>
          <w:b/>
          <w:color w:val="000000" w:themeColor="text1"/>
          <w:kern w:val="0"/>
          <w:sz w:val="24"/>
          <w:shd w:val="clear" w:color="auto" w:fill="FFFFFF"/>
        </w:rPr>
      </w:pPr>
    </w:p>
    <w:p>
      <w:pPr>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二、合格的竞价供应商</w:t>
      </w:r>
    </w:p>
    <w:p>
      <w:pPr>
        <w:rPr>
          <w:rFonts w:ascii="宋体" w:hAnsi="宋体" w:eastAsia="宋体" w:cs="宋体"/>
          <w:bCs/>
          <w:color w:val="000000" w:themeColor="text1"/>
          <w:kern w:val="0"/>
          <w:sz w:val="24"/>
          <w:shd w:val="clear" w:color="auto" w:fill="FFFFFF"/>
        </w:rPr>
      </w:pPr>
    </w:p>
    <w:p>
      <w:pPr>
        <w:spacing w:line="280" w:lineRule="exact"/>
        <w:ind w:firstLine="480" w:firstLineChars="200"/>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1、凡有能力提供本竞价公告所述货物及服务的，具有法人资格的境内供货商或制造商均可能成为合格的供应商；</w:t>
      </w:r>
    </w:p>
    <w:p>
      <w:pPr>
        <w:spacing w:line="280" w:lineRule="exact"/>
        <w:ind w:firstLine="480" w:firstLineChars="200"/>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2、供应商须提供社会保障资金的相关材料；</w:t>
      </w:r>
    </w:p>
    <w:p>
      <w:pPr>
        <w:spacing w:line="280" w:lineRule="exact"/>
        <w:ind w:firstLine="480" w:firstLineChars="200"/>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3、供应商须提供无行贿犯罪承诺函；</w:t>
      </w:r>
    </w:p>
    <w:p>
      <w:pPr>
        <w:numPr>
          <w:ilvl w:val="255"/>
          <w:numId w:val="0"/>
        </w:numPr>
        <w:spacing w:line="280" w:lineRule="exact"/>
        <w:ind w:firstLine="480" w:firstLineChars="200"/>
        <w:rPr>
          <w:rFonts w:ascii="宋体" w:hAnsi="宋体" w:cs="宋体"/>
          <w:bCs/>
          <w:color w:val="000000"/>
          <w:kern w:val="0"/>
          <w:sz w:val="24"/>
          <w:shd w:val="clear" w:color="auto" w:fill="FFFFFF"/>
        </w:rPr>
      </w:pPr>
      <w:r>
        <w:rPr>
          <w:rFonts w:hint="eastAsia" w:ascii="宋体" w:hAnsi="宋体" w:cs="宋体"/>
          <w:bCs/>
          <w:color w:val="000000"/>
          <w:kern w:val="0"/>
          <w:sz w:val="24"/>
          <w:shd w:val="clear" w:color="auto" w:fill="FFFFFF"/>
        </w:rPr>
        <w:t>4、供应商须提供网上竞价承诺书。</w:t>
      </w:r>
    </w:p>
    <w:p>
      <w:pPr>
        <w:spacing w:line="280" w:lineRule="exact"/>
        <w:ind w:firstLine="720" w:firstLineChars="3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注：(1) 法人包括企业法人、机关法人、事业单位法人和社会团体法人，提供统一社会信用代码营业执照复印件。 (2)社会保障资金的相关材料，是指提供报名截止时间前六个月任一个月的缴纳社会保险的凭据；或者提供不需要缴纳社会保障资金的声明函。(3)提供无行贿犯罪承诺函（书面说明并加盖供应商公章）。</w:t>
      </w:r>
    </w:p>
    <w:p>
      <w:pPr>
        <w:rPr>
          <w:rFonts w:ascii="宋体" w:hAnsi="宋体" w:eastAsia="宋体" w:cs="宋体"/>
          <w:bCs/>
          <w:color w:val="000000" w:themeColor="text1"/>
          <w:kern w:val="0"/>
          <w:sz w:val="24"/>
          <w:shd w:val="clear" w:color="auto" w:fill="FFFFFF"/>
        </w:rPr>
      </w:pPr>
    </w:p>
    <w:p>
      <w:pPr>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三、报名要求</w:t>
      </w:r>
    </w:p>
    <w:p>
      <w:pPr>
        <w:rPr>
          <w:rFonts w:ascii="宋体" w:hAnsi="宋体" w:eastAsia="宋体" w:cs="宋体"/>
          <w:bCs/>
          <w:color w:val="000000" w:themeColor="text1"/>
          <w:kern w:val="0"/>
          <w:sz w:val="24"/>
          <w:shd w:val="clear" w:color="auto" w:fill="FFFFFF"/>
        </w:rPr>
      </w:pPr>
    </w:p>
    <w:p>
      <w:pPr>
        <w:ind w:firstLine="480" w:firstLineChars="200"/>
        <w:rPr>
          <w:rFonts w:ascii="宋体" w:hAnsi="宋体" w:eastAsia="宋体" w:cs="宋体"/>
          <w:bCs/>
          <w:kern w:val="0"/>
          <w:sz w:val="24"/>
          <w:shd w:val="clear" w:color="auto" w:fill="FFFFFF"/>
        </w:rPr>
      </w:pPr>
      <w:r>
        <w:rPr>
          <w:rFonts w:hint="eastAsia" w:ascii="宋体" w:hAnsi="宋体" w:cs="Arial"/>
          <w:kern w:val="0"/>
          <w:sz w:val="24"/>
        </w:rPr>
        <w:t>1、报名时间与竞价文件上传时间：</w:t>
      </w:r>
      <w:r>
        <w:rPr>
          <w:rFonts w:hint="eastAsia" w:ascii="宋体" w:hAnsi="宋体" w:cs="Arial"/>
          <w:b/>
          <w:kern w:val="0"/>
          <w:sz w:val="24"/>
          <w:u w:val="single"/>
        </w:rPr>
        <w:t>2021年12月</w:t>
      </w:r>
      <w:r>
        <w:rPr>
          <w:rFonts w:hint="eastAsia" w:ascii="宋体" w:hAnsi="宋体" w:cs="Arial"/>
          <w:b/>
          <w:kern w:val="0"/>
          <w:sz w:val="24"/>
          <w:u w:val="single"/>
          <w:lang w:val="en-US" w:eastAsia="zh-CN"/>
        </w:rPr>
        <w:t>13</w:t>
      </w:r>
      <w:r>
        <w:rPr>
          <w:rFonts w:hint="eastAsia" w:ascii="宋体" w:hAnsi="宋体" w:cs="Arial"/>
          <w:b/>
          <w:kern w:val="0"/>
          <w:sz w:val="24"/>
          <w:u w:val="single"/>
        </w:rPr>
        <w:t>日至2021年12月</w:t>
      </w:r>
      <w:r>
        <w:rPr>
          <w:rFonts w:hint="eastAsia" w:ascii="宋体" w:hAnsi="宋体" w:cs="Arial"/>
          <w:b/>
          <w:kern w:val="0"/>
          <w:sz w:val="24"/>
          <w:u w:val="single"/>
          <w:lang w:val="en-US" w:eastAsia="zh-CN"/>
        </w:rPr>
        <w:t>16</w:t>
      </w:r>
      <w:r>
        <w:rPr>
          <w:rFonts w:hint="eastAsia" w:ascii="宋体" w:hAnsi="宋体" w:cs="Arial"/>
          <w:b/>
          <w:kern w:val="0"/>
          <w:sz w:val="24"/>
          <w:u w:val="single"/>
        </w:rPr>
        <w:t>日17:30止</w:t>
      </w:r>
      <w:r>
        <w:rPr>
          <w:rFonts w:hint="eastAsia" w:ascii="宋体" w:hAnsi="宋体" w:cs="Arial"/>
          <w:kern w:val="0"/>
          <w:sz w:val="24"/>
        </w:rPr>
        <w:t>，北京时间上午9：00-11:30，下午14:30-17：30时（正常工作时间，节假日除外）</w:t>
      </w:r>
    </w:p>
    <w:p>
      <w:pPr>
        <w:widowControl/>
        <w:spacing w:line="440" w:lineRule="exact"/>
        <w:ind w:left="269" w:leftChars="128" w:firstLine="249" w:firstLineChars="104"/>
        <w:jc w:val="left"/>
        <w:rPr>
          <w:rFonts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2、</w:t>
      </w:r>
      <w:r>
        <w:rPr>
          <w:rFonts w:hint="eastAsia" w:ascii="宋体" w:hAnsi="宋体" w:eastAsia="宋体" w:cs="宋体"/>
          <w:b/>
          <w:bCs/>
          <w:kern w:val="0"/>
          <w:sz w:val="24"/>
          <w:shd w:val="pct10" w:color="auto" w:fill="FFFFFF"/>
        </w:rPr>
        <w:t>竞价时间：2021年12月</w:t>
      </w:r>
      <w:r>
        <w:rPr>
          <w:rFonts w:hint="eastAsia" w:ascii="宋体" w:hAnsi="宋体" w:eastAsia="宋体" w:cs="宋体"/>
          <w:b/>
          <w:bCs/>
          <w:kern w:val="0"/>
          <w:sz w:val="24"/>
          <w:shd w:val="pct10" w:color="auto" w:fill="FFFFFF"/>
          <w:lang w:val="en-US" w:eastAsia="zh-CN"/>
        </w:rPr>
        <w:t>17</w:t>
      </w:r>
      <w:r>
        <w:rPr>
          <w:rFonts w:hint="eastAsia" w:ascii="宋体" w:hAnsi="宋体" w:eastAsia="宋体" w:cs="宋体"/>
          <w:b/>
          <w:bCs/>
          <w:kern w:val="0"/>
          <w:sz w:val="24"/>
          <w:shd w:val="pct10" w:color="auto" w:fill="FFFFFF"/>
        </w:rPr>
        <w:t>日上午09:00至 11：00</w:t>
      </w:r>
    </w:p>
    <w:p>
      <w:pPr>
        <w:ind w:firstLine="480" w:firstLineChars="200"/>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3、关于网上竞价线上报名流程：</w:t>
      </w:r>
    </w:p>
    <w:p>
      <w:pPr>
        <w:ind w:firstLine="480" w:firstLineChars="200"/>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第一步：请各潜在报价人登录【福建优胜招标项目管理集团有限公司网站（http://www. fjyszb.com/）】首页进行供应商注册；</w:t>
      </w:r>
    </w:p>
    <w:p>
      <w:pPr>
        <w:ind w:firstLine="480" w:firstLineChars="200"/>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第二步：供应商注册审核经通过后，供应商应登录供应商后台进行项目报名，待报名审核通过后，</w:t>
      </w:r>
      <w:r>
        <w:rPr>
          <w:rFonts w:hint="eastAsia" w:ascii="宋体" w:hAnsi="宋体" w:eastAsia="宋体" w:cs="宋体"/>
          <w:bCs/>
          <w:color w:val="FF0000"/>
          <w:kern w:val="0"/>
          <w:sz w:val="24"/>
          <w:shd w:val="clear" w:color="auto" w:fill="FFFFFF"/>
        </w:rPr>
        <w:t>供应商须上传电子版响应文件，否则竞价将被拒绝</w:t>
      </w:r>
      <w:r>
        <w:rPr>
          <w:rFonts w:hint="eastAsia" w:ascii="宋体" w:hAnsi="宋体" w:eastAsia="宋体" w:cs="宋体"/>
          <w:bCs/>
          <w:color w:val="000000" w:themeColor="text1"/>
          <w:kern w:val="0"/>
          <w:sz w:val="24"/>
          <w:shd w:val="clear" w:color="auto" w:fill="FFFFFF"/>
        </w:rPr>
        <w:t>。</w:t>
      </w:r>
    </w:p>
    <w:p>
      <w:pPr>
        <w:rPr>
          <w:rFonts w:ascii="宋体" w:hAnsi="宋体" w:eastAsia="宋体" w:cs="宋体"/>
          <w:bCs/>
          <w:color w:val="000000" w:themeColor="text1"/>
          <w:kern w:val="0"/>
          <w:sz w:val="24"/>
          <w:shd w:val="clear" w:color="auto" w:fill="FFFFFF"/>
        </w:rPr>
      </w:pPr>
    </w:p>
    <w:p>
      <w:pPr>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四、竞价须知</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1、本项目未经过进口产品论证，采购的货物为国内产品，不接受进口产品投标。国内产品含在中国境内生产的中外合资产品，且国内生产成本超过一定比例的最终产品，国内生产成本比例=(产品出厂价格-进口价格)/产品出厂价格；凡在海关特殊监管区域(保税区、出口加工区、保税港区、珠澳跨境工业区珠海园区、中哈霍尔果斯国际边境合作中心中方配套区、综合保税区)内企业生产或加工(包括从境外进口料件)销往境内其他地区的产品，不作为政府采购项下进口产品。进口产品是指通过中国海关报关验放进入中国境内且产自关境外的产品。</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2、若本次采购货物属于政府强制采购节能产品的（节能产品政府采购清单目录中加★号的），供应商须提供《节能产品政府采购清单》内的产品，并在报价文件中提供相关证明材料，未按此要求的，竞价无效。</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3、供应商所投货物若在中国国家认证认可监督管理委员会的《强制性产品认证目录描述与界定表》范畴内，必须在报价文件中提供相关证明材料，且在有效期内，未按此要求的，竞价无效。</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4、供应商须打印报价文件签字确认并每页加盖公章后扫描上传报价文件（电子档Jpg或pdf或文件夹压缩包RAR），包括但不限于以下内容：统一社会信用代码营业执照、法人代表授权书(法人及授权人身份证)、近期（提交报价文件截止时间前六个月任意一个月）缴纳社会保险的凭据、竞价书、竞价人声明、竞价一览表、货物说明一览表、售后服务承诺、节能产品政府采购清单相关材料（若有）、3C认证证书（若有）。未按上述条款要求扫描上传报价文件的竞价无效。电子报价文档具有法律效力。</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5、供应商自行承担所有参与报价的全部相关费用，本项目若无</w:t>
      </w:r>
      <w:r>
        <w:rPr>
          <w:rFonts w:hint="eastAsia" w:ascii="宋体" w:hAnsi="宋体" w:eastAsia="宋体" w:cs="宋体"/>
          <w:bCs/>
          <w:color w:val="000000" w:themeColor="text1"/>
          <w:kern w:val="0"/>
          <w:sz w:val="24"/>
          <w:shd w:val="clear" w:color="auto" w:fill="FFFFFF"/>
          <w:lang w:val="en-US" w:eastAsia="zh-CN"/>
        </w:rPr>
        <w:t>三</w:t>
      </w:r>
      <w:r>
        <w:rPr>
          <w:rFonts w:hint="eastAsia" w:ascii="宋体" w:hAnsi="宋体" w:eastAsia="宋体" w:cs="宋体"/>
          <w:bCs/>
          <w:color w:val="000000" w:themeColor="text1"/>
          <w:kern w:val="0"/>
          <w:sz w:val="24"/>
          <w:shd w:val="clear" w:color="auto" w:fill="FFFFFF"/>
        </w:rPr>
        <w:t>个(含)以上供应商参与竞价的，本项目将做废标处理。</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6、供应商应详细阅读关于本次网上竞价项目采购的竞价公告内容，自行承担，在整个竞价过程及操作过程（计算机及其操作系统的使用，IE浏览器升级，输入法安装调试，控件插件的安装，杀毒软件、木马病毒的排查、网络带宽的延迟及掉线，断网等）</w:t>
      </w:r>
    </w:p>
    <w:p>
      <w:pPr>
        <w:rPr>
          <w:rFonts w:ascii="宋体" w:hAnsi="宋体" w:eastAsia="宋体" w:cs="宋体"/>
          <w:bCs/>
          <w:color w:val="000000" w:themeColor="text1"/>
          <w:kern w:val="0"/>
          <w:sz w:val="24"/>
          <w:shd w:val="clear" w:color="auto" w:fill="FFFFFF"/>
        </w:rPr>
      </w:pPr>
    </w:p>
    <w:p>
      <w:pPr>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五、竞价准则</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1、采购代理机构将采购人提出的采购需求在福建优胜招标项目管理集团有限公司网站（http://www.fjyszb.com）、中国政府采购网（http://www.ccgp.gov.cn/）进行发布。网上竞价的报价时限为竞价公告截止后两个小时内，在报价时限截止前，潜在供应商可通过福建优胜招标项目管理集团有限公司网（http://www.fjyszb.com）竞平台进行竞价。在符合采购需求且报价有效的前提下，报价最低者成交（报价相同的，以报价时间优先者成交）。</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2、本项目最高折扣价为100%，竞价过程中，供应商提交的最终报价必须低于最高折扣，否则视为无效报价。</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3、符合以上要求的报价，可以在规定的报价时限内不限次数报价，直到竞价截止时间为止。</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4、各供应商的报价须符合《中华人民共和国政府采购法》第二条“采购，是指以合同方式有偿取得货物、工程和服务的行为，包括购买、租赁、委托、雇用等”的相关规定。</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5、供应商已详细审查全部竞价公告，包括修改竞价公告(如有的话)和有关附件，将自行承担因对全部竞价公告理解不正确或误解而产生的相应后果。</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6、供应商同意提供按照采购代理机构可能要求的与其竞价有关的一切数据或资料，完全理解采购代理机构不一定要接受最低的竞价或收到的任何竞价。</w:t>
      </w:r>
    </w:p>
    <w:p>
      <w:pPr>
        <w:rPr>
          <w:rFonts w:ascii="宋体" w:hAnsi="宋体" w:eastAsia="宋体" w:cs="宋体"/>
          <w:bCs/>
          <w:color w:val="000000" w:themeColor="text1"/>
          <w:kern w:val="0"/>
          <w:sz w:val="24"/>
          <w:shd w:val="clear" w:color="auto" w:fill="FFFFFF"/>
        </w:rPr>
      </w:pPr>
    </w:p>
    <w:p>
      <w:pPr>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六、竞价结果确认</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1、网上竞价公告期满，采购代理机构以成交结果通知书等方式书面通知采购单位。同时将成交结果等信息在福建优胜招标项目管理集团有限公司上发布成交公告。公告期限为本公告之日起1个工作日。</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FF0000"/>
          <w:kern w:val="0"/>
          <w:sz w:val="24"/>
          <w:shd w:val="clear" w:color="auto" w:fill="FFFFFF"/>
        </w:rPr>
      </w:pPr>
      <w:r>
        <w:rPr>
          <w:rFonts w:hint="eastAsia" w:ascii="宋体" w:hAnsi="宋体" w:eastAsia="宋体" w:cs="宋体"/>
          <w:bCs/>
          <w:color w:val="000000" w:themeColor="text1"/>
          <w:kern w:val="0"/>
          <w:sz w:val="24"/>
          <w:shd w:val="clear" w:color="auto" w:fill="FFFFFF"/>
        </w:rPr>
        <w:t>2、成交公告发布之日起1个工作日后，成交人即可携带网上竞价项目报价文件原件一式二份至采购代理机构处领取成交通知书。供应商携带的网上竞价项目报价文件包括但不限于以下内容：</w:t>
      </w:r>
      <w:r>
        <w:rPr>
          <w:rFonts w:hint="eastAsia" w:ascii="宋体" w:hAnsi="宋体" w:eastAsia="宋体" w:cs="宋体"/>
          <w:bCs/>
          <w:color w:val="FF0000"/>
          <w:kern w:val="0"/>
          <w:sz w:val="24"/>
          <w:shd w:val="clear" w:color="auto" w:fill="FFFFFF"/>
        </w:rPr>
        <w:t>统一社会信用代码营业执照、近期（提交报价文件截止时间前六个月任意一个月）缴纳社会保险的凭据、竞价书、竞价人声明、竞价一览表、货物说明一览表、售后服务承诺、报价代表人的法定代表人授权书、节能产品政府采购清单相关材料（若有）、3C认证证书（若有）。以上材料必须加盖报价单位公章，并由成交人的法定代表人（或其授权代表）签字。报价文件须加盖骑缝章，且装订成册。</w:t>
      </w:r>
    </w:p>
    <w:p>
      <w:pPr>
        <w:rPr>
          <w:rFonts w:ascii="宋体" w:hAnsi="宋体" w:eastAsia="宋体" w:cs="宋体"/>
          <w:bCs/>
          <w:color w:val="000000" w:themeColor="text1"/>
          <w:kern w:val="0"/>
          <w:sz w:val="24"/>
          <w:shd w:val="clear" w:color="auto" w:fill="FFFFFF"/>
        </w:rPr>
      </w:pPr>
    </w:p>
    <w:p>
      <w:pPr>
        <w:rPr>
          <w:rFonts w:ascii="宋体" w:hAnsi="宋体" w:eastAsia="宋体" w:cs="宋体"/>
          <w:b/>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七、</w:t>
      </w:r>
      <w:r>
        <w:rPr>
          <w:rFonts w:hint="eastAsia" w:ascii="宋体" w:hAnsi="宋体" w:eastAsia="宋体" w:cs="宋体"/>
          <w:b/>
          <w:color w:val="000000" w:themeColor="text1"/>
          <w:kern w:val="0"/>
          <w:sz w:val="24"/>
          <w:shd w:val="clear" w:color="auto" w:fill="FFFFFF"/>
        </w:rPr>
        <w:t>竞价保证金</w:t>
      </w:r>
    </w:p>
    <w:p>
      <w:pPr>
        <w:rPr>
          <w:rFonts w:ascii="宋体" w:hAnsi="宋体" w:eastAsia="宋体" w:cs="宋体"/>
          <w:bCs/>
          <w:color w:val="000000" w:themeColor="text1"/>
          <w:kern w:val="0"/>
          <w:sz w:val="24"/>
          <w:shd w:val="clear" w:color="auto" w:fill="FFFFFF"/>
        </w:rPr>
      </w:pPr>
    </w:p>
    <w:p>
      <w:pPr>
        <w:widowControl/>
        <w:numPr>
          <w:ilvl w:val="255"/>
          <w:numId w:val="0"/>
        </w:numPr>
        <w:spacing w:line="440" w:lineRule="exact"/>
        <w:jc w:val="left"/>
        <w:rPr>
          <w:rFonts w:ascii="宋体" w:hAnsi="宋体" w:eastAsia="宋体" w:cs="宋体"/>
          <w:b/>
          <w:kern w:val="0"/>
          <w:sz w:val="24"/>
          <w:shd w:val="clear" w:color="auto" w:fill="FFFFFF"/>
        </w:rPr>
      </w:pPr>
      <w:r>
        <w:rPr>
          <w:rFonts w:hint="eastAsia" w:ascii="宋体" w:hAnsi="宋体" w:eastAsia="宋体" w:cs="宋体"/>
          <w:b/>
          <w:kern w:val="0"/>
          <w:sz w:val="24"/>
          <w:shd w:val="clear" w:color="auto" w:fill="FFFFFF"/>
        </w:rPr>
        <w:t>1、竞价保证金人民币2000元整，各竞价人应于竞价截止日前一天将保证金汇入福建优胜招标项目管理集团有限公司指定账户,以福建优胜招标项目管理集团有限公司指定开户银行到账凭证为准，否则视为未提交，将无法参与竞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255"/>
                <w:numId w:val="0"/>
              </w:numPr>
              <w:spacing w:line="440" w:lineRule="exact"/>
              <w:jc w:val="left"/>
              <w:rPr>
                <w:rFonts w:ascii="宋体" w:hAnsi="宋体" w:cs="Arial"/>
                <w:kern w:val="0"/>
                <w:sz w:val="24"/>
              </w:rPr>
            </w:pPr>
            <w:r>
              <w:rPr>
                <w:rFonts w:ascii="宋体" w:hAnsi="宋体" w:cs="Arial"/>
                <w:kern w:val="0"/>
                <w:sz w:val="24"/>
              </w:rPr>
              <w:t>开户名称：</w:t>
            </w:r>
            <w:r>
              <w:rPr>
                <w:rFonts w:hint="eastAsia" w:ascii="宋体" w:hAnsi="宋体" w:cs="Arial"/>
                <w:kern w:val="0"/>
                <w:sz w:val="24"/>
              </w:rPr>
              <w:t>福建优胜招标项目管理集团有限公司龙岩分公司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255"/>
                <w:numId w:val="0"/>
              </w:numPr>
              <w:spacing w:line="440" w:lineRule="exact"/>
              <w:jc w:val="left"/>
              <w:rPr>
                <w:rFonts w:ascii="宋体" w:hAnsi="宋体" w:cs="Arial"/>
                <w:kern w:val="0"/>
                <w:sz w:val="24"/>
              </w:rPr>
            </w:pPr>
            <w:r>
              <w:rPr>
                <w:rFonts w:ascii="宋体" w:hAnsi="宋体" w:cs="Arial"/>
                <w:kern w:val="0"/>
                <w:sz w:val="24"/>
              </w:rPr>
              <w:t>开户银行：</w:t>
            </w:r>
            <w:r>
              <w:rPr>
                <w:rFonts w:hint="eastAsia" w:ascii="宋体" w:hAnsi="宋体" w:cs="Arial"/>
                <w:kern w:val="0"/>
                <w:sz w:val="24"/>
              </w:rPr>
              <w:t>中国建设银行股份有限公司龙岩第一支行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255"/>
                <w:numId w:val="0"/>
              </w:numPr>
              <w:spacing w:line="440" w:lineRule="exact"/>
              <w:jc w:val="left"/>
              <w:rPr>
                <w:rFonts w:ascii="宋体" w:hAnsi="宋体" w:cs="Arial"/>
                <w:kern w:val="0"/>
                <w:sz w:val="24"/>
              </w:rPr>
            </w:pPr>
            <w:r>
              <w:rPr>
                <w:rFonts w:ascii="宋体" w:hAnsi="宋体" w:cs="Arial"/>
                <w:kern w:val="0"/>
                <w:sz w:val="24"/>
              </w:rPr>
              <w:t>账号：</w:t>
            </w:r>
            <w:r>
              <w:rPr>
                <w:rFonts w:hint="eastAsia" w:ascii="宋体" w:hAnsi="宋体" w:cs="Arial"/>
                <w:kern w:val="0"/>
                <w:sz w:val="24"/>
              </w:rPr>
              <w:t>3500 1697 7070 5252 7193</w:t>
            </w:r>
          </w:p>
        </w:tc>
      </w:tr>
    </w:tbl>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2、未成交的供应商，在竞价结果公告发布5个工作日后即可申请无息退回，成交供应商在交货验收后，须向采购代理机构提供采购合同及验收凭证。</w:t>
      </w:r>
    </w:p>
    <w:p>
      <w:pPr>
        <w:rPr>
          <w:rFonts w:ascii="宋体" w:hAnsi="宋体" w:eastAsia="宋体" w:cs="宋体"/>
          <w:bCs/>
          <w:color w:val="000000" w:themeColor="text1"/>
          <w:kern w:val="0"/>
          <w:sz w:val="24"/>
          <w:shd w:val="clear" w:color="auto" w:fill="FFFFFF"/>
        </w:rPr>
      </w:pPr>
    </w:p>
    <w:p>
      <w:pPr>
        <w:rPr>
          <w:rFonts w:ascii="宋体" w:hAnsi="宋体" w:eastAsia="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八、签订合同、交货时间、交货地点</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1、领取《成交通知书》后，根据要求在30日内签订合同，并按合同要求提供服务。</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2、按竞价报价文件承诺的价格及时向采购单位提供高质量的产品和服务。</w:t>
      </w:r>
    </w:p>
    <w:p>
      <w:pPr>
        <w:rPr>
          <w:rFonts w:ascii="宋体" w:hAnsi="宋体" w:eastAsia="宋体" w:cs="宋体"/>
          <w:b/>
          <w:color w:val="000000" w:themeColor="text1"/>
          <w:kern w:val="0"/>
          <w:sz w:val="24"/>
          <w:shd w:val="clear" w:color="auto" w:fill="FFFFFF"/>
        </w:rPr>
      </w:pPr>
    </w:p>
    <w:p>
      <w:pPr>
        <w:numPr>
          <w:ilvl w:val="0"/>
          <w:numId w:val="3"/>
        </w:numPr>
        <w:rPr>
          <w:rFonts w:ascii="宋体" w:hAnsi="宋体" w:cs="宋体"/>
          <w:b/>
          <w:color w:val="000000" w:themeColor="text1"/>
          <w:kern w:val="0"/>
          <w:sz w:val="24"/>
          <w:shd w:val="clear" w:color="auto" w:fill="FFFFFF"/>
        </w:rPr>
      </w:pPr>
      <w:r>
        <w:rPr>
          <w:rFonts w:hint="eastAsia" w:ascii="宋体" w:hAnsi="宋体" w:eastAsia="宋体" w:cs="宋体"/>
          <w:b/>
          <w:color w:val="000000" w:themeColor="text1"/>
          <w:kern w:val="0"/>
          <w:sz w:val="24"/>
          <w:shd w:val="clear" w:color="auto" w:fill="FFFFFF"/>
        </w:rPr>
        <w:t>招标代理服务费：</w:t>
      </w:r>
      <w:r>
        <w:rPr>
          <w:rFonts w:hint="eastAsia" w:ascii="宋体" w:hAnsi="宋体" w:eastAsia="宋体" w:cs="宋体"/>
          <w:bCs/>
          <w:color w:val="000000" w:themeColor="text1"/>
          <w:kern w:val="0"/>
          <w:sz w:val="24"/>
          <w:shd w:val="clear" w:color="auto" w:fill="FFFFFF"/>
        </w:rPr>
        <w:t>成交供应商应按照以下规定，向招标代理机构交纳代理服务费：竞价文件内若有冲突条款的，以本条规定为准。根据闽狱采购[2018]3号《关于转发规范政府采购代理机构管理的通知》标准收取代理费：</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（1）以成交价为计算基数；</w:t>
      </w:r>
    </w:p>
    <w:p>
      <w:pPr>
        <w:rPr>
          <w:rFonts w:ascii="宋体" w:hAnsi="宋体" w:eastAsia="宋体" w:cs="宋体"/>
          <w:bCs/>
          <w:color w:val="000000" w:themeColor="text1"/>
          <w:kern w:val="0"/>
          <w:sz w:val="24"/>
          <w:shd w:val="clear" w:color="auto" w:fill="FFFFFF"/>
        </w:rPr>
      </w:pPr>
    </w:p>
    <w:p>
      <w:pPr>
        <w:numPr>
          <w:ilvl w:val="0"/>
          <w:numId w:val="4"/>
        </w:num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招标代理服务收费实行累进法计算：成交金额(万元) 收费费率标准 50（含，下同）以下 按1% ；50-100 按0.9% 。</w:t>
      </w:r>
    </w:p>
    <w:p>
      <w:pPr>
        <w:rPr>
          <w:rFonts w:ascii="宋体" w:hAnsi="宋体" w:eastAsia="宋体" w:cs="宋体"/>
          <w:bCs/>
          <w:color w:val="000000" w:themeColor="text1"/>
          <w:kern w:val="0"/>
          <w:sz w:val="24"/>
          <w:shd w:val="clear" w:color="auto" w:fill="FFFFFF"/>
        </w:rPr>
      </w:pPr>
    </w:p>
    <w:p>
      <w:pPr>
        <w:rPr>
          <w:rFonts w:ascii="宋体" w:hAnsi="宋体" w:eastAsia="宋体" w:cs="宋体"/>
          <w:bCs/>
          <w:color w:val="000000" w:themeColor="text1"/>
          <w:kern w:val="0"/>
          <w:sz w:val="24"/>
          <w:shd w:val="clear" w:color="auto" w:fill="FFFFFF"/>
        </w:rPr>
      </w:pPr>
      <w:r>
        <w:rPr>
          <w:rFonts w:hint="eastAsia" w:ascii="宋体" w:hAnsi="宋体" w:eastAsia="宋体" w:cs="宋体"/>
          <w:bCs/>
          <w:color w:val="000000" w:themeColor="text1"/>
          <w:kern w:val="0"/>
          <w:sz w:val="24"/>
          <w:shd w:val="clear" w:color="auto" w:fill="FFFFFF"/>
        </w:rPr>
        <w:t>（3）代理服务费的交纳方式：</w:t>
      </w:r>
    </w:p>
    <w:p>
      <w:pPr>
        <w:rPr>
          <w:rFonts w:ascii="微软雅黑" w:hAnsi="微软雅黑" w:eastAsia="微软雅黑" w:cs="微软雅黑"/>
          <w:color w:val="000000" w:themeColor="text1"/>
          <w:szCs w:val="21"/>
          <w:shd w:val="clear" w:color="auto" w:fill="FFFFFF"/>
        </w:rPr>
      </w:pPr>
      <w:r>
        <w:rPr>
          <w:rFonts w:hint="eastAsia" w:ascii="宋体" w:hAnsi="宋体" w:eastAsia="宋体" w:cs="宋体"/>
          <w:bCs/>
          <w:color w:val="000000" w:themeColor="text1"/>
          <w:kern w:val="0"/>
          <w:sz w:val="24"/>
          <w:shd w:val="clear" w:color="auto" w:fill="FFFFFF"/>
        </w:rPr>
        <w:t>代理服务费由成交供应商在代理机构发布中标公告后5个工作日内支付代理服务费，代理服务费以银行转账或现金等付款方式</w:t>
      </w:r>
      <w:r>
        <w:rPr>
          <w:rFonts w:hint="eastAsia" w:ascii="微软雅黑" w:hAnsi="微软雅黑" w:eastAsia="微软雅黑" w:cs="微软雅黑"/>
          <w:color w:val="000000" w:themeColor="text1"/>
          <w:szCs w:val="21"/>
          <w:shd w:val="clear" w:color="auto" w:fill="FFFFFF"/>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255"/>
                <w:numId w:val="0"/>
              </w:numPr>
              <w:spacing w:line="440" w:lineRule="exact"/>
              <w:jc w:val="left"/>
              <w:rPr>
                <w:rFonts w:ascii="宋体" w:hAnsi="宋体" w:cs="Arial"/>
                <w:kern w:val="0"/>
                <w:sz w:val="24"/>
              </w:rPr>
            </w:pPr>
            <w:r>
              <w:rPr>
                <w:rFonts w:ascii="宋体" w:hAnsi="宋体" w:cs="Arial"/>
                <w:kern w:val="0"/>
                <w:sz w:val="24"/>
              </w:rPr>
              <w:t>开户名称：</w:t>
            </w:r>
            <w:r>
              <w:rPr>
                <w:rFonts w:hint="eastAsia" w:ascii="宋体" w:hAnsi="宋体" w:cs="Arial"/>
                <w:kern w:val="0"/>
                <w:sz w:val="24"/>
              </w:rPr>
              <w:t>福建优胜招标项目管理集团有限公司龙岩分公司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255"/>
                <w:numId w:val="0"/>
              </w:numPr>
              <w:spacing w:line="440" w:lineRule="exact"/>
              <w:jc w:val="left"/>
              <w:rPr>
                <w:rFonts w:ascii="宋体" w:hAnsi="宋体" w:cs="Arial"/>
                <w:kern w:val="0"/>
                <w:sz w:val="24"/>
              </w:rPr>
            </w:pPr>
            <w:r>
              <w:rPr>
                <w:rFonts w:ascii="宋体" w:hAnsi="宋体" w:cs="Arial"/>
                <w:kern w:val="0"/>
                <w:sz w:val="24"/>
              </w:rPr>
              <w:t>开户银行：</w:t>
            </w:r>
            <w:r>
              <w:rPr>
                <w:rFonts w:hint="eastAsia" w:ascii="宋体" w:hAnsi="宋体" w:cs="Arial"/>
                <w:kern w:val="0"/>
                <w:sz w:val="24"/>
              </w:rPr>
              <w:t>中国建设银行股份有限公司龙岩第一支行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255"/>
                <w:numId w:val="0"/>
              </w:numPr>
              <w:spacing w:line="440" w:lineRule="exact"/>
              <w:jc w:val="left"/>
              <w:rPr>
                <w:rFonts w:ascii="宋体" w:hAnsi="宋体" w:cs="Arial"/>
                <w:kern w:val="0"/>
                <w:sz w:val="24"/>
              </w:rPr>
            </w:pPr>
            <w:r>
              <w:rPr>
                <w:rFonts w:ascii="宋体" w:hAnsi="宋体" w:cs="Arial"/>
                <w:kern w:val="0"/>
                <w:sz w:val="24"/>
              </w:rPr>
              <w:t>账号：</w:t>
            </w:r>
            <w:r>
              <w:rPr>
                <w:rFonts w:hint="eastAsia" w:ascii="宋体" w:hAnsi="宋体" w:cs="Arial"/>
                <w:kern w:val="0"/>
                <w:sz w:val="24"/>
              </w:rPr>
              <w:t>3500 1697 7070 5252 7193</w:t>
            </w:r>
          </w:p>
        </w:tc>
      </w:tr>
    </w:tbl>
    <w:p>
      <w:pPr>
        <w:rPr>
          <w:rFonts w:ascii="微软雅黑" w:hAnsi="微软雅黑" w:eastAsia="微软雅黑" w:cs="微软雅黑"/>
          <w:color w:val="000000" w:themeColor="text1"/>
          <w:szCs w:val="21"/>
          <w:shd w:val="clear" w:color="auto" w:fill="FFFFFF"/>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GDT">
    <w:altName w:val="Courier New"/>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A82A9"/>
    <w:multiLevelType w:val="singleLevel"/>
    <w:tmpl w:val="B50A82A9"/>
    <w:lvl w:ilvl="0" w:tentative="0">
      <w:start w:val="2"/>
      <w:numFmt w:val="decimal"/>
      <w:lvlText w:val="(%1)"/>
      <w:lvlJc w:val="left"/>
      <w:pPr>
        <w:tabs>
          <w:tab w:val="left" w:pos="312"/>
        </w:tabs>
      </w:pPr>
    </w:lvl>
  </w:abstractNum>
  <w:abstractNum w:abstractNumId="1">
    <w:nsid w:val="B7A67BE0"/>
    <w:multiLevelType w:val="singleLevel"/>
    <w:tmpl w:val="B7A67BE0"/>
    <w:lvl w:ilvl="0" w:tentative="0">
      <w:start w:val="9"/>
      <w:numFmt w:val="chineseCounting"/>
      <w:suff w:val="nothing"/>
      <w:lvlText w:val="%1、"/>
      <w:lvlJc w:val="left"/>
      <w:rPr>
        <w:rFonts w:hint="eastAsia"/>
        <w:b/>
        <w:bCs/>
      </w:rPr>
    </w:lvl>
  </w:abstractNum>
  <w:abstractNum w:abstractNumId="2">
    <w:nsid w:val="69E2823B"/>
    <w:multiLevelType w:val="singleLevel"/>
    <w:tmpl w:val="69E2823B"/>
    <w:lvl w:ilvl="0" w:tentative="0">
      <w:start w:val="1"/>
      <w:numFmt w:val="chineseCounting"/>
      <w:suff w:val="nothing"/>
      <w:lvlText w:val="%1、"/>
      <w:lvlJc w:val="left"/>
      <w:rPr>
        <w:rFonts w:hint="eastAsia"/>
      </w:rPr>
    </w:lvl>
  </w:abstractNum>
  <w:abstractNum w:abstractNumId="3">
    <w:nsid w:val="6B7415C7"/>
    <w:multiLevelType w:val="multilevel"/>
    <w:tmpl w:val="6B7415C7"/>
    <w:lvl w:ilvl="0" w:tentative="0">
      <w:start w:val="1"/>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86870"/>
    <w:rsid w:val="00105FEF"/>
    <w:rsid w:val="00205C8B"/>
    <w:rsid w:val="002C5436"/>
    <w:rsid w:val="003546E1"/>
    <w:rsid w:val="003B2FF1"/>
    <w:rsid w:val="004A653E"/>
    <w:rsid w:val="004B6A97"/>
    <w:rsid w:val="005B4C3A"/>
    <w:rsid w:val="00646910"/>
    <w:rsid w:val="0074341E"/>
    <w:rsid w:val="007A5049"/>
    <w:rsid w:val="008357E9"/>
    <w:rsid w:val="00855278"/>
    <w:rsid w:val="008B5C6F"/>
    <w:rsid w:val="009E571D"/>
    <w:rsid w:val="009F2D52"/>
    <w:rsid w:val="009F42DC"/>
    <w:rsid w:val="00A17565"/>
    <w:rsid w:val="00AB7781"/>
    <w:rsid w:val="00AE7FEB"/>
    <w:rsid w:val="00B30718"/>
    <w:rsid w:val="00B35D2F"/>
    <w:rsid w:val="00BB4DC4"/>
    <w:rsid w:val="00C24B6C"/>
    <w:rsid w:val="00CD0285"/>
    <w:rsid w:val="00CF7850"/>
    <w:rsid w:val="00E9651F"/>
    <w:rsid w:val="00EF41CD"/>
    <w:rsid w:val="00F15157"/>
    <w:rsid w:val="00F26A14"/>
    <w:rsid w:val="0297204E"/>
    <w:rsid w:val="05EA4DC6"/>
    <w:rsid w:val="05F5569C"/>
    <w:rsid w:val="06C14E02"/>
    <w:rsid w:val="06F31CB3"/>
    <w:rsid w:val="073C7504"/>
    <w:rsid w:val="082E7B41"/>
    <w:rsid w:val="09386870"/>
    <w:rsid w:val="09AC7B44"/>
    <w:rsid w:val="0B0303E6"/>
    <w:rsid w:val="0C2E19B8"/>
    <w:rsid w:val="0C3375A7"/>
    <w:rsid w:val="0E976506"/>
    <w:rsid w:val="10D26947"/>
    <w:rsid w:val="113739F5"/>
    <w:rsid w:val="12ED6227"/>
    <w:rsid w:val="134B178D"/>
    <w:rsid w:val="166F3797"/>
    <w:rsid w:val="174A7592"/>
    <w:rsid w:val="17A90296"/>
    <w:rsid w:val="18F05C53"/>
    <w:rsid w:val="1ABA798F"/>
    <w:rsid w:val="1B7A3E63"/>
    <w:rsid w:val="1BBB76F4"/>
    <w:rsid w:val="1E815F2E"/>
    <w:rsid w:val="230A420F"/>
    <w:rsid w:val="2354308C"/>
    <w:rsid w:val="236924E0"/>
    <w:rsid w:val="241D6574"/>
    <w:rsid w:val="257658B6"/>
    <w:rsid w:val="26A4362D"/>
    <w:rsid w:val="28D61380"/>
    <w:rsid w:val="2A466066"/>
    <w:rsid w:val="2D7C2782"/>
    <w:rsid w:val="2DFB1F97"/>
    <w:rsid w:val="31A30BE1"/>
    <w:rsid w:val="330A79AD"/>
    <w:rsid w:val="33C978C6"/>
    <w:rsid w:val="35276154"/>
    <w:rsid w:val="357753A9"/>
    <w:rsid w:val="35A70C2A"/>
    <w:rsid w:val="360976AF"/>
    <w:rsid w:val="3A1715A7"/>
    <w:rsid w:val="3C6524A8"/>
    <w:rsid w:val="3E6D7B2B"/>
    <w:rsid w:val="3EC85D59"/>
    <w:rsid w:val="3F5B3AFA"/>
    <w:rsid w:val="3F6D02BA"/>
    <w:rsid w:val="41C744FA"/>
    <w:rsid w:val="427205EA"/>
    <w:rsid w:val="427702DB"/>
    <w:rsid w:val="43B510FD"/>
    <w:rsid w:val="4612373E"/>
    <w:rsid w:val="4621390C"/>
    <w:rsid w:val="46FD6418"/>
    <w:rsid w:val="4A88040F"/>
    <w:rsid w:val="4BF66A8A"/>
    <w:rsid w:val="4EE95157"/>
    <w:rsid w:val="54FA392B"/>
    <w:rsid w:val="55212DCB"/>
    <w:rsid w:val="59257854"/>
    <w:rsid w:val="5A8A4FFE"/>
    <w:rsid w:val="5B133FBA"/>
    <w:rsid w:val="5EEC150D"/>
    <w:rsid w:val="5FA56162"/>
    <w:rsid w:val="61EF2BC4"/>
    <w:rsid w:val="66D32372"/>
    <w:rsid w:val="6A6435C4"/>
    <w:rsid w:val="6B146AB5"/>
    <w:rsid w:val="6B5461FF"/>
    <w:rsid w:val="6CB54D3A"/>
    <w:rsid w:val="6CE02875"/>
    <w:rsid w:val="6E3C263D"/>
    <w:rsid w:val="6EB41779"/>
    <w:rsid w:val="716A05FE"/>
    <w:rsid w:val="7459232D"/>
    <w:rsid w:val="74980757"/>
    <w:rsid w:val="75716128"/>
    <w:rsid w:val="768F2D2A"/>
    <w:rsid w:val="77F63E98"/>
    <w:rsid w:val="79A967DC"/>
    <w:rsid w:val="79CF00FA"/>
    <w:rsid w:val="7A3E58FC"/>
    <w:rsid w:val="7AE62CDE"/>
    <w:rsid w:val="7B8142EB"/>
    <w:rsid w:val="7DAE4CDE"/>
    <w:rsid w:val="7FE97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font41"/>
    <w:qFormat/>
    <w:uiPriority w:val="0"/>
    <w:rPr>
      <w:rFonts w:hint="eastAsia" w:ascii="宋体" w:hAnsi="宋体" w:eastAsia="宋体" w:cs="宋体"/>
      <w:color w:val="000000"/>
      <w:sz w:val="22"/>
      <w:szCs w:val="22"/>
      <w:u w:val="none"/>
    </w:rPr>
  </w:style>
  <w:style w:type="character" w:customStyle="1" w:styleId="15">
    <w:name w:val="font61"/>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rPr>
      <w:rFonts w:ascii="Calibri" w:hAnsi="Calibri" w:cs="Calibri"/>
      <w:szCs w:val="21"/>
    </w:rPr>
  </w:style>
  <w:style w:type="character" w:customStyle="1" w:styleId="17">
    <w:name w:val="font121"/>
    <w:basedOn w:val="11"/>
    <w:qFormat/>
    <w:uiPriority w:val="0"/>
    <w:rPr>
      <w:rFonts w:hint="eastAsia" w:ascii="宋体" w:hAnsi="宋体" w:eastAsia="宋体" w:cs="宋体"/>
      <w:color w:val="000000"/>
      <w:sz w:val="20"/>
      <w:szCs w:val="20"/>
      <w:u w:val="none"/>
    </w:rPr>
  </w:style>
  <w:style w:type="character" w:customStyle="1" w:styleId="18">
    <w:name w:val="font13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0"/>
      <w:szCs w:val="20"/>
      <w:u w:val="none"/>
    </w:rPr>
  </w:style>
  <w:style w:type="character" w:customStyle="1" w:styleId="20">
    <w:name w:val="font101"/>
    <w:basedOn w:val="11"/>
    <w:qFormat/>
    <w:uiPriority w:val="0"/>
    <w:rPr>
      <w:rFonts w:ascii="GDT" w:hAnsi="GDT" w:eastAsia="GDT" w:cs="GDT"/>
      <w:color w:val="000000"/>
      <w:sz w:val="20"/>
      <w:szCs w:val="20"/>
      <w:u w:val="none"/>
    </w:rPr>
  </w:style>
  <w:style w:type="character" w:customStyle="1" w:styleId="21">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22">
    <w:name w:val="正文_122_0_0_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1187</Words>
  <Characters>6768</Characters>
  <Lines>56</Lines>
  <Paragraphs>15</Paragraphs>
  <TotalTime>12</TotalTime>
  <ScaleCrop>false</ScaleCrop>
  <LinksUpToDate>false</LinksUpToDate>
  <CharactersWithSpaces>7940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2021-12-09T01:30:00Z</dcterms:created>
  <dc:creator>华腾招标周峰</dc:creator>
  <cp:lastModifiedBy>游斌荣</cp:lastModifiedBy>
  <dcterms:modified xsi:type="dcterms:W3CDTF">2021-12-13T08:39:15Z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BB48A89BD4A44B629F14A9B477FF9901</vt:lpwstr>
  </property>
</Properties>
</file>