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福建省龙岩监狱监内食堂蔬菜配送服务采购项目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CGXM-2025-350001-03008[2025]02233</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[350001]ZXFZ[GK]2025018</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福建省龙岩监狱</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福建省智信招标有限公司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2025年05月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福建省智信招标有限公司</w:t>
      </w:r>
      <w:r>
        <w:rPr>
          <w:rFonts w:ascii="仿宋_GB2312" w:hAnsi="仿宋_GB2312" w:cs="仿宋_GB2312" w:eastAsia="仿宋_GB2312"/>
        </w:rPr>
        <w:t xml:space="preserve"> 采用公开招标方式组织 </w:t>
      </w:r>
      <w:r>
        <w:rPr>
          <w:rFonts w:ascii="仿宋_GB2312" w:hAnsi="仿宋_GB2312" w:cs="仿宋_GB2312" w:eastAsia="仿宋_GB2312"/>
        </w:rPr>
        <w:t>福建省龙岩监狱监内食堂蔬菜配送服务采购项目</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CGXM-2025-350001-03008[2025]02233</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[350001]ZXFZ[GK]2025018</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小微企业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本采购包属于专门面向小微企业采购。</w:t>
            </w:r>
          </w:p>
        </w:tc>
        <w:tc>
          <w:tcPr>
            <w:tcW w:type="dxa" w:w="4614"/>
          </w:tcPr>
          <w:p>
            <w:pPr>
              <w:pStyle w:val="null3"/>
              <w:jc w:val="both"/>
            </w:pPr>
            <w:r>
              <w:rPr>
                <w:rFonts w:ascii="仿宋_GB2312" w:hAnsi="仿宋_GB2312" w:cs="仿宋_GB2312" w:eastAsia="仿宋_GB2312"/>
              </w:rPr>
              <w:t>①本采购包专门面向符合财政部、工信部文件（财库〔2020〕46号）规定的小、微企业，投标人须提供《中小企业声明函》（服务）。投标人应认真对照《工业和信息化部、国家统计局、国家发展和改革委员会、财政部关于印发中小企业划型标准规定的通知》（工信部联企业[2011]300号）规定的划分标准，并按照国家统计局关于印发《统计上大中小微型企业划分办法（2017）》的通知（国统字〔2017〕213号）规定准确划分企业类型。若招标文件中的有关条款与本条款有矛盾之处以此处为准。②监狱企业视同小型、微型企业，投标人为监狱企业的，可不提供《中小企业声明函》，但须提供由省级以上监狱管理局、戒毒管理局（含新疆生产建设兵团）出具的属于监狱企业的证明文件。③残疾人福利性单位视同小型、微型企业，投标人为残疾人福利性单位的，可不提供《中小企业声明函》，但须提供《残疾人福利性单位声明函》。※投标人应按照招标文件第七章规定提供。注：享受扶持政策获得政府采购合同的，小微企业不得将合同分包给大中型企业，中型企业不得将合同分包给大型企业。采购标的对应的中小企业划分标准所属行业详见“采购标的一览表”。</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福建省龙岩监狱</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福建省龙岩市新罗区</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364000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林警官</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0597-2297272</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福建省智信招标有限公司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福州市鼓楼区五四路159号世界金龙大厦第14层A、C1单元</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350003</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杨敏敏、张小青、张博艺</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0591-88318332、87616211转814</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福建省智信招标有限公司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3,200,000.00</w:t>
      </w:r>
    </w:p>
    <w:p>
      <w:pPr>
        <w:pStyle w:val="null3"/>
        <w:jc w:val="left"/>
      </w:pPr>
      <w:r>
        <w:rPr>
          <w:rFonts w:ascii="仿宋_GB2312" w:hAnsi="仿宋_GB2312" w:cs="仿宋_GB2312" w:eastAsia="仿宋_GB2312"/>
        </w:rPr>
        <w:t>采购包最高限价（元）: 3,200,000.00</w:t>
      </w:r>
    </w:p>
    <w:p>
      <w:pPr>
        <w:pStyle w:val="null3"/>
        <w:jc w:val="left"/>
      </w:pPr>
      <w:r>
        <w:rPr>
          <w:rFonts w:ascii="仿宋_GB2312" w:hAnsi="仿宋_GB2312" w:cs="仿宋_GB2312" w:eastAsia="仿宋_GB2312"/>
        </w:rPr>
        <w:t>采购包保证金金额（元）: 32,000.00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福建省龙岩监狱监内食堂蔬菜配送服务采购项目</w:t>
            </w:r>
          </w:p>
        </w:tc>
        <w:tc>
          <w:tcPr>
            <w:tcW w:type="dxa" w:w="1187"/>
          </w:tcPr>
          <w:p>
            <w:pPr>
              <w:pStyle w:val="null3"/>
              <w:jc w:val="right"/>
            </w:pPr>
            <w:r>
              <w:rPr>
                <w:rFonts w:ascii="仿宋_GB2312" w:hAnsi="仿宋_GB2312" w:cs="仿宋_GB2312" w:eastAsia="仿宋_GB2312"/>
              </w:rPr>
              <w:t>2.00</w:t>
            </w:r>
          </w:p>
        </w:tc>
        <w:tc>
          <w:tcPr>
            <w:tcW w:type="dxa" w:w="1187"/>
          </w:tcPr>
          <w:p>
            <w:pPr>
              <w:pStyle w:val="null3"/>
              <w:jc w:val="right"/>
            </w:pPr>
            <w:r>
              <w:rPr>
                <w:rFonts w:ascii="仿宋_GB2312" w:hAnsi="仿宋_GB2312" w:cs="仿宋_GB2312" w:eastAsia="仿宋_GB2312"/>
              </w:rPr>
              <w:t>3,200,000.00</w:t>
            </w:r>
          </w:p>
        </w:tc>
        <w:tc>
          <w:tcPr>
            <w:tcW w:type="dxa" w:w="1187"/>
          </w:tcPr>
          <w:p>
            <w:pPr>
              <w:pStyle w:val="null3"/>
              <w:jc w:val="left"/>
            </w:pPr>
            <w:r>
              <w:rPr>
                <w:rFonts w:ascii="仿宋_GB2312" w:hAnsi="仿宋_GB2312" w:cs="仿宋_GB2312" w:eastAsia="仿宋_GB2312"/>
              </w:rPr>
              <w:t>年</w:t>
            </w:r>
          </w:p>
        </w:tc>
        <w:tc>
          <w:tcPr>
            <w:tcW w:type="dxa" w:w="1187"/>
          </w:tcPr>
          <w:p>
            <w:pPr>
              <w:pStyle w:val="null3"/>
              <w:jc w:val="left"/>
            </w:pPr>
            <w:r>
              <w:rPr>
                <w:rFonts w:ascii="仿宋_GB2312" w:hAnsi="仿宋_GB2312" w:cs="仿宋_GB2312" w:eastAsia="仿宋_GB2312"/>
              </w:rPr>
              <w:t>批发业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福建省龙岩监狱监内食堂蔬菜配送服务采购项目</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因福建省政府采购网上公开信息系统无法进行统一折扣系数报价，故各投标人在投标客户端上填写的投标总价=3200000×折扣系数。</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福建省龙岩监狱监内食堂蔬菜配送服务采购项目</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福建省龙岩监狱监内食堂蔬菜配送服务采购项目</w:t>
            </w:r>
          </w:p>
        </w:tc>
        <w:tc>
          <w:tcPr>
            <w:tcW w:type="dxa" w:w="2076"/>
          </w:tcPr>
          <w:p>
            <w:pPr>
              <w:pStyle w:val="null3"/>
              <w:jc w:val="left"/>
            </w:pPr>
            <w:r>
              <w:rPr>
                <w:rFonts w:ascii="仿宋_GB2312" w:hAnsi="仿宋_GB2312" w:cs="仿宋_GB2312" w:eastAsia="仿宋_GB2312"/>
              </w:rPr>
              <w:t>本项目采用统一折扣系数报价（即本项目招标范围内的所有产品统一折扣系数报价必须一致，不可出现有选择的报价）。</w:t>
            </w:r>
          </w:p>
        </w:tc>
        <w:tc>
          <w:tcPr>
            <w:tcW w:type="dxa" w:w="415"/>
          </w:tcPr>
          <w:p>
            <w:pPr>
              <w:pStyle w:val="null3"/>
              <w:jc w:val="left"/>
            </w:pPr>
            <w:r>
              <w:rPr>
                <w:rFonts w:ascii="仿宋_GB2312" w:hAnsi="仿宋_GB2312" w:cs="仿宋_GB2312" w:eastAsia="仿宋_GB2312"/>
              </w:rPr>
              <w:t>年</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3,200,000.00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因福建省政府采购网上公开信息系统无法进行统一折扣系数报价，故各投标人在投标客户端上填写的投标总价=3200000×折扣系数。</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福建省智信招标有限公司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福建省财政厅政府采购监督管理办公室</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①本项目为福建省龙岩监狱与所属企业龙岩新叶工贸有限责任公司联合采购项目（其中财政资金预算金额320万元、企业自筹资金预算金额20万元），合同金额在不超过本项目实际预算金额340万元的范围内据实结算；评标时中标人的报价只作为获取据实结算折扣系数的计算依据，因此本项目招标代理服务费以340万元作为收费的计算基数，向中标供应商收取。②收费费率标准：50（含）万元以下的部分费率标准为1％，50-100（含）万元的部分费率标准为0.9％，100-500（含）万元的部分费率标准为0.5％。③中标供应商应以现金、转账、电汇付款方式一次性向采购代理机构缴纳代理服务费。④招标代理服务费专户：开户名：福建省智信招标有限公司，开户行：中国光大银行福州市杨桥支行，账号：087739120100304037933。</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2.1质疑受理的其它要求：在法定质疑期内质疑人须一次性提出针对同一采购程序环节的质疑，二（多）次质疑不予受理。质疑人递交质疑函时还应出具质疑人已在福建省政府采购网上公开信息系统上获取招标文件的证明文件（体现查看时间或获取招标文件时间）【查看时间或获取招标文件时间以福建省政府采购网上公开信息系统记载为准】。 2.2无效投标及废标条款：以下为可能导致无效投标或废标的条款，具体内容详见招标文件各章节，请各投标人认真查看对照。①出现投标人须知前附表2关于电子招标投标活动的专门规定中投标无效规定的；②出现第三章投标无效规定的；③出现第四章投标无效规定的；④出现第五章招标内容及要求投标无效规定的；⑤出现第五章招标内容及要求中“二、技术和服务要求”、“三、商务要求”的内容为负偏离或未响应的；⑥符合专业条件的投标人或者对招标文件作实质响应的投标人不足三家的；⑦出现影响采购公正的违法、违规行为的；⑧投标人的报价均超过了采购预算，采购人不能支付的；⑨因重大变故，采购任务取消的。</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a.招标文件关于投标人串通投标情形补充条款详见《关于福建省财政厅关于电子化政府采购项目中视为串标情形认定与处理的指导意见》闽财购〔2018〕30号文件规定。 b、关于远程开标的规定：①本项目支持远程开标，投标人可通过远程线上参与开标，具体系统操作指南详见福建省政府采购网首页上相关操作手册。②本项目开标过程中解密的操作时限为30分钟，远程签章的操作时限为5分钟。请投标人务必密切关注实时开标流程，完成远程解密、远程签章。③投标人应确保自身设施、设备、网络环境状况良好，在开标过程中因投标人自身原因未在规定的操作时间内完成投标文件的解密，逾期未解密的，视为自行放弃投标。投标人未在规定的操作时间内完成远程签章的，视为默认开标结果。④在开标过程中，因系统故障等导致无法继续进行开标的，投标人须配合等待故障处理，待故障解除后继续开标。</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福建省智信招标有限公司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福建省智信招标有限公司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福建省智信招标有限公司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福建省智信招标有限公司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福建省智信招标有限公司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福建省智信招标有限公司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福建省智信招标有限公司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福建省智信招标有限公司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福建省智信招标有限公司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福建省智信招标有限公司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福建省智信招标有限公司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福建省智信招标有限公司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福建省智信招标有限公司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福建省智信招标有限公司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福建省智信招标有限公司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福建省智信招标有限公司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福建省智信招标有限公司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福建省智信招标有限公司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福建省智信招标有限公司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福建省智信招标有限公司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福建省智信招标有限公司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福建省智信招标有限公司</w:t>
      </w:r>
      <w:r>
        <w:rPr>
          <w:rFonts w:ascii="仿宋_GB2312" w:hAnsi="仿宋_GB2312" w:cs="仿宋_GB2312" w:eastAsia="仿宋_GB2312"/>
        </w:rPr>
        <w:t xml:space="preserve"> 提出询问， </w:t>
      </w:r>
      <w:r>
        <w:rPr>
          <w:rFonts w:ascii="仿宋_GB2312" w:hAnsi="仿宋_GB2312" w:cs="仿宋_GB2312" w:eastAsia="仿宋_GB2312"/>
        </w:rPr>
        <w:t>福建省智信招标有限公司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福建省智信招标有限公司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福建省智信招标有限公司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由福建省智信招标有限公司派出的工作人员至少1人，</w:t>
      </w:r>
      <w:r>
        <w:rPr>
          <w:rFonts w:ascii="仿宋_GB2312" w:hAnsi="仿宋_GB2312" w:cs="仿宋_GB2312" w:eastAsia="仿宋_GB2312"/>
        </w:rPr>
        <w:t>其余1人可为采购人代表或福建省智信招标有限公司的工作人员。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本采购包属于专门面向小微企业采购。</w:t>
            </w:r>
          </w:p>
        </w:tc>
        <w:tc>
          <w:tcPr>
            <w:tcW w:type="dxa" w:w="4614"/>
          </w:tcPr>
          <w:p>
            <w:pPr>
              <w:pStyle w:val="null3"/>
              <w:jc w:val="left"/>
            </w:pPr>
            <w:r>
              <w:rPr>
                <w:rFonts w:ascii="仿宋_GB2312" w:hAnsi="仿宋_GB2312" w:cs="仿宋_GB2312" w:eastAsia="仿宋_GB2312"/>
              </w:rPr>
              <w:t>①本采购包专门面向符合财政部、工信部文件（财库〔2020〕46号）规定的小、微企业，投标人须提供《中小企业声明函》（服务）。投标人应认真对照《工业和信息化部、国家统计局、国家发展和改革委员会、财政部关于印发中小企业划型标准规定的通知》（工信部联企业[2011]300号）规定的划分标准，并按照国家统计局关于印发《统计上大中小微型企业划分办法（2017）》的通知（国统字〔2017〕213号）规定准确划分企业类型。若招标文件中的有关条款与本条款有矛盾之处以此处为准。②监狱企业视同小型、微型企业，投标人为监狱企业的，可不提供《中小企业声明函》，但须提供由省级以上监狱管理局、戒毒管理局（含新疆生产建设兵团）出具的属于监狱企业的证明文件。③残疾人福利性单位视同小型、微型企业，投标人为残疾人福利性单位的，可不提供《中小企业声明函》，但须提供《残疾人福利性单位声明函》。※投标人应按照招标文件第七章规定提供。注：享受扶持政策获得政府采购合同的，小微企业不得将合同分包给大中型企业，中型企业不得将合同分包给大型企业。采购标的对应的中小企业划分标准所属行业详见“采购标的一览表”。</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资格及资信证明部分中出现报价部分的全部或部分的投标报价信息（或组成资料）的；出现招标文件中载明“资格审查不合格”条款的规定。</w:t>
            </w:r>
          </w:p>
        </w:tc>
      </w:tr>
    </w:tbl>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福建省智信招标有限公司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福建省智信招标有限公司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福建省智信招标有限公司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福建省智信招标有限公司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福建省智信招标有限公司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情形</w:t>
            </w:r>
          </w:p>
        </w:tc>
        <w:tc>
          <w:tcPr>
            <w:tcW w:type="dxa" w:w="831"/>
          </w:tcPr>
          <w:p>
            <w:pPr>
              <w:pStyle w:val="null3"/>
              <w:jc w:val="left"/>
            </w:pPr>
            <w:r>
              <w:rPr>
                <w:rFonts w:ascii="仿宋_GB2312" w:hAnsi="仿宋_GB2312" w:cs="仿宋_GB2312" w:eastAsia="仿宋_GB2312"/>
              </w:rPr>
              <w:t xml:space="preserve"> 是否客观项</w:t>
            </w:r>
          </w:p>
        </w:tc>
        <w:tc>
          <w:tcPr>
            <w:tcW w:type="dxa" w:w="4153"/>
          </w:tcPr>
          <w:p>
            <w:pPr>
              <w:pStyle w:val="null3"/>
              <w:jc w:val="left"/>
            </w:pPr>
            <w:r>
              <w:rPr>
                <w:rFonts w:ascii="仿宋_GB2312" w:hAnsi="仿宋_GB2312" w:cs="仿宋_GB2312" w:eastAsia="仿宋_GB2312"/>
              </w:rPr>
              <w:t xml:space="preserve"> 明细</w:t>
            </w:r>
          </w:p>
        </w:tc>
      </w:tr>
      <w:tr>
        <w:tc>
          <w:tcPr>
            <w:tcW w:type="dxa" w:w="3322"/>
          </w:tcPr>
          <w:p>
            <w:pPr>
              <w:pStyle w:val="null3"/>
              <w:jc w:val="left"/>
            </w:pPr>
            <w:r>
              <w:rPr>
                <w:rFonts w:ascii="仿宋_GB2312" w:hAnsi="仿宋_GB2312" w:cs="仿宋_GB2312" w:eastAsia="仿宋_GB2312"/>
              </w:rPr>
              <w:t>技术评审</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第五章 招标内容及要求“二、技术和服务要求”中的条款有出现负偏离或未响应的；技术部分中出现报价部分的全部或部分的投标报价信息（或组成资料）的。</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情形</w:t>
            </w:r>
          </w:p>
        </w:tc>
        <w:tc>
          <w:tcPr>
            <w:tcW w:type="dxa" w:w="831"/>
          </w:tcPr>
          <w:p>
            <w:pPr>
              <w:pStyle w:val="null3"/>
              <w:jc w:val="left"/>
            </w:pPr>
            <w:r>
              <w:rPr>
                <w:rFonts w:ascii="仿宋_GB2312" w:hAnsi="仿宋_GB2312" w:cs="仿宋_GB2312" w:eastAsia="仿宋_GB2312"/>
              </w:rPr>
              <w:t xml:space="preserve"> 是否客观项</w:t>
            </w:r>
          </w:p>
        </w:tc>
        <w:tc>
          <w:tcPr>
            <w:tcW w:type="dxa" w:w="4153"/>
          </w:tcPr>
          <w:p>
            <w:pPr>
              <w:pStyle w:val="null3"/>
              <w:jc w:val="left"/>
            </w:pPr>
            <w:r>
              <w:rPr>
                <w:rFonts w:ascii="仿宋_GB2312" w:hAnsi="仿宋_GB2312" w:cs="仿宋_GB2312" w:eastAsia="仿宋_GB2312"/>
              </w:rPr>
              <w:t xml:space="preserve"> 明细</w:t>
            </w:r>
          </w:p>
        </w:tc>
      </w:tr>
      <w:tr>
        <w:tc>
          <w:tcPr>
            <w:tcW w:type="dxa" w:w="3322"/>
          </w:tcPr>
          <w:p>
            <w:pPr>
              <w:pStyle w:val="null3"/>
              <w:jc w:val="left"/>
            </w:pPr>
            <w:r>
              <w:rPr>
                <w:rFonts w:ascii="仿宋_GB2312" w:hAnsi="仿宋_GB2312" w:cs="仿宋_GB2312" w:eastAsia="仿宋_GB2312"/>
              </w:rPr>
              <w:t>商务评审</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第五章 招标内容及要求“三、商务要求”中的条款有出现负偏离或未响应的；商务部分中出现报价部分的全部或部分的投标报价信息（或组成资料）的。</w:t>
            </w:r>
          </w:p>
        </w:tc>
      </w:tr>
    </w:tbl>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情形</w:t>
            </w:r>
          </w:p>
        </w:tc>
        <w:tc>
          <w:tcPr>
            <w:tcW w:type="dxa" w:w="4614"/>
          </w:tcPr>
          <w:p>
            <w:pPr>
              <w:pStyle w:val="null3"/>
              <w:jc w:val="left"/>
            </w:pPr>
            <w:r>
              <w:rPr>
                <w:rFonts w:ascii="仿宋_GB2312" w:hAnsi="仿宋_GB2312" w:cs="仿宋_GB2312" w:eastAsia="仿宋_GB2312"/>
              </w:rPr>
              <w:t xml:space="preserve"> 明细</w:t>
            </w:r>
          </w:p>
        </w:tc>
      </w:tr>
      <w:tr>
        <w:tc>
          <w:tcPr>
            <w:tcW w:type="dxa" w:w="3692"/>
          </w:tcPr>
          <w:p>
            <w:pPr>
              <w:pStyle w:val="null3"/>
              <w:jc w:val="left"/>
            </w:pPr>
            <w:r>
              <w:rPr>
                <w:rFonts w:ascii="仿宋_GB2312" w:hAnsi="仿宋_GB2312" w:cs="仿宋_GB2312" w:eastAsia="仿宋_GB2312"/>
              </w:rPr>
              <w:t>其他情形</w:t>
            </w:r>
          </w:p>
        </w:tc>
        <w:tc>
          <w:tcPr>
            <w:tcW w:type="dxa" w:w="4614"/>
          </w:tcPr>
          <w:p>
            <w:pPr>
              <w:pStyle w:val="null3"/>
              <w:jc w:val="left"/>
            </w:pPr>
            <w:r>
              <w:rPr>
                <w:rFonts w:ascii="仿宋_GB2312" w:hAnsi="仿宋_GB2312" w:cs="仿宋_GB2312" w:eastAsia="仿宋_GB2312"/>
              </w:rPr>
              <w:t>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w:t>
            </w:r>
          </w:p>
        </w:tc>
      </w:tr>
      <w:tr>
        <w:tc>
          <w:tcPr>
            <w:tcW w:type="dxa" w:w="3692"/>
          </w:tcPr>
          <w:p>
            <w:pPr>
              <w:pStyle w:val="null3"/>
              <w:jc w:val="left"/>
            </w:pPr>
            <w:r>
              <w:rPr>
                <w:rFonts w:ascii="仿宋_GB2312" w:hAnsi="仿宋_GB2312" w:cs="仿宋_GB2312" w:eastAsia="仿宋_GB2312"/>
              </w:rPr>
              <w:t>其他情形</w:t>
            </w:r>
          </w:p>
        </w:tc>
        <w:tc>
          <w:tcPr>
            <w:tcW w:type="dxa" w:w="4614"/>
          </w:tcPr>
          <w:p>
            <w:pPr>
              <w:pStyle w:val="null3"/>
              <w:jc w:val="left"/>
            </w:pPr>
            <w:r>
              <w:rPr>
                <w:rFonts w:ascii="仿宋_GB2312" w:hAnsi="仿宋_GB2312" w:cs="仿宋_GB2312" w:eastAsia="仿宋_GB2312"/>
              </w:rPr>
              <w:t>投标报价超出最高限价或预算金额或不符合招标文件报价要求的。</w:t>
            </w:r>
          </w:p>
        </w:tc>
      </w:tr>
    </w:tbl>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福建省智信招标有限公司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采购包1：最低评标价法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采购包1：最低评标价法</w:t>
      </w:r>
    </w:p>
    <w:p>
      <w:pPr>
        <w:pStyle w:val="null3"/>
        <w:jc w:val="both"/>
      </w:pPr>
      <w:r>
        <w:rPr>
          <w:rFonts w:ascii="仿宋_GB2312" w:hAnsi="仿宋_GB2312" w:cs="仿宋_GB2312" w:eastAsia="仿宋_GB2312"/>
        </w:rPr>
        <w:t>投标文件满足招标文件全部实质性要求，且投标报价最低的投标人为中标候选人。</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shd w:fill="FFFFFF" w:val="clear"/>
        </w:rPr>
        <w:t>1.</w:t>
      </w:r>
      <w:r>
        <w:rPr>
          <w:rFonts w:ascii="仿宋_GB2312" w:hAnsi="仿宋_GB2312" w:cs="仿宋_GB2312" w:eastAsia="仿宋_GB2312"/>
          <w:sz w:val="24"/>
        </w:rPr>
        <w:t>本项目为福建省龙岩监狱与所属龙岩新叶工贸有限责任公司联合采购蔬菜项目，合同期二年。其中福建省龙岩监狱预算</w:t>
      </w:r>
      <w:r>
        <w:rPr>
          <w:rFonts w:ascii="仿宋_GB2312" w:hAnsi="仿宋_GB2312" w:cs="仿宋_GB2312" w:eastAsia="仿宋_GB2312"/>
          <w:sz w:val="24"/>
        </w:rPr>
        <w:t>320万元、龙岩新叶工贸有限责任公司预算20万元，项目实际标的340万元。采购结果发布后，福建省龙岩监狱与龙岩新叶工贸有限责任公司同中标人按要求分别签订合同、分别据实结算。</w:t>
      </w:r>
    </w:p>
    <w:p>
      <w:pPr>
        <w:pStyle w:val="null3"/>
        <w:ind w:firstLine="480"/>
        <w:jc w:val="left"/>
      </w:pPr>
      <w:r>
        <w:rPr>
          <w:rFonts w:ascii="仿宋_GB2312" w:hAnsi="仿宋_GB2312" w:cs="仿宋_GB2312" w:eastAsia="仿宋_GB2312"/>
          <w:sz w:val="24"/>
        </w:rPr>
        <w:t>2.若合同期满或在合同期内福建省</w:t>
      </w:r>
      <w:r>
        <w:rPr>
          <w:rFonts w:ascii="仿宋_GB2312" w:hAnsi="仿宋_GB2312" w:cs="仿宋_GB2312" w:eastAsia="仿宋_GB2312"/>
          <w:sz w:val="24"/>
        </w:rPr>
        <w:t>龙岩</w:t>
      </w:r>
      <w:r>
        <w:rPr>
          <w:rFonts w:ascii="仿宋_GB2312" w:hAnsi="仿宋_GB2312" w:cs="仿宋_GB2312" w:eastAsia="仿宋_GB2312"/>
          <w:sz w:val="24"/>
        </w:rPr>
        <w:t>监狱采购金额达到预算金额</w:t>
      </w:r>
      <w:r>
        <w:rPr>
          <w:rFonts w:ascii="仿宋_GB2312" w:hAnsi="仿宋_GB2312" w:cs="仿宋_GB2312" w:eastAsia="仿宋_GB2312"/>
          <w:sz w:val="24"/>
        </w:rPr>
        <w:t>320</w:t>
      </w:r>
      <w:r>
        <w:rPr>
          <w:rFonts w:ascii="仿宋_GB2312" w:hAnsi="仿宋_GB2312" w:cs="仿宋_GB2312" w:eastAsia="仿宋_GB2312"/>
          <w:sz w:val="24"/>
        </w:rPr>
        <w:t>万元时</w:t>
      </w:r>
      <w:r>
        <w:rPr>
          <w:rFonts w:ascii="仿宋_GB2312" w:hAnsi="仿宋_GB2312" w:cs="仿宋_GB2312" w:eastAsia="仿宋_GB2312"/>
          <w:sz w:val="24"/>
        </w:rPr>
        <w:t>，</w:t>
      </w:r>
      <w:r>
        <w:rPr>
          <w:rFonts w:ascii="仿宋_GB2312" w:hAnsi="仿宋_GB2312" w:cs="仿宋_GB2312" w:eastAsia="仿宋_GB2312"/>
          <w:sz w:val="24"/>
        </w:rPr>
        <w:t>则与</w:t>
      </w:r>
      <w:r>
        <w:rPr>
          <w:rFonts w:ascii="仿宋_GB2312" w:hAnsi="仿宋_GB2312" w:cs="仿宋_GB2312" w:eastAsia="仿宋_GB2312"/>
          <w:sz w:val="24"/>
        </w:rPr>
        <w:t>福建省</w:t>
      </w:r>
      <w:r>
        <w:rPr>
          <w:rFonts w:ascii="仿宋_GB2312" w:hAnsi="仿宋_GB2312" w:cs="仿宋_GB2312" w:eastAsia="仿宋_GB2312"/>
          <w:sz w:val="24"/>
        </w:rPr>
        <w:t>龙岩</w:t>
      </w:r>
      <w:r>
        <w:rPr>
          <w:rFonts w:ascii="仿宋_GB2312" w:hAnsi="仿宋_GB2312" w:cs="仿宋_GB2312" w:eastAsia="仿宋_GB2312"/>
          <w:sz w:val="24"/>
        </w:rPr>
        <w:t>监狱签订的采购合同自动终止（即视为供货期限届满）或者其所属企业龙岩新叶工贸有限责任公司采购金额达到预算金额</w:t>
      </w:r>
      <w:r>
        <w:rPr>
          <w:rFonts w:ascii="仿宋_GB2312" w:hAnsi="仿宋_GB2312" w:cs="仿宋_GB2312" w:eastAsia="仿宋_GB2312"/>
          <w:sz w:val="24"/>
        </w:rPr>
        <w:t>20</w:t>
      </w:r>
      <w:r>
        <w:rPr>
          <w:rFonts w:ascii="仿宋_GB2312" w:hAnsi="仿宋_GB2312" w:cs="仿宋_GB2312" w:eastAsia="仿宋_GB2312"/>
          <w:sz w:val="24"/>
        </w:rPr>
        <w:t>万元时，则与龙岩新叶工贸有限责任公司签订的采购合同自动终止（即视为供货期限届满）。</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合同期内</w:t>
      </w:r>
      <w:r>
        <w:rPr>
          <w:rFonts w:ascii="仿宋_GB2312" w:hAnsi="仿宋_GB2312" w:cs="仿宋_GB2312" w:eastAsia="仿宋_GB2312"/>
          <w:sz w:val="24"/>
        </w:rPr>
        <w:t>该</w:t>
      </w:r>
      <w:r>
        <w:rPr>
          <w:rFonts w:ascii="仿宋_GB2312" w:hAnsi="仿宋_GB2312" w:cs="仿宋_GB2312" w:eastAsia="仿宋_GB2312"/>
          <w:sz w:val="24"/>
        </w:rPr>
        <w:t>采购包</w:t>
      </w:r>
      <w:r>
        <w:rPr>
          <w:rFonts w:ascii="仿宋_GB2312" w:hAnsi="仿宋_GB2312" w:cs="仿宋_GB2312" w:eastAsia="仿宋_GB2312"/>
          <w:sz w:val="24"/>
        </w:rPr>
        <w:t>实际采购金额达到该</w:t>
      </w:r>
      <w:r>
        <w:rPr>
          <w:rFonts w:ascii="仿宋_GB2312" w:hAnsi="仿宋_GB2312" w:cs="仿宋_GB2312" w:eastAsia="仿宋_GB2312"/>
          <w:sz w:val="24"/>
        </w:rPr>
        <w:t>采购包</w:t>
      </w:r>
      <w:r>
        <w:rPr>
          <w:rFonts w:ascii="仿宋_GB2312" w:hAnsi="仿宋_GB2312" w:cs="仿宋_GB2312" w:eastAsia="仿宋_GB2312"/>
          <w:sz w:val="24"/>
        </w:rPr>
        <w:t>预算金额，但采购人尚未重新确定供货商的，经采购人提出后，中标人应与采购人签订补充协议，按原合同继续供货至采购人确定新的供货商为止（供货金额不超过原合同金额的</w:t>
      </w:r>
      <w:r>
        <w:rPr>
          <w:rFonts w:ascii="仿宋_GB2312" w:hAnsi="仿宋_GB2312" w:cs="仿宋_GB2312" w:eastAsia="仿宋_GB2312"/>
          <w:sz w:val="24"/>
        </w:rPr>
        <w:t>10%），中标人需无条件配合采购人完成后续工作。</w:t>
      </w:r>
    </w:p>
    <w:p>
      <w:pPr>
        <w:pStyle w:val="null3"/>
        <w:ind w:firstLine="480"/>
        <w:jc w:val="left"/>
      </w:pPr>
      <w:r>
        <w:rPr>
          <w:rFonts w:ascii="仿宋_GB2312" w:hAnsi="仿宋_GB2312" w:cs="仿宋_GB2312" w:eastAsia="仿宋_GB2312"/>
          <w:sz w:val="24"/>
        </w:rPr>
        <w:t>4.若遇本项目相关标准遇国家重新修订，自新标准实行之日起采用新标准执行。</w:t>
      </w:r>
    </w:p>
    <w:p>
      <w:pPr>
        <w:pStyle w:val="null3"/>
        <w:ind w:firstLine="480"/>
        <w:jc w:val="left"/>
      </w:pPr>
      <w:r>
        <w:rPr>
          <w:rFonts w:ascii="仿宋_GB2312" w:hAnsi="仿宋_GB2312" w:cs="仿宋_GB2312" w:eastAsia="仿宋_GB2312"/>
          <w:sz w:val="24"/>
        </w:rPr>
        <w:t>5.本项目投标人的投标报价不作为合同执行价格，实际采购金额以实际供货量为准，评标时的报价只作为获取按实结算的折扣系数依据，合同金额为预算金额。该金额是中标人为完成本项目招标范围内所有内容的所有费用即为配送到采购人指定地点的包干价格，包括但不限于货款、检测费、税费、配送、服务人员的人工费、来往交通费、保险及退换货物所产生的一切费用等。</w:t>
      </w:r>
    </w:p>
    <w:p>
      <w:pPr>
        <w:pStyle w:val="null3"/>
        <w:ind w:firstLine="480"/>
        <w:jc w:val="left"/>
      </w:pPr>
      <w:r>
        <w:rPr>
          <w:rFonts w:ascii="仿宋_GB2312" w:hAnsi="仿宋_GB2312" w:cs="仿宋_GB2312" w:eastAsia="仿宋_GB2312"/>
          <w:sz w:val="24"/>
        </w:rPr>
        <w:t>6.如采购人上级主管部门出台新的规定，本项目相关要求与之不符的，投标人均应无条件配合按新的规定执行。</w:t>
      </w:r>
    </w:p>
    <w:p>
      <w:pPr>
        <w:pStyle w:val="null3"/>
        <w:ind w:firstLine="480"/>
        <w:jc w:val="left"/>
      </w:pPr>
      <w:r>
        <w:rPr>
          <w:rFonts w:ascii="仿宋_GB2312" w:hAnsi="仿宋_GB2312" w:cs="仿宋_GB2312" w:eastAsia="仿宋_GB2312"/>
          <w:sz w:val="24"/>
        </w:rPr>
        <w:t>7.报价说明：</w:t>
      </w:r>
    </w:p>
    <w:p>
      <w:pPr>
        <w:pStyle w:val="null3"/>
        <w:ind w:firstLine="480"/>
        <w:jc w:val="left"/>
      </w:pPr>
      <w:r>
        <w:rPr>
          <w:rFonts w:ascii="仿宋_GB2312" w:hAnsi="仿宋_GB2312" w:cs="仿宋_GB2312" w:eastAsia="仿宋_GB2312"/>
          <w:sz w:val="24"/>
        </w:rPr>
        <w:t>7.1折扣系数与投标报价：本项目按统一的“折扣系数”进行报价（所有产品的折扣系数须一致），因福建省政府采购网上公开信息系统无法填报投标“折扣系数”，只能填写金额，因此各投标人在电子后台系统上应填写折扣后的投标总价（投标总价“四舍五入”保留至小数点后两位，以“元”为单位），作为本项目的价格评审及折扣系数计算使用。</w:t>
      </w:r>
    </w:p>
    <w:p>
      <w:pPr>
        <w:pStyle w:val="null3"/>
        <w:ind w:firstLine="480"/>
        <w:jc w:val="left"/>
      </w:pPr>
      <w:r>
        <w:rPr>
          <w:rFonts w:ascii="仿宋_GB2312" w:hAnsi="仿宋_GB2312" w:cs="仿宋_GB2312" w:eastAsia="仿宋_GB2312"/>
          <w:sz w:val="24"/>
        </w:rPr>
        <w:t>7.2计算公式如下：投标总价=采购预算金额（福建省</w:t>
      </w:r>
      <w:r>
        <w:rPr>
          <w:rFonts w:ascii="仿宋_GB2312" w:hAnsi="仿宋_GB2312" w:cs="仿宋_GB2312" w:eastAsia="仿宋_GB2312"/>
          <w:sz w:val="24"/>
        </w:rPr>
        <w:t>龙岩</w:t>
      </w:r>
      <w:r>
        <w:rPr>
          <w:rFonts w:ascii="仿宋_GB2312" w:hAnsi="仿宋_GB2312" w:cs="仿宋_GB2312" w:eastAsia="仿宋_GB2312"/>
          <w:sz w:val="24"/>
        </w:rPr>
        <w:t>监狱财政资金</w:t>
      </w:r>
      <w:r>
        <w:rPr>
          <w:rFonts w:ascii="仿宋_GB2312" w:hAnsi="仿宋_GB2312" w:cs="仿宋_GB2312" w:eastAsia="仿宋_GB2312"/>
          <w:sz w:val="24"/>
        </w:rPr>
        <w:t>320</w:t>
      </w:r>
      <w:r>
        <w:rPr>
          <w:rFonts w:ascii="仿宋_GB2312" w:hAnsi="仿宋_GB2312" w:cs="仿宋_GB2312" w:eastAsia="仿宋_GB2312"/>
          <w:sz w:val="24"/>
        </w:rPr>
        <w:t>万元）</w:t>
      </w:r>
      <w:r>
        <w:rPr>
          <w:rFonts w:ascii="仿宋_GB2312" w:hAnsi="仿宋_GB2312" w:cs="仿宋_GB2312" w:eastAsia="仿宋_GB2312"/>
          <w:sz w:val="24"/>
        </w:rPr>
        <w:t>×折扣系数。例：本项目预算金额为</w:t>
      </w:r>
      <w:r>
        <w:rPr>
          <w:rFonts w:ascii="仿宋_GB2312" w:hAnsi="仿宋_GB2312" w:cs="仿宋_GB2312" w:eastAsia="仿宋_GB2312"/>
          <w:sz w:val="24"/>
        </w:rPr>
        <w:t>320</w:t>
      </w:r>
      <w:r>
        <w:rPr>
          <w:rFonts w:ascii="仿宋_GB2312" w:hAnsi="仿宋_GB2312" w:cs="仿宋_GB2312" w:eastAsia="仿宋_GB2312"/>
          <w:sz w:val="24"/>
        </w:rPr>
        <w:t>万元，折扣系数为</w:t>
      </w:r>
      <w:r>
        <w:rPr>
          <w:rFonts w:ascii="仿宋_GB2312" w:hAnsi="仿宋_GB2312" w:cs="仿宋_GB2312" w:eastAsia="仿宋_GB2312"/>
          <w:sz w:val="24"/>
        </w:rPr>
        <w:t>0.9</w:t>
      </w:r>
      <w:r>
        <w:rPr>
          <w:rFonts w:ascii="仿宋_GB2312" w:hAnsi="仿宋_GB2312" w:cs="仿宋_GB2312" w:eastAsia="仿宋_GB2312"/>
          <w:sz w:val="24"/>
        </w:rPr>
        <w:t>000</w:t>
      </w:r>
      <w:r>
        <w:rPr>
          <w:rFonts w:ascii="仿宋_GB2312" w:hAnsi="仿宋_GB2312" w:cs="仿宋_GB2312" w:eastAsia="仿宋_GB2312"/>
          <w:sz w:val="24"/>
        </w:rPr>
        <w:t>，则投标报价</w:t>
      </w:r>
      <w:r>
        <w:rPr>
          <w:rFonts w:ascii="仿宋_GB2312" w:hAnsi="仿宋_GB2312" w:cs="仿宋_GB2312" w:eastAsia="仿宋_GB2312"/>
          <w:sz w:val="24"/>
        </w:rPr>
        <w:t>320</w:t>
      </w:r>
      <w:r>
        <w:rPr>
          <w:rFonts w:ascii="仿宋_GB2312" w:hAnsi="仿宋_GB2312" w:cs="仿宋_GB2312" w:eastAsia="仿宋_GB2312"/>
          <w:sz w:val="24"/>
        </w:rPr>
        <w:t>0000×0.9</w:t>
      </w:r>
      <w:r>
        <w:rPr>
          <w:rFonts w:ascii="仿宋_GB2312" w:hAnsi="仿宋_GB2312" w:cs="仿宋_GB2312" w:eastAsia="仿宋_GB2312"/>
          <w:sz w:val="24"/>
        </w:rPr>
        <w:t>000</w:t>
      </w:r>
      <w:r>
        <w:rPr>
          <w:rFonts w:ascii="仿宋_GB2312" w:hAnsi="仿宋_GB2312" w:cs="仿宋_GB2312" w:eastAsia="仿宋_GB2312"/>
          <w:sz w:val="24"/>
        </w:rPr>
        <w:t>=</w:t>
      </w:r>
      <w:r>
        <w:rPr>
          <w:rFonts w:ascii="仿宋_GB2312" w:hAnsi="仿宋_GB2312" w:cs="仿宋_GB2312" w:eastAsia="仿宋_GB2312"/>
          <w:sz w:val="24"/>
        </w:rPr>
        <w:t>2880</w:t>
      </w:r>
      <w:r>
        <w:rPr>
          <w:rFonts w:ascii="仿宋_GB2312" w:hAnsi="仿宋_GB2312" w:cs="仿宋_GB2312" w:eastAsia="仿宋_GB2312"/>
          <w:sz w:val="24"/>
        </w:rPr>
        <w:t>000元。则投标人应在福建省政府采购网上公开信息系统报价部分填入投标总价为</w:t>
      </w:r>
      <w:r>
        <w:rPr>
          <w:rFonts w:ascii="仿宋_GB2312" w:hAnsi="仿宋_GB2312" w:cs="仿宋_GB2312" w:eastAsia="仿宋_GB2312"/>
          <w:sz w:val="24"/>
        </w:rPr>
        <w:t>2880000</w:t>
      </w:r>
      <w:r>
        <w:rPr>
          <w:rFonts w:ascii="仿宋_GB2312" w:hAnsi="仿宋_GB2312" w:cs="仿宋_GB2312" w:eastAsia="仿宋_GB2312"/>
          <w:sz w:val="24"/>
        </w:rPr>
        <w:t>元。</w:t>
      </w:r>
    </w:p>
    <w:p>
      <w:pPr>
        <w:pStyle w:val="null3"/>
        <w:ind w:firstLine="480"/>
        <w:jc w:val="left"/>
      </w:pPr>
      <w:r>
        <w:rPr>
          <w:rFonts w:ascii="仿宋_GB2312" w:hAnsi="仿宋_GB2312" w:cs="仿宋_GB2312" w:eastAsia="仿宋_GB2312"/>
          <w:sz w:val="24"/>
        </w:rPr>
        <w:t>7.3本项目投标人的投标报价不作为合同执行价格，评标时的报价只作为获取按实结算的折扣系数依据（折扣系数至少保留至小数点后四位，第五位“四舍五入”。如0.99</w:t>
      </w:r>
      <w:r>
        <w:rPr>
          <w:rFonts w:ascii="仿宋_GB2312" w:hAnsi="仿宋_GB2312" w:cs="仿宋_GB2312" w:eastAsia="仿宋_GB2312"/>
          <w:sz w:val="24"/>
        </w:rPr>
        <w:t>00</w:t>
      </w:r>
      <w:r>
        <w:rPr>
          <w:rFonts w:ascii="仿宋_GB2312" w:hAnsi="仿宋_GB2312" w:cs="仿宋_GB2312" w:eastAsia="仿宋_GB2312"/>
          <w:sz w:val="24"/>
        </w:rPr>
        <w:t>、</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98</w:t>
      </w:r>
      <w:r>
        <w:rPr>
          <w:rFonts w:ascii="仿宋_GB2312" w:hAnsi="仿宋_GB2312" w:cs="仿宋_GB2312" w:eastAsia="仿宋_GB2312"/>
          <w:sz w:val="24"/>
        </w:rPr>
        <w:t>00</w:t>
      </w:r>
      <w:r>
        <w:rPr>
          <w:rFonts w:ascii="仿宋_GB2312" w:hAnsi="仿宋_GB2312" w:cs="仿宋_GB2312" w:eastAsia="仿宋_GB2312"/>
          <w:sz w:val="24"/>
        </w:rPr>
        <w:t>……0.8555）及价格评审测算的依据，不作为实际结算的合同金额，合同金额为项目预算金额。</w:t>
      </w:r>
    </w:p>
    <w:p>
      <w:pPr>
        <w:pStyle w:val="null3"/>
        <w:ind w:firstLine="482"/>
        <w:jc w:val="left"/>
      </w:pPr>
      <w:r>
        <w:rPr>
          <w:rFonts w:ascii="仿宋_GB2312" w:hAnsi="仿宋_GB2312" w:cs="仿宋_GB2312" w:eastAsia="仿宋_GB2312"/>
          <w:sz w:val="24"/>
          <w:b/>
          <w:u w:val="single"/>
        </w:rPr>
        <w:t>★8.本章“二、技术和服务要求”、“三、商务要求”项下的条款均为不允许负偏离的实质性要求，有负偏离或未响应的投标无效。</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sz w:val="24"/>
          <w:b/>
        </w:rPr>
        <w:t>（一）</w:t>
      </w:r>
      <w:r>
        <w:rPr>
          <w:rFonts w:ascii="仿宋_GB2312" w:hAnsi="仿宋_GB2312" w:cs="仿宋_GB2312" w:eastAsia="仿宋_GB2312"/>
          <w:sz w:val="24"/>
        </w:rPr>
        <w:t>蔬菜类配送服务项目采购品项表：</w:t>
      </w:r>
      <w:r>
        <w:rPr>
          <w:rFonts w:ascii="仿宋_GB2312" w:hAnsi="仿宋_GB2312" w:cs="仿宋_GB2312" w:eastAsia="仿宋_GB2312"/>
          <w:sz w:val="24"/>
        </w:rPr>
        <w:t>【</w:t>
      </w:r>
      <w:r>
        <w:rPr>
          <w:rFonts w:ascii="仿宋_GB2312" w:hAnsi="仿宋_GB2312" w:cs="仿宋_GB2312" w:eastAsia="仿宋_GB2312"/>
          <w:sz w:val="24"/>
        </w:rPr>
        <w:t>以龙岩市发展和改革委员会</w:t>
      </w:r>
      <w:r>
        <w:rPr>
          <w:rFonts w:ascii="仿宋_GB2312" w:hAnsi="仿宋_GB2312" w:cs="仿宋_GB2312" w:eastAsia="仿宋_GB2312"/>
          <w:sz w:val="24"/>
        </w:rPr>
        <w:t>(http://fgw.longyan.gov.cn/) “专题专栏”专栏发布的龙岩中心城区民生商品价格信息中所购蔬菜品种和以市调参考定价的超市实时上架货品为主，例如下表</w:t>
      </w:r>
      <w:r>
        <w:rPr>
          <w:rFonts w:ascii="仿宋_GB2312" w:hAnsi="仿宋_GB2312" w:cs="仿宋_GB2312" w:eastAsia="仿宋_GB2312"/>
          <w:sz w:val="24"/>
        </w:rPr>
        <w:t>】</w:t>
      </w:r>
    </w:p>
    <w:tbl>
      <w:tblPr>
        <w:tblW w:w="0" w:type="auto"/>
        <w:tblInd w:type="dxa" w:w="180"/>
        <w:tblBorders>
          <w:top w:val="none" w:color="000000" w:sz="4"/>
          <w:left w:val="none" w:color="000000" w:sz="4"/>
          <w:bottom w:val="none" w:color="000000" w:sz="4"/>
          <w:right w:val="none" w:color="000000" w:sz="4"/>
          <w:insideH w:val="none"/>
          <w:insideV w:val="none"/>
        </w:tblBorders>
      </w:tblPr>
      <w:tblGrid>
        <w:gridCol w:w="895"/>
        <w:gridCol w:w="868"/>
        <w:gridCol w:w="2121"/>
        <w:gridCol w:w="1309"/>
        <w:gridCol w:w="1185"/>
        <w:gridCol w:w="1928"/>
      </w:tblGrid>
      <w:tr>
        <w:tc>
          <w:tcPr>
            <w:tcW w:type="dxa" w:w="895"/>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分类</w:t>
            </w:r>
          </w:p>
        </w:tc>
        <w:tc>
          <w:tcPr>
            <w:tcW w:type="dxa" w:w="86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序号</w:t>
            </w:r>
          </w:p>
        </w:tc>
        <w:tc>
          <w:tcPr>
            <w:tcW w:type="dxa" w:w="212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品名</w:t>
            </w:r>
          </w:p>
        </w:tc>
        <w:tc>
          <w:tcPr>
            <w:tcW w:type="dxa" w:w="130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分类</w:t>
            </w:r>
          </w:p>
        </w:tc>
        <w:tc>
          <w:tcPr>
            <w:tcW w:type="dxa" w:w="118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序号</w:t>
            </w:r>
          </w:p>
        </w:tc>
        <w:tc>
          <w:tcPr>
            <w:tcW w:type="dxa" w:w="192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品目</w:t>
            </w:r>
          </w:p>
        </w:tc>
      </w:tr>
      <w:tr>
        <w:tc>
          <w:tcPr>
            <w:tcW w:type="dxa" w:w="895"/>
            <w:vMerge w:val="restart"/>
            <w:tcBorders>
              <w:top w:val="non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叶类菜</w:t>
            </w:r>
          </w:p>
        </w:tc>
        <w:tc>
          <w:tcPr>
            <w:tcW w:type="dxa" w:w="8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2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大白菜</w:t>
            </w:r>
          </w:p>
        </w:tc>
        <w:tc>
          <w:tcPr>
            <w:tcW w:type="dxa" w:w="1309"/>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瓜果类</w:t>
            </w:r>
          </w:p>
        </w:tc>
        <w:tc>
          <w:tcPr>
            <w:tcW w:type="dxa" w:w="1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黄瓜</w:t>
            </w:r>
          </w:p>
        </w:tc>
      </w:tr>
      <w:tr>
        <w:tc>
          <w:tcPr>
            <w:tcW w:type="dxa" w:w="895"/>
            <w:vMerge/>
            <w:tcBorders>
              <w:top w:val="none" w:color="000000" w:sz="4"/>
              <w:left w:val="single" w:color="000000" w:sz="4"/>
              <w:bottom w:val="none" w:color="000000" w:sz="4"/>
              <w:right w:val="single" w:color="000000" w:sz="4"/>
            </w:tcBorders>
          </w:tcPr>
          <w:p/>
        </w:tc>
        <w:tc>
          <w:tcPr>
            <w:tcW w:type="dxa" w:w="8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2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油菜</w:t>
            </w:r>
          </w:p>
        </w:tc>
        <w:tc>
          <w:tcPr>
            <w:tcW w:type="dxa" w:w="1309"/>
            <w:vMerge/>
            <w:tcBorders>
              <w:top w:val="none" w:color="000000" w:sz="4"/>
              <w:left w:val="none" w:color="000000" w:sz="4"/>
              <w:bottom w:val="single" w:color="000000" w:sz="4"/>
              <w:right w:val="single" w:color="000000" w:sz="4"/>
            </w:tcBorders>
          </w:tcPr>
          <w:p/>
        </w:tc>
        <w:tc>
          <w:tcPr>
            <w:tcW w:type="dxa" w:w="1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胡萝卜</w:t>
            </w:r>
          </w:p>
        </w:tc>
      </w:tr>
      <w:tr>
        <w:tc>
          <w:tcPr>
            <w:tcW w:type="dxa" w:w="895"/>
            <w:vMerge/>
            <w:tcBorders>
              <w:top w:val="none" w:color="000000" w:sz="4"/>
              <w:left w:val="single" w:color="000000" w:sz="4"/>
              <w:bottom w:val="none" w:color="000000" w:sz="4"/>
              <w:right w:val="single" w:color="000000" w:sz="4"/>
            </w:tcBorders>
          </w:tcPr>
          <w:p/>
        </w:tc>
        <w:tc>
          <w:tcPr>
            <w:tcW w:type="dxa" w:w="8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2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圆白菜</w:t>
            </w:r>
            <w:r>
              <w:rPr>
                <w:rFonts w:ascii="仿宋_GB2312" w:hAnsi="仿宋_GB2312" w:cs="仿宋_GB2312" w:eastAsia="仿宋_GB2312"/>
                <w:sz w:val="24"/>
              </w:rPr>
              <w:t>（或包菜）</w:t>
            </w:r>
          </w:p>
        </w:tc>
        <w:tc>
          <w:tcPr>
            <w:tcW w:type="dxa" w:w="1309"/>
            <w:vMerge/>
            <w:tcBorders>
              <w:top w:val="none" w:color="000000" w:sz="4"/>
              <w:left w:val="none" w:color="000000" w:sz="4"/>
              <w:bottom w:val="single" w:color="000000" w:sz="4"/>
              <w:right w:val="single" w:color="000000" w:sz="4"/>
            </w:tcBorders>
          </w:tcPr>
          <w:p/>
        </w:tc>
        <w:tc>
          <w:tcPr>
            <w:tcW w:type="dxa" w:w="1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西红柿</w:t>
            </w:r>
          </w:p>
        </w:tc>
      </w:tr>
      <w:tr>
        <w:tc>
          <w:tcPr>
            <w:tcW w:type="dxa" w:w="895"/>
            <w:vMerge/>
            <w:tcBorders>
              <w:top w:val="none" w:color="000000" w:sz="4"/>
              <w:left w:val="single" w:color="000000" w:sz="4"/>
              <w:bottom w:val="none" w:color="000000" w:sz="4"/>
              <w:right w:val="single" w:color="000000" w:sz="4"/>
            </w:tcBorders>
          </w:tcPr>
          <w:p/>
        </w:tc>
        <w:tc>
          <w:tcPr>
            <w:tcW w:type="dxa" w:w="8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2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花菜</w:t>
            </w:r>
          </w:p>
        </w:tc>
        <w:tc>
          <w:tcPr>
            <w:tcW w:type="dxa" w:w="1309"/>
            <w:vMerge/>
            <w:tcBorders>
              <w:top w:val="none" w:color="000000" w:sz="4"/>
              <w:left w:val="none" w:color="000000" w:sz="4"/>
              <w:bottom w:val="single" w:color="000000" w:sz="4"/>
              <w:right w:val="single" w:color="000000" w:sz="4"/>
            </w:tcBorders>
          </w:tcPr>
          <w:p/>
        </w:tc>
        <w:tc>
          <w:tcPr>
            <w:tcW w:type="dxa" w:w="1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茄子</w:t>
            </w:r>
          </w:p>
        </w:tc>
      </w:tr>
      <w:tr>
        <w:tc>
          <w:tcPr>
            <w:tcW w:type="dxa" w:w="895"/>
            <w:vMerge/>
            <w:tcBorders>
              <w:top w:val="none" w:color="000000" w:sz="4"/>
              <w:left w:val="single" w:color="000000" w:sz="4"/>
              <w:bottom w:val="none" w:color="000000" w:sz="4"/>
              <w:right w:val="single" w:color="000000" w:sz="4"/>
            </w:tcBorders>
          </w:tcPr>
          <w:p/>
        </w:tc>
        <w:tc>
          <w:tcPr>
            <w:tcW w:type="dxa" w:w="8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2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空心菜</w:t>
            </w:r>
          </w:p>
        </w:tc>
        <w:tc>
          <w:tcPr>
            <w:tcW w:type="dxa" w:w="1309"/>
            <w:vMerge/>
            <w:tcBorders>
              <w:top w:val="none" w:color="000000" w:sz="4"/>
              <w:left w:val="none" w:color="000000" w:sz="4"/>
              <w:bottom w:val="single" w:color="000000" w:sz="4"/>
              <w:right w:val="single" w:color="000000" w:sz="4"/>
            </w:tcBorders>
          </w:tcPr>
          <w:p/>
        </w:tc>
        <w:tc>
          <w:tcPr>
            <w:tcW w:type="dxa" w:w="1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冬瓜</w:t>
            </w:r>
          </w:p>
        </w:tc>
      </w:tr>
      <w:tr>
        <w:tc>
          <w:tcPr>
            <w:tcW w:type="dxa" w:w="895"/>
            <w:vMerge/>
            <w:tcBorders>
              <w:top w:val="none" w:color="000000" w:sz="4"/>
              <w:left w:val="single" w:color="000000" w:sz="4"/>
              <w:bottom w:val="none" w:color="000000" w:sz="4"/>
              <w:right w:val="single" w:color="000000" w:sz="4"/>
            </w:tcBorders>
          </w:tcPr>
          <w:p/>
        </w:tc>
        <w:tc>
          <w:tcPr>
            <w:tcW w:type="dxa" w:w="8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6</w:t>
            </w:r>
          </w:p>
        </w:tc>
        <w:tc>
          <w:tcPr>
            <w:tcW w:type="dxa" w:w="2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口青</w:t>
            </w:r>
            <w:r>
              <w:rPr>
                <w:rFonts w:ascii="仿宋_GB2312" w:hAnsi="仿宋_GB2312" w:cs="仿宋_GB2312" w:eastAsia="仿宋_GB2312"/>
                <w:sz w:val="24"/>
              </w:rPr>
              <w:t>(</w:t>
            </w:r>
            <w:r>
              <w:rPr>
                <w:rFonts w:ascii="仿宋_GB2312" w:hAnsi="仿宋_GB2312" w:cs="仿宋_GB2312" w:eastAsia="仿宋_GB2312"/>
                <w:sz w:val="24"/>
              </w:rPr>
              <w:t>上海青</w:t>
            </w:r>
            <w:r>
              <w:rPr>
                <w:rFonts w:ascii="仿宋_GB2312" w:hAnsi="仿宋_GB2312" w:cs="仿宋_GB2312" w:eastAsia="仿宋_GB2312"/>
                <w:sz w:val="24"/>
              </w:rPr>
              <w:t>)</w:t>
            </w:r>
          </w:p>
        </w:tc>
        <w:tc>
          <w:tcPr>
            <w:tcW w:type="dxa" w:w="1309"/>
            <w:vMerge/>
            <w:tcBorders>
              <w:top w:val="none" w:color="000000" w:sz="4"/>
              <w:left w:val="none" w:color="000000" w:sz="4"/>
              <w:bottom w:val="single" w:color="000000" w:sz="4"/>
              <w:right w:val="single" w:color="000000" w:sz="4"/>
            </w:tcBorders>
          </w:tcPr>
          <w:p/>
        </w:tc>
        <w:tc>
          <w:tcPr>
            <w:tcW w:type="dxa" w:w="1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6</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苦瓜</w:t>
            </w:r>
          </w:p>
        </w:tc>
      </w:tr>
      <w:tr>
        <w:tc>
          <w:tcPr>
            <w:tcW w:type="dxa" w:w="895"/>
            <w:vMerge/>
            <w:tcBorders>
              <w:top w:val="none" w:color="000000" w:sz="4"/>
              <w:left w:val="single" w:color="000000" w:sz="4"/>
              <w:bottom w:val="none" w:color="000000" w:sz="4"/>
              <w:right w:val="single" w:color="000000" w:sz="4"/>
            </w:tcBorders>
          </w:tcPr>
          <w:p/>
        </w:tc>
        <w:tc>
          <w:tcPr>
            <w:tcW w:type="dxa" w:w="8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7</w:t>
            </w:r>
          </w:p>
        </w:tc>
        <w:tc>
          <w:tcPr>
            <w:tcW w:type="dxa" w:w="2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芥菜</w:t>
            </w:r>
          </w:p>
        </w:tc>
        <w:tc>
          <w:tcPr>
            <w:tcW w:type="dxa" w:w="1309"/>
            <w:vMerge/>
            <w:tcBorders>
              <w:top w:val="none" w:color="000000" w:sz="4"/>
              <w:left w:val="none" w:color="000000" w:sz="4"/>
              <w:bottom w:val="single" w:color="000000" w:sz="4"/>
              <w:right w:val="single" w:color="000000" w:sz="4"/>
            </w:tcBorders>
          </w:tcPr>
          <w:p/>
        </w:tc>
        <w:tc>
          <w:tcPr>
            <w:tcW w:type="dxa" w:w="1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7</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白萝卜</w:t>
            </w:r>
          </w:p>
        </w:tc>
      </w:tr>
      <w:tr>
        <w:tc>
          <w:tcPr>
            <w:tcW w:type="dxa" w:w="895"/>
            <w:vMerge/>
            <w:tcBorders>
              <w:top w:val="none" w:color="000000" w:sz="4"/>
              <w:left w:val="single" w:color="000000" w:sz="4"/>
              <w:bottom w:val="none" w:color="000000" w:sz="4"/>
              <w:right w:val="single" w:color="000000" w:sz="4"/>
            </w:tcBorders>
          </w:tcPr>
          <w:p/>
        </w:tc>
        <w:tc>
          <w:tcPr>
            <w:tcW w:type="dxa" w:w="8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8</w:t>
            </w:r>
          </w:p>
        </w:tc>
        <w:tc>
          <w:tcPr>
            <w:tcW w:type="dxa" w:w="2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豆芽</w:t>
            </w:r>
          </w:p>
        </w:tc>
        <w:tc>
          <w:tcPr>
            <w:tcW w:type="dxa" w:w="1309"/>
            <w:vMerge/>
            <w:tcBorders>
              <w:top w:val="none" w:color="000000" w:sz="4"/>
              <w:left w:val="none" w:color="000000" w:sz="4"/>
              <w:bottom w:val="single" w:color="000000" w:sz="4"/>
              <w:right w:val="single" w:color="000000" w:sz="4"/>
            </w:tcBorders>
          </w:tcPr>
          <w:p/>
        </w:tc>
        <w:tc>
          <w:tcPr>
            <w:tcW w:type="dxa" w:w="1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8</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尖椒</w:t>
            </w:r>
          </w:p>
        </w:tc>
      </w:tr>
      <w:tr>
        <w:tc>
          <w:tcPr>
            <w:tcW w:type="dxa" w:w="895"/>
            <w:vMerge/>
            <w:tcBorders>
              <w:top w:val="none" w:color="000000" w:sz="4"/>
              <w:left w:val="single" w:color="000000" w:sz="4"/>
              <w:bottom w:val="none" w:color="000000" w:sz="4"/>
              <w:right w:val="single" w:color="000000" w:sz="4"/>
            </w:tcBorders>
          </w:tcPr>
          <w:p/>
        </w:tc>
        <w:tc>
          <w:tcPr>
            <w:tcW w:type="dxa" w:w="8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9</w:t>
            </w:r>
          </w:p>
        </w:tc>
        <w:tc>
          <w:tcPr>
            <w:tcW w:type="dxa" w:w="2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生菜（或春菜）</w:t>
            </w:r>
          </w:p>
        </w:tc>
        <w:tc>
          <w:tcPr>
            <w:tcW w:type="dxa" w:w="1309"/>
            <w:vMerge/>
            <w:tcBorders>
              <w:top w:val="none" w:color="000000" w:sz="4"/>
              <w:left w:val="none" w:color="000000" w:sz="4"/>
              <w:bottom w:val="single" w:color="000000" w:sz="4"/>
              <w:right w:val="single" w:color="000000" w:sz="4"/>
            </w:tcBorders>
          </w:tcPr>
          <w:p/>
        </w:tc>
        <w:tc>
          <w:tcPr>
            <w:tcW w:type="dxa" w:w="1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9</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青椒</w:t>
            </w:r>
          </w:p>
        </w:tc>
      </w:tr>
      <w:tr>
        <w:tc>
          <w:tcPr>
            <w:tcW w:type="dxa" w:w="895"/>
            <w:vMerge/>
            <w:tcBorders>
              <w:top w:val="none" w:color="000000" w:sz="4"/>
              <w:left w:val="single" w:color="000000" w:sz="4"/>
              <w:bottom w:val="none" w:color="000000" w:sz="4"/>
              <w:right w:val="single" w:color="000000" w:sz="4"/>
            </w:tcBorders>
          </w:tcPr>
          <w:p/>
        </w:tc>
        <w:tc>
          <w:tcPr>
            <w:tcW w:type="dxa" w:w="8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2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菠菜</w:t>
            </w:r>
          </w:p>
        </w:tc>
        <w:tc>
          <w:tcPr>
            <w:tcW w:type="dxa" w:w="1309"/>
            <w:vMerge/>
            <w:tcBorders>
              <w:top w:val="none" w:color="000000" w:sz="4"/>
              <w:left w:val="none" w:color="000000" w:sz="4"/>
              <w:bottom w:val="single" w:color="000000" w:sz="4"/>
              <w:right w:val="single" w:color="000000" w:sz="4"/>
            </w:tcBorders>
          </w:tcPr>
          <w:p/>
        </w:tc>
        <w:tc>
          <w:tcPr>
            <w:tcW w:type="dxa" w:w="1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南瓜</w:t>
            </w:r>
          </w:p>
        </w:tc>
      </w:tr>
      <w:tr>
        <w:tc>
          <w:tcPr>
            <w:tcW w:type="dxa" w:w="895"/>
            <w:vMerge/>
            <w:tcBorders>
              <w:top w:val="none" w:color="000000" w:sz="4"/>
              <w:left w:val="single" w:color="000000" w:sz="4"/>
              <w:bottom w:val="none" w:color="000000" w:sz="4"/>
              <w:right w:val="single" w:color="000000" w:sz="4"/>
            </w:tcBorders>
          </w:tcPr>
          <w:p/>
        </w:tc>
        <w:tc>
          <w:tcPr>
            <w:tcW w:type="dxa" w:w="8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11</w:t>
            </w:r>
          </w:p>
        </w:tc>
        <w:tc>
          <w:tcPr>
            <w:tcW w:type="dxa" w:w="2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苋菜</w:t>
            </w:r>
          </w:p>
        </w:tc>
        <w:tc>
          <w:tcPr>
            <w:tcW w:type="dxa" w:w="1309"/>
            <w:vMerge/>
            <w:tcBorders>
              <w:top w:val="none" w:color="000000" w:sz="4"/>
              <w:left w:val="none" w:color="000000" w:sz="4"/>
              <w:bottom w:val="single" w:color="000000" w:sz="4"/>
              <w:right w:val="single" w:color="000000" w:sz="4"/>
            </w:tcBorders>
          </w:tcPr>
          <w:p/>
        </w:tc>
        <w:tc>
          <w:tcPr>
            <w:tcW w:type="dxa" w:w="1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11</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玉米</w:t>
            </w:r>
          </w:p>
        </w:tc>
      </w:tr>
      <w:tr>
        <w:tc>
          <w:tcPr>
            <w:tcW w:type="dxa" w:w="895"/>
            <w:vMerge/>
            <w:tcBorders>
              <w:top w:val="none" w:color="000000" w:sz="4"/>
              <w:left w:val="single" w:color="000000" w:sz="4"/>
              <w:bottom w:val="none" w:color="000000" w:sz="4"/>
              <w:right w:val="single" w:color="000000" w:sz="4"/>
            </w:tcBorders>
          </w:tcPr>
          <w:p/>
        </w:tc>
        <w:tc>
          <w:tcPr>
            <w:tcW w:type="dxa" w:w="8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w:t>
            </w:r>
          </w:p>
        </w:tc>
        <w:tc>
          <w:tcPr>
            <w:tcW w:type="dxa" w:w="2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小白菜</w:t>
            </w:r>
          </w:p>
        </w:tc>
        <w:tc>
          <w:tcPr>
            <w:tcW w:type="dxa" w:w="1309"/>
            <w:vMerge/>
            <w:tcBorders>
              <w:top w:val="none" w:color="000000" w:sz="4"/>
              <w:left w:val="none" w:color="000000" w:sz="4"/>
              <w:bottom w:val="single" w:color="000000" w:sz="4"/>
              <w:right w:val="single" w:color="000000" w:sz="4"/>
            </w:tcBorders>
          </w:tcPr>
          <w:p/>
        </w:tc>
        <w:tc>
          <w:tcPr>
            <w:tcW w:type="dxa" w:w="1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895"/>
            <w:vMerge/>
            <w:tcBorders>
              <w:top w:val="none" w:color="000000" w:sz="4"/>
              <w:left w:val="single" w:color="000000" w:sz="4"/>
              <w:bottom w:val="none" w:color="000000" w:sz="4"/>
              <w:right w:val="single" w:color="000000" w:sz="4"/>
            </w:tcBorders>
          </w:tcPr>
          <w:p/>
        </w:tc>
        <w:tc>
          <w:tcPr>
            <w:tcW w:type="dxa" w:w="8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w:t>
            </w:r>
          </w:p>
        </w:tc>
        <w:tc>
          <w:tcPr>
            <w:tcW w:type="dxa" w:w="2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西芹</w:t>
            </w:r>
          </w:p>
        </w:tc>
        <w:tc>
          <w:tcPr>
            <w:tcW w:type="dxa" w:w="1309"/>
            <w:vMerge/>
            <w:tcBorders>
              <w:top w:val="none" w:color="000000" w:sz="4"/>
              <w:left w:val="none" w:color="000000" w:sz="4"/>
              <w:bottom w:val="single" w:color="000000" w:sz="4"/>
              <w:right w:val="single" w:color="000000" w:sz="4"/>
            </w:tcBorders>
          </w:tcPr>
          <w:p/>
        </w:tc>
        <w:tc>
          <w:tcPr>
            <w:tcW w:type="dxa" w:w="1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895"/>
            <w:vMerge w:val="restart"/>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加餐菜</w:t>
            </w:r>
          </w:p>
        </w:tc>
        <w:tc>
          <w:tcPr>
            <w:tcW w:type="dxa" w:w="8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2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荷兰豆</w:t>
            </w:r>
          </w:p>
        </w:tc>
        <w:tc>
          <w:tcPr>
            <w:tcW w:type="dxa" w:w="1309"/>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调味菜</w:t>
            </w:r>
          </w:p>
        </w:tc>
        <w:tc>
          <w:tcPr>
            <w:tcW w:type="dxa" w:w="1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葱</w:t>
            </w:r>
          </w:p>
        </w:tc>
      </w:tr>
      <w:tr>
        <w:tc>
          <w:tcPr>
            <w:tcW w:type="dxa" w:w="895"/>
            <w:vMerge/>
            <w:tcBorders>
              <w:top w:val="single" w:color="000000" w:sz="4"/>
              <w:left w:val="single" w:color="000000" w:sz="4"/>
              <w:bottom w:val="single" w:color="000000" w:sz="4"/>
              <w:right w:val="single" w:color="000000" w:sz="4"/>
            </w:tcBorders>
          </w:tcPr>
          <w:p/>
        </w:tc>
        <w:tc>
          <w:tcPr>
            <w:tcW w:type="dxa" w:w="8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2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莲藕</w:t>
            </w:r>
          </w:p>
        </w:tc>
        <w:tc>
          <w:tcPr>
            <w:tcW w:type="dxa" w:w="1309"/>
            <w:vMerge/>
            <w:tcBorders>
              <w:top w:val="none" w:color="000000" w:sz="4"/>
              <w:left w:val="none" w:color="000000" w:sz="4"/>
              <w:bottom w:val="single" w:color="000000" w:sz="4"/>
              <w:right w:val="single" w:color="000000" w:sz="4"/>
            </w:tcBorders>
          </w:tcPr>
          <w:p/>
        </w:tc>
        <w:tc>
          <w:tcPr>
            <w:tcW w:type="dxa" w:w="1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大蒜</w:t>
            </w:r>
          </w:p>
        </w:tc>
      </w:tr>
      <w:tr>
        <w:tc>
          <w:tcPr>
            <w:tcW w:type="dxa" w:w="895"/>
            <w:vMerge/>
            <w:tcBorders>
              <w:top w:val="single" w:color="000000" w:sz="4"/>
              <w:left w:val="single" w:color="000000" w:sz="4"/>
              <w:bottom w:val="single" w:color="000000" w:sz="4"/>
              <w:right w:val="single" w:color="000000" w:sz="4"/>
            </w:tcBorders>
          </w:tcPr>
          <w:p/>
        </w:tc>
        <w:tc>
          <w:tcPr>
            <w:tcW w:type="dxa" w:w="8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2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土豆</w:t>
            </w:r>
          </w:p>
        </w:tc>
        <w:tc>
          <w:tcPr>
            <w:tcW w:type="dxa" w:w="1309"/>
            <w:vMerge/>
            <w:tcBorders>
              <w:top w:val="none" w:color="000000" w:sz="4"/>
              <w:left w:val="none" w:color="000000" w:sz="4"/>
              <w:bottom w:val="single" w:color="000000" w:sz="4"/>
              <w:right w:val="single" w:color="000000" w:sz="4"/>
            </w:tcBorders>
          </w:tcPr>
          <w:p/>
        </w:tc>
        <w:tc>
          <w:tcPr>
            <w:tcW w:type="dxa" w:w="1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芹菜</w:t>
            </w:r>
          </w:p>
        </w:tc>
      </w:tr>
      <w:tr>
        <w:tc>
          <w:tcPr>
            <w:tcW w:type="dxa" w:w="895"/>
            <w:vMerge/>
            <w:tcBorders>
              <w:top w:val="single" w:color="000000" w:sz="4"/>
              <w:left w:val="single" w:color="000000" w:sz="4"/>
              <w:bottom w:val="single" w:color="000000" w:sz="4"/>
              <w:right w:val="single" w:color="000000" w:sz="4"/>
            </w:tcBorders>
          </w:tcPr>
          <w:p/>
        </w:tc>
        <w:tc>
          <w:tcPr>
            <w:tcW w:type="dxa" w:w="8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2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莴笋</w:t>
            </w:r>
          </w:p>
        </w:tc>
        <w:tc>
          <w:tcPr>
            <w:tcW w:type="dxa" w:w="1309"/>
            <w:vMerge/>
            <w:tcBorders>
              <w:top w:val="none" w:color="000000" w:sz="4"/>
              <w:left w:val="none" w:color="000000" w:sz="4"/>
              <w:bottom w:val="single" w:color="000000" w:sz="4"/>
              <w:right w:val="single" w:color="000000" w:sz="4"/>
            </w:tcBorders>
          </w:tcPr>
          <w:p/>
        </w:tc>
        <w:tc>
          <w:tcPr>
            <w:tcW w:type="dxa" w:w="1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洋葱</w:t>
            </w:r>
          </w:p>
        </w:tc>
      </w:tr>
      <w:tr>
        <w:tc>
          <w:tcPr>
            <w:tcW w:type="dxa" w:w="895"/>
            <w:vMerge/>
            <w:tcBorders>
              <w:top w:val="single" w:color="000000" w:sz="4"/>
              <w:left w:val="single" w:color="000000" w:sz="4"/>
              <w:bottom w:val="single" w:color="000000" w:sz="4"/>
              <w:right w:val="single" w:color="000000" w:sz="4"/>
            </w:tcBorders>
          </w:tcPr>
          <w:p/>
        </w:tc>
        <w:tc>
          <w:tcPr>
            <w:tcW w:type="dxa" w:w="8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2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油麦菜</w:t>
            </w:r>
          </w:p>
        </w:tc>
        <w:tc>
          <w:tcPr>
            <w:tcW w:type="dxa" w:w="1309"/>
            <w:vMerge/>
            <w:tcBorders>
              <w:top w:val="none" w:color="000000" w:sz="4"/>
              <w:left w:val="none" w:color="000000" w:sz="4"/>
              <w:bottom w:val="single" w:color="000000" w:sz="4"/>
              <w:right w:val="single" w:color="000000" w:sz="4"/>
            </w:tcBorders>
          </w:tcPr>
          <w:p/>
        </w:tc>
        <w:tc>
          <w:tcPr>
            <w:tcW w:type="dxa" w:w="1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姜</w:t>
            </w:r>
          </w:p>
        </w:tc>
      </w:tr>
      <w:tr>
        <w:tc>
          <w:tcPr>
            <w:tcW w:type="dxa" w:w="895"/>
            <w:vMerge/>
            <w:tcBorders>
              <w:top w:val="single" w:color="000000" w:sz="4"/>
              <w:left w:val="single" w:color="000000" w:sz="4"/>
              <w:bottom w:val="single" w:color="000000" w:sz="4"/>
              <w:right w:val="single" w:color="000000" w:sz="4"/>
            </w:tcBorders>
          </w:tcPr>
          <w:p/>
        </w:tc>
        <w:tc>
          <w:tcPr>
            <w:tcW w:type="dxa" w:w="8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6</w:t>
            </w:r>
          </w:p>
        </w:tc>
        <w:tc>
          <w:tcPr>
            <w:tcW w:type="dxa" w:w="2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凤尾菇</w:t>
            </w:r>
          </w:p>
        </w:tc>
        <w:tc>
          <w:tcPr>
            <w:tcW w:type="dxa" w:w="1309"/>
            <w:vMerge/>
            <w:tcBorders>
              <w:top w:val="none" w:color="000000" w:sz="4"/>
              <w:left w:val="none" w:color="000000" w:sz="4"/>
              <w:bottom w:val="single" w:color="000000" w:sz="4"/>
              <w:right w:val="single" w:color="000000" w:sz="4"/>
            </w:tcBorders>
          </w:tcPr>
          <w:p/>
        </w:tc>
        <w:tc>
          <w:tcPr>
            <w:tcW w:type="dxa" w:w="1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6</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韭菜</w:t>
            </w:r>
          </w:p>
        </w:tc>
      </w:tr>
      <w:tr>
        <w:tc>
          <w:tcPr>
            <w:tcW w:type="dxa" w:w="895"/>
            <w:vMerge/>
            <w:tcBorders>
              <w:top w:val="single" w:color="000000" w:sz="4"/>
              <w:left w:val="single" w:color="000000" w:sz="4"/>
              <w:bottom w:val="single" w:color="000000" w:sz="4"/>
              <w:right w:val="single" w:color="000000" w:sz="4"/>
            </w:tcBorders>
          </w:tcPr>
          <w:p/>
        </w:tc>
        <w:tc>
          <w:tcPr>
            <w:tcW w:type="dxa" w:w="8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7</w:t>
            </w:r>
          </w:p>
        </w:tc>
        <w:tc>
          <w:tcPr>
            <w:tcW w:type="dxa" w:w="2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金针菇</w:t>
            </w:r>
          </w:p>
        </w:tc>
        <w:tc>
          <w:tcPr>
            <w:tcW w:type="dxa" w:w="1309"/>
            <w:vMerge/>
            <w:tcBorders>
              <w:top w:val="none" w:color="000000" w:sz="4"/>
              <w:left w:val="none" w:color="000000" w:sz="4"/>
              <w:bottom w:val="single" w:color="000000" w:sz="4"/>
              <w:right w:val="single" w:color="000000" w:sz="4"/>
            </w:tcBorders>
          </w:tcPr>
          <w:p/>
        </w:tc>
        <w:tc>
          <w:tcPr>
            <w:tcW w:type="dxa" w:w="1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7</w:t>
            </w: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蒜头（去皮）</w:t>
            </w:r>
          </w:p>
        </w:tc>
      </w:tr>
      <w:tr>
        <w:tc>
          <w:tcPr>
            <w:tcW w:type="dxa" w:w="895"/>
            <w:vMerge/>
            <w:tcBorders>
              <w:top w:val="single" w:color="000000" w:sz="4"/>
              <w:left w:val="single" w:color="000000" w:sz="4"/>
              <w:bottom w:val="single" w:color="000000" w:sz="4"/>
              <w:right w:val="single" w:color="000000" w:sz="4"/>
            </w:tcBorders>
          </w:tcPr>
          <w:p/>
        </w:tc>
        <w:tc>
          <w:tcPr>
            <w:tcW w:type="dxa" w:w="8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8</w:t>
            </w:r>
          </w:p>
        </w:tc>
        <w:tc>
          <w:tcPr>
            <w:tcW w:type="dxa" w:w="2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杏鲍菇</w:t>
            </w:r>
          </w:p>
        </w:tc>
        <w:tc>
          <w:tcPr>
            <w:tcW w:type="dxa" w:w="1309"/>
            <w:vMerge/>
            <w:tcBorders>
              <w:top w:val="none" w:color="000000" w:sz="4"/>
              <w:left w:val="none" w:color="000000" w:sz="4"/>
              <w:bottom w:val="single" w:color="000000" w:sz="4"/>
              <w:right w:val="single" w:color="000000" w:sz="4"/>
            </w:tcBorders>
          </w:tcPr>
          <w:p/>
        </w:tc>
        <w:tc>
          <w:tcPr>
            <w:tcW w:type="dxa" w:w="1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2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9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bl>
    <w:p>
      <w:pPr>
        <w:pStyle w:val="null3"/>
        <w:jc w:val="both"/>
      </w:pPr>
      <w:r>
        <w:rPr>
          <w:rFonts w:ascii="仿宋_GB2312" w:hAnsi="仿宋_GB2312" w:cs="仿宋_GB2312" w:eastAsia="仿宋_GB2312"/>
          <w:sz w:val="24"/>
        </w:rPr>
        <w:t>备注：</w:t>
      </w:r>
    </w:p>
    <w:p>
      <w:pPr>
        <w:pStyle w:val="null3"/>
        <w:ind w:firstLine="480"/>
        <w:jc w:val="both"/>
      </w:pPr>
      <w:r>
        <w:rPr>
          <w:rFonts w:ascii="仿宋_GB2312" w:hAnsi="仿宋_GB2312" w:cs="仿宋_GB2312" w:eastAsia="仿宋_GB2312"/>
          <w:sz w:val="24"/>
        </w:rPr>
        <w:t>1.预估叶类菜采购占比</w:t>
      </w:r>
      <w:r>
        <w:rPr>
          <w:rFonts w:ascii="仿宋_GB2312" w:hAnsi="仿宋_GB2312" w:cs="仿宋_GB2312" w:eastAsia="仿宋_GB2312"/>
          <w:sz w:val="24"/>
          <w:u w:val="single"/>
        </w:rPr>
        <w:t>40</w:t>
      </w:r>
      <w:r>
        <w:rPr>
          <w:rFonts w:ascii="仿宋_GB2312" w:hAnsi="仿宋_GB2312" w:cs="仿宋_GB2312" w:eastAsia="仿宋_GB2312"/>
          <w:sz w:val="24"/>
        </w:rPr>
        <w:t>%，：瓜果类采购占比</w:t>
      </w:r>
      <w:r>
        <w:rPr>
          <w:rFonts w:ascii="仿宋_GB2312" w:hAnsi="仿宋_GB2312" w:cs="仿宋_GB2312" w:eastAsia="仿宋_GB2312"/>
          <w:sz w:val="24"/>
          <w:u w:val="single"/>
        </w:rPr>
        <w:t>30</w:t>
      </w:r>
      <w:r>
        <w:rPr>
          <w:rFonts w:ascii="仿宋_GB2312" w:hAnsi="仿宋_GB2312" w:cs="仿宋_GB2312" w:eastAsia="仿宋_GB2312"/>
          <w:sz w:val="24"/>
        </w:rPr>
        <w:t>%；加餐菜类采购占比</w:t>
      </w:r>
      <w:r>
        <w:rPr>
          <w:rFonts w:ascii="仿宋_GB2312" w:hAnsi="仿宋_GB2312" w:cs="仿宋_GB2312" w:eastAsia="仿宋_GB2312"/>
          <w:sz w:val="24"/>
          <w:u w:val="single"/>
        </w:rPr>
        <w:t>25</w:t>
      </w:r>
      <w:r>
        <w:rPr>
          <w:rFonts w:ascii="仿宋_GB2312" w:hAnsi="仿宋_GB2312" w:cs="仿宋_GB2312" w:eastAsia="仿宋_GB2312"/>
          <w:sz w:val="24"/>
        </w:rPr>
        <w:t>%；调味菜类采购占比</w:t>
      </w:r>
      <w:r>
        <w:rPr>
          <w:rFonts w:ascii="仿宋_GB2312" w:hAnsi="仿宋_GB2312" w:cs="仿宋_GB2312" w:eastAsia="仿宋_GB2312"/>
          <w:sz w:val="24"/>
          <w:u w:val="single"/>
        </w:rPr>
        <w:t>5</w:t>
      </w:r>
      <w:r>
        <w:rPr>
          <w:rFonts w:ascii="仿宋_GB2312" w:hAnsi="仿宋_GB2312" w:cs="仿宋_GB2312" w:eastAsia="仿宋_GB2312"/>
          <w:sz w:val="24"/>
        </w:rPr>
        <w:t>%；具体以实际采购计划为准。</w:t>
      </w:r>
    </w:p>
    <w:p>
      <w:pPr>
        <w:pStyle w:val="null3"/>
        <w:ind w:firstLine="480"/>
        <w:jc w:val="both"/>
      </w:pPr>
      <w:r>
        <w:rPr>
          <w:rFonts w:ascii="仿宋_GB2312" w:hAnsi="仿宋_GB2312" w:cs="仿宋_GB2312" w:eastAsia="仿宋_GB2312"/>
          <w:sz w:val="24"/>
        </w:rPr>
        <w:t>2.实际采购项目品种包含但不限于以上货物名称，采购人有权要求</w:t>
      </w:r>
      <w:r>
        <w:rPr>
          <w:rFonts w:ascii="仿宋_GB2312" w:hAnsi="仿宋_GB2312" w:cs="仿宋_GB2312" w:eastAsia="仿宋_GB2312"/>
          <w:sz w:val="24"/>
        </w:rPr>
        <w:t>投标人</w:t>
      </w:r>
      <w:r>
        <w:rPr>
          <w:rFonts w:ascii="仿宋_GB2312" w:hAnsi="仿宋_GB2312" w:cs="仿宋_GB2312" w:eastAsia="仿宋_GB2312"/>
          <w:sz w:val="24"/>
        </w:rPr>
        <w:t>提供目录外的商品，采购人要求提供的，</w:t>
      </w:r>
      <w:r>
        <w:rPr>
          <w:rFonts w:ascii="仿宋_GB2312" w:hAnsi="仿宋_GB2312" w:cs="仿宋_GB2312" w:eastAsia="仿宋_GB2312"/>
          <w:sz w:val="24"/>
        </w:rPr>
        <w:t>投标人</w:t>
      </w:r>
      <w:r>
        <w:rPr>
          <w:rFonts w:ascii="仿宋_GB2312" w:hAnsi="仿宋_GB2312" w:cs="仿宋_GB2312" w:eastAsia="仿宋_GB2312"/>
          <w:sz w:val="24"/>
        </w:rPr>
        <w:t>应无条件满足。具体以采购人下单为准，但目录外货物供应总金额不得超过该</w:t>
      </w:r>
      <w:r>
        <w:rPr>
          <w:rFonts w:ascii="仿宋_GB2312" w:hAnsi="仿宋_GB2312" w:cs="仿宋_GB2312" w:eastAsia="仿宋_GB2312"/>
          <w:sz w:val="24"/>
        </w:rPr>
        <w:t>采购包</w:t>
      </w:r>
      <w:r>
        <w:rPr>
          <w:rFonts w:ascii="仿宋_GB2312" w:hAnsi="仿宋_GB2312" w:cs="仿宋_GB2312" w:eastAsia="仿宋_GB2312"/>
          <w:sz w:val="24"/>
        </w:rPr>
        <w:t>金额的</w:t>
      </w:r>
      <w:r>
        <w:rPr>
          <w:rFonts w:ascii="仿宋_GB2312" w:hAnsi="仿宋_GB2312" w:cs="仿宋_GB2312" w:eastAsia="仿宋_GB2312"/>
          <w:sz w:val="24"/>
        </w:rPr>
        <w:t>5%。</w:t>
      </w:r>
    </w:p>
    <w:p>
      <w:pPr>
        <w:pStyle w:val="null3"/>
        <w:ind w:firstLine="480"/>
        <w:jc w:val="left"/>
      </w:pPr>
      <w:r>
        <w:rPr>
          <w:rFonts w:ascii="仿宋_GB2312" w:hAnsi="仿宋_GB2312" w:cs="仿宋_GB2312" w:eastAsia="仿宋_GB2312"/>
          <w:sz w:val="24"/>
        </w:rPr>
        <w:t>3.采购人预算金额、占比数量作为本次采购的标的，均为合同期内预估采购金额及数量，实际采购数量以采购人供货计划通知为准，评标时的报价只作为获取按实结算的折扣</w:t>
      </w:r>
      <w:r>
        <w:rPr>
          <w:rFonts w:ascii="仿宋_GB2312" w:hAnsi="仿宋_GB2312" w:cs="仿宋_GB2312" w:eastAsia="仿宋_GB2312"/>
          <w:sz w:val="24"/>
        </w:rPr>
        <w:t>系数</w:t>
      </w:r>
      <w:r>
        <w:rPr>
          <w:rFonts w:ascii="仿宋_GB2312" w:hAnsi="仿宋_GB2312" w:cs="仿宋_GB2312" w:eastAsia="仿宋_GB2312"/>
          <w:sz w:val="24"/>
        </w:rPr>
        <w:t>依据，不作为实际结算的合同金额，合同金额为预算金额。结算数量及金额以实际发生的数量及金额为准。</w:t>
      </w:r>
    </w:p>
    <w:p>
      <w:pPr>
        <w:pStyle w:val="null3"/>
        <w:ind w:firstLine="480"/>
        <w:jc w:val="left"/>
      </w:pPr>
      <w:r>
        <w:rPr>
          <w:rFonts w:ascii="仿宋_GB2312" w:hAnsi="仿宋_GB2312" w:cs="仿宋_GB2312" w:eastAsia="仿宋_GB2312"/>
          <w:sz w:val="24"/>
        </w:rPr>
        <w:t>4.采购人有权保留更改本项目数量、品种的权利，不对此行为承担责任，亦无义务向中标人解释其原因。</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市调采价和结算</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.1市调采价标准：</w:t>
      </w:r>
      <w:r>
        <w:rPr>
          <w:rFonts w:ascii="仿宋_GB2312" w:hAnsi="仿宋_GB2312" w:cs="仿宋_GB2312" w:eastAsia="仿宋_GB2312"/>
          <w:sz w:val="24"/>
        </w:rPr>
        <w:t>参照龙岩市发展和改革委员</w:t>
      </w:r>
      <w:r>
        <w:rPr>
          <w:rFonts w:ascii="仿宋_GB2312" w:hAnsi="仿宋_GB2312" w:cs="仿宋_GB2312" w:eastAsia="仿宋_GB2312"/>
          <w:sz w:val="24"/>
        </w:rPr>
        <w:t>(http://fgw.longyan.gov.cn/) “专题专栏”专栏发布的龙岩中心城区民生商品价格信息中所购蔬菜品种</w:t>
      </w:r>
      <w:r>
        <w:rPr>
          <w:rFonts w:ascii="仿宋_GB2312" w:hAnsi="仿宋_GB2312" w:cs="仿宋_GB2312" w:eastAsia="仿宋_GB2312"/>
          <w:sz w:val="24"/>
          <w:shd w:fill="FFFFFF" w:val="clear"/>
        </w:rPr>
        <w:t>价格作为基准价（若当日网站未公布价格，则以当月</w:t>
      </w:r>
      <w:r>
        <w:rPr>
          <w:rFonts w:ascii="仿宋_GB2312" w:hAnsi="仿宋_GB2312" w:cs="仿宋_GB2312" w:eastAsia="仿宋_GB2312"/>
          <w:sz w:val="24"/>
          <w:shd w:fill="FFFFFF" w:val="clear"/>
        </w:rPr>
        <w:t>15日至25日有公布价格的第一日为取价日，如当月网站未公布价格，则以该网站有公布价格的最后一日为取价日）。若该网站关闭</w:t>
      </w:r>
      <w:r>
        <w:rPr>
          <w:rFonts w:ascii="仿宋_GB2312" w:hAnsi="仿宋_GB2312" w:cs="仿宋_GB2312" w:eastAsia="仿宋_GB2312"/>
          <w:sz w:val="24"/>
          <w:shd w:fill="FFFFFF" w:val="clear"/>
        </w:rPr>
        <w:t>或者该网没有公布的蔬菜品种</w:t>
      </w:r>
      <w:r>
        <w:rPr>
          <w:rFonts w:ascii="仿宋_GB2312" w:hAnsi="仿宋_GB2312" w:cs="仿宋_GB2312" w:eastAsia="仿宋_GB2312"/>
          <w:sz w:val="24"/>
          <w:shd w:fill="FFFFFF" w:val="clear"/>
        </w:rPr>
        <w:t>则按以下方式取价：以市调当日随机抽取龙岩市区</w:t>
      </w:r>
      <w:r>
        <w:rPr>
          <w:rFonts w:ascii="仿宋_GB2312" w:hAnsi="仿宋_GB2312" w:cs="仿宋_GB2312" w:eastAsia="仿宋_GB2312"/>
          <w:sz w:val="24"/>
          <w:shd w:fill="FFFFFF" w:val="clear"/>
        </w:rPr>
        <w:t>“永辉”超市、“大润发”超市、“新华都”超市、“夏商百货”超市的任意门市进行采价，以采价到的同种商品的价格作为基准价，如果以上超市还没有的，可以选择当地的农贸市场或者批发市场作为基准价。</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超市促销价、活动价可除外，统一使用超市原价采价。</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如采购人急需采购的物资，可临时指定日期补充市调。</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以龙岩市</w:t>
      </w:r>
      <w:r>
        <w:rPr>
          <w:rFonts w:ascii="仿宋_GB2312" w:hAnsi="仿宋_GB2312" w:cs="仿宋_GB2312" w:eastAsia="仿宋_GB2312"/>
          <w:sz w:val="24"/>
          <w:shd w:fill="FFFFFF" w:val="clear"/>
        </w:rPr>
        <w:t>“永辉”超市、“大润发”超市、“新华都”超市、“夏商百货”超市出售的物资出售价格为基准价，若中标人为“永辉”超市、“大润发”超市、“新华都”超市、“夏商百货”超市的，则不以其本身物资出售价格为基准价（即：若</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永辉</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超市中标则以</w:t>
      </w:r>
      <w:r>
        <w:rPr>
          <w:rFonts w:ascii="仿宋_GB2312" w:hAnsi="仿宋_GB2312" w:cs="仿宋_GB2312" w:eastAsia="仿宋_GB2312"/>
          <w:sz w:val="24"/>
          <w:shd w:fill="FFFFFF" w:val="clear"/>
        </w:rPr>
        <w:t>“大润发”超市、“新华都”超市、“夏商百货”超市作为基准价，以此类推）。少数超市未出售的物资，可以以当地的农贸市场或者批发市场市调采价作为基准价。</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签订采购合同时</w:t>
      </w:r>
      <w:r>
        <w:rPr>
          <w:rFonts w:ascii="仿宋_GB2312" w:hAnsi="仿宋_GB2312" w:cs="仿宋_GB2312" w:eastAsia="仿宋_GB2312"/>
          <w:sz w:val="24"/>
          <w:shd w:fill="FFFFFF" w:val="clear"/>
        </w:rPr>
        <w:t>蔬菜</w:t>
      </w:r>
      <w:r>
        <w:rPr>
          <w:rFonts w:ascii="仿宋_GB2312" w:hAnsi="仿宋_GB2312" w:cs="仿宋_GB2312" w:eastAsia="仿宋_GB2312"/>
          <w:sz w:val="24"/>
          <w:shd w:fill="FFFFFF" w:val="clear"/>
        </w:rPr>
        <w:t>类的取价以季度固定价格方式，市调采价时间第一次以合同开始执行后的</w:t>
      </w:r>
      <w:r>
        <w:rPr>
          <w:rFonts w:ascii="仿宋_GB2312" w:hAnsi="仿宋_GB2312" w:cs="仿宋_GB2312" w:eastAsia="仿宋_GB2312"/>
          <w:sz w:val="24"/>
          <w:shd w:fill="FFFFFF" w:val="clear"/>
        </w:rPr>
        <w:t>10日内进行；第二次以季度末15日至25日时间段，任选一天作为市调采价日；以此类推。[例如2024年9月8日开始执行合同，第一季度2024年9月8日至2024年11月25日，则第一次季度固定价格以开始执行合同后的10日内市调为准；2024年11月26日至2025年2年25日季度固定价格以2024年11月15日至2024年11月25日任选一天市调为准，以此类推。]。</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如遇公共卫生事件等不确定因素暂停市调采价，</w:t>
      </w:r>
      <w:r>
        <w:rPr>
          <w:rFonts w:ascii="仿宋_GB2312" w:hAnsi="仿宋_GB2312" w:cs="仿宋_GB2312" w:eastAsia="仿宋_GB2312"/>
          <w:sz w:val="24"/>
          <w:shd w:fill="FFFFFF" w:val="clear"/>
        </w:rPr>
        <w:t>蔬菜</w:t>
      </w:r>
      <w:r>
        <w:rPr>
          <w:rFonts w:ascii="仿宋_GB2312" w:hAnsi="仿宋_GB2312" w:cs="仿宋_GB2312" w:eastAsia="仿宋_GB2312"/>
          <w:sz w:val="24"/>
          <w:shd w:fill="FFFFFF" w:val="clear"/>
        </w:rPr>
        <w:t>类配送服务合同结算价格参照上一季度的市调价格结算，待公共卫生事件等不确定因素缓解后再与</w:t>
      </w:r>
      <w:r>
        <w:rPr>
          <w:rFonts w:ascii="仿宋_GB2312" w:hAnsi="仿宋_GB2312" w:cs="仿宋_GB2312" w:eastAsia="仿宋_GB2312"/>
          <w:sz w:val="24"/>
          <w:shd w:fill="FFFFFF" w:val="clear"/>
        </w:rPr>
        <w:t>中标人</w:t>
      </w:r>
      <w:r>
        <w:rPr>
          <w:rFonts w:ascii="仿宋_GB2312" w:hAnsi="仿宋_GB2312" w:cs="仿宋_GB2312" w:eastAsia="仿宋_GB2312"/>
          <w:sz w:val="24"/>
          <w:shd w:fill="FFFFFF" w:val="clear"/>
        </w:rPr>
        <w:t>协商确定</w:t>
      </w:r>
      <w:r>
        <w:rPr>
          <w:rFonts w:ascii="仿宋_GB2312" w:hAnsi="仿宋_GB2312" w:cs="仿宋_GB2312" w:eastAsia="仿宋_GB2312"/>
          <w:sz w:val="24"/>
          <w:shd w:fill="FFFFFF" w:val="clear"/>
        </w:rPr>
        <w:t>蔬菜</w:t>
      </w:r>
      <w:r>
        <w:rPr>
          <w:rFonts w:ascii="仿宋_GB2312" w:hAnsi="仿宋_GB2312" w:cs="仿宋_GB2312" w:eastAsia="仿宋_GB2312"/>
          <w:sz w:val="24"/>
          <w:shd w:fill="FFFFFF" w:val="clear"/>
        </w:rPr>
        <w:t>类的市调日期。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基准价格的确定由采购人和中标人组成价格调查小组，采用现场购买的形式定价，调查时的销售小票（必须盖章）或发票作为定价凭证，汇总形成价格目录表，中标人、采购人参与人员均应签字确认。中标人对价格有疑义应及时书面提出，经采购人调查人员复核，确实错误的可以纠正。市场调查过程中所产生的费用均由中标人承担。</w:t>
      </w:r>
    </w:p>
    <w:p>
      <w:pPr>
        <w:pStyle w:val="null3"/>
        <w:ind w:firstLine="480"/>
        <w:jc w:val="left"/>
      </w:pP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.2结算依据：</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按中标报价折算的折扣系数进行结算。即：结算单价</w:t>
      </w:r>
      <w:r>
        <w:rPr>
          <w:rFonts w:ascii="仿宋_GB2312" w:hAnsi="仿宋_GB2312" w:cs="仿宋_GB2312" w:eastAsia="仿宋_GB2312"/>
          <w:sz w:val="24"/>
          <w:shd w:fill="FFFFFF" w:val="clear"/>
        </w:rPr>
        <w:t>=基准价（市调采价）×折扣系数。</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中标报价仅作为换算折扣系数的依据，所有单品均以基准价为基础按中标折扣系数进行结算，合同金额以预算金额为准，按实际采购量结算。</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如采购人上级主管部门出台新的规定，本项目相关要求与之不符的，中标人均应无条件配合按新的规定执行。</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中标人在合同履约期间的供应价格必须服从合同所定价格，不能以任何理由调整价格、拒送物资，否则视为违约处理。</w:t>
      </w:r>
    </w:p>
    <w:p>
      <w:pPr>
        <w:pStyle w:val="null3"/>
        <w:ind w:firstLine="480"/>
        <w:jc w:val="left"/>
      </w:pPr>
      <w:r>
        <w:rPr>
          <w:rFonts w:ascii="仿宋_GB2312" w:hAnsi="仿宋_GB2312" w:cs="仿宋_GB2312" w:eastAsia="仿宋_GB2312"/>
          <w:sz w:val="24"/>
          <w:shd w:fill="FFFFFF" w:val="clear"/>
        </w:rPr>
        <w:t>以上计算以</w:t>
      </w:r>
      <w:r>
        <w:rPr>
          <w:rFonts w:ascii="仿宋_GB2312" w:hAnsi="仿宋_GB2312" w:cs="仿宋_GB2312" w:eastAsia="仿宋_GB2312"/>
          <w:sz w:val="24"/>
          <w:shd w:fill="FFFFFF" w:val="clear"/>
        </w:rPr>
        <w:t>“元”为单位，四舍五入，保留小数点后两位小数</w:t>
      </w:r>
      <w:r>
        <w:rPr>
          <w:rFonts w:ascii="仿宋_GB2312" w:hAnsi="仿宋_GB2312" w:cs="仿宋_GB2312" w:eastAsia="仿宋_GB2312"/>
          <w:sz w:val="24"/>
          <w:shd w:fill="FFFFFF" w:val="clear"/>
        </w:rPr>
        <w:t>。</w:t>
      </w:r>
    </w:p>
    <w:p>
      <w:pPr>
        <w:pStyle w:val="null3"/>
        <w:ind w:firstLine="480"/>
        <w:jc w:val="both"/>
      </w:pPr>
      <w:r>
        <w:rPr>
          <w:rFonts w:ascii="仿宋_GB2312" w:hAnsi="仿宋_GB2312" w:cs="仿宋_GB2312" w:eastAsia="仿宋_GB2312"/>
          <w:sz w:val="24"/>
          <w:b/>
        </w:rPr>
        <w:t>（二）产品及其质量要求</w:t>
      </w:r>
    </w:p>
    <w:p>
      <w:pPr>
        <w:pStyle w:val="null3"/>
        <w:ind w:firstLine="480"/>
        <w:jc w:val="both"/>
      </w:pPr>
      <w:r>
        <w:rPr>
          <w:rFonts w:ascii="仿宋_GB2312" w:hAnsi="仿宋_GB2312" w:cs="仿宋_GB2312" w:eastAsia="仿宋_GB2312"/>
          <w:sz w:val="24"/>
        </w:rPr>
        <w:t>1.根据《福建省食品安全信息追溯管理办法》（福建省人民政府令第238号）要求，对食品和食用农产品实行一品一码食品安全信息追溯制度，在生产、加工、销售以及餐饮服务等环节实施的食品安全信息追溯管理。</w:t>
      </w:r>
      <w:r>
        <w:rPr>
          <w:rFonts w:ascii="仿宋_GB2312" w:hAnsi="仿宋_GB2312" w:cs="仿宋_GB2312" w:eastAsia="仿宋_GB2312"/>
          <w:sz w:val="24"/>
          <w:b/>
          <w:u w:val="single"/>
        </w:rPr>
        <w:t>投标人须在投标文件（技术商务部分）中提供</w:t>
      </w:r>
      <w:r>
        <w:rPr>
          <w:rFonts w:ascii="仿宋_GB2312" w:hAnsi="仿宋_GB2312" w:cs="仿宋_GB2312" w:eastAsia="仿宋_GB2312"/>
          <w:sz w:val="24"/>
          <w:b/>
          <w:u w:val="single"/>
        </w:rPr>
        <w:t>①相关政府的食品生产追溯管理系统的页面截图</w:t>
      </w:r>
      <w:r>
        <w:rPr>
          <w:rFonts w:ascii="仿宋_GB2312" w:hAnsi="仿宋_GB2312" w:cs="仿宋_GB2312" w:eastAsia="仿宋_GB2312"/>
          <w:sz w:val="24"/>
          <w:b/>
          <w:u w:val="single"/>
        </w:rPr>
        <w:t>；</w:t>
      </w:r>
      <w:r>
        <w:rPr>
          <w:rFonts w:ascii="仿宋_GB2312" w:hAnsi="仿宋_GB2312" w:cs="仿宋_GB2312" w:eastAsia="仿宋_GB2312"/>
          <w:sz w:val="24"/>
          <w:b/>
          <w:u w:val="single"/>
        </w:rPr>
        <w:t>②单独的承诺函</w:t>
      </w:r>
      <w:r>
        <w:rPr>
          <w:rFonts w:ascii="仿宋_GB2312" w:hAnsi="仿宋_GB2312" w:cs="仿宋_GB2312" w:eastAsia="仿宋_GB2312"/>
          <w:sz w:val="24"/>
          <w:b/>
          <w:u w:val="single"/>
        </w:rPr>
        <w:t>，</w:t>
      </w:r>
      <w:r>
        <w:rPr>
          <w:rFonts w:ascii="仿宋_GB2312" w:hAnsi="仿宋_GB2312" w:cs="仿宋_GB2312" w:eastAsia="仿宋_GB2312"/>
          <w:sz w:val="24"/>
          <w:b/>
          <w:u w:val="single"/>
        </w:rPr>
        <w:t>承诺本项目所配送的物资将按规定执行</w:t>
      </w:r>
      <w:r>
        <w:rPr>
          <w:rFonts w:ascii="仿宋_GB2312" w:hAnsi="仿宋_GB2312" w:cs="仿宋_GB2312" w:eastAsia="仿宋_GB2312"/>
          <w:sz w:val="24"/>
          <w:b/>
          <w:u w:val="single"/>
        </w:rPr>
        <w:t>“一品一码”要求，承诺函格式自拟，在“技术和服务要求响应表”或“商务条件响应表”中进行响应的不视为单独的承诺函。未按前述要求提供的投标无效。</w:t>
      </w:r>
    </w:p>
    <w:p>
      <w:pPr>
        <w:pStyle w:val="null3"/>
        <w:ind w:firstLine="480"/>
        <w:jc w:val="both"/>
      </w:pPr>
      <w:r>
        <w:rPr>
          <w:rFonts w:ascii="仿宋_GB2312" w:hAnsi="仿宋_GB2312" w:cs="仿宋_GB2312" w:eastAsia="仿宋_GB2312"/>
          <w:sz w:val="24"/>
        </w:rPr>
        <w:t>2.所有商品内外包装均不得含有玻璃等易碎制品及金属制品。</w:t>
      </w:r>
    </w:p>
    <w:p>
      <w:pPr>
        <w:pStyle w:val="null3"/>
        <w:ind w:firstLine="480"/>
        <w:jc w:val="both"/>
      </w:pPr>
      <w:r>
        <w:rPr>
          <w:rFonts w:ascii="仿宋_GB2312" w:hAnsi="仿宋_GB2312" w:cs="仿宋_GB2312" w:eastAsia="仿宋_GB2312"/>
          <w:sz w:val="24"/>
        </w:rPr>
        <w:t>3.蔬菜质量应符合食用要求，农药残留量等符合《中华人民共和国食品安全法》和《中华人民共和国农产品质量安全法》的有关规定，合同有效期内如遇国家有关标准调整，则按新标准执行。物资验收实行索证制度，每批物资中标人必须出具有符合国家标准的检验证明，实行可追溯制度。蔬菜规格等级为：新鲜一级。无黄中、烂叶、老叶、蒂头及带泥土等，蔬菜外表不得有人为的水分或过多的虫孔等，蔬菜完好率应达到97%（含）以上。其中各类蔬菜需达到以下要求：从蔬菜色泽看，各种蔬菜都应具有本品种固有的颜色，有发亮的光泽；从蔬菜气味看，具有清馨、甘辛香、甜酸香等气味，不允许有腐烂变质的亚硝酸盐味和其他异常气味；从蔬菜滋味看，不能失去品种原有的滋味；从蔬菜形态看，不能出现萎蔫、枯塌、损伤、病变、虫害侵蚀等引起的形态异常等。具体品种质量标准如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1）叶菜类：生菜（或春菜）、圆白菜、空心菜、苋菜、油菜、花菜、口青</w:t>
      </w:r>
      <w:r>
        <w:rPr>
          <w:rFonts w:ascii="仿宋_GB2312" w:hAnsi="仿宋_GB2312" w:cs="仿宋_GB2312" w:eastAsia="仿宋_GB2312"/>
          <w:sz w:val="24"/>
        </w:rPr>
        <w:t>(</w:t>
      </w:r>
      <w:r>
        <w:rPr>
          <w:rFonts w:ascii="仿宋_GB2312" w:hAnsi="仿宋_GB2312" w:cs="仿宋_GB2312" w:eastAsia="仿宋_GB2312"/>
          <w:sz w:val="24"/>
        </w:rPr>
        <w:t>上海青</w:t>
      </w:r>
      <w:r>
        <w:rPr>
          <w:rFonts w:ascii="仿宋_GB2312" w:hAnsi="仿宋_GB2312" w:cs="仿宋_GB2312" w:eastAsia="仿宋_GB2312"/>
          <w:sz w:val="24"/>
        </w:rPr>
        <w:t>)</w:t>
      </w:r>
      <w:r>
        <w:rPr>
          <w:rFonts w:ascii="仿宋_GB2312" w:hAnsi="仿宋_GB2312" w:cs="仿宋_GB2312" w:eastAsia="仿宋_GB2312"/>
          <w:sz w:val="24"/>
        </w:rPr>
        <w:t>、芥兰、芥菜、菠菜等绿叶菜类及大白菜、椰菜等普通叶菜。属同一品种规格，肉质鲜嫩形态好，色泽正常，茎基部削平，无枯黄叶、病叶、泥土、明显机械伤和病虫害伤，无烧心焦边、腐烂等现象，无异味，结球叶菜要结球适度。</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2）茄果类：西红柿、茄子 、圆椒、尖椒、菜椒（含红椒、青椒等）。属同一品种规格，果实整洁，成熟度适中，无裂果及空洞现象，茄果不能有裂蒂及果皮变硬现象，无腐烂、异味，无明显机械伤。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3）瓜果类：黄瓜、冬瓜、丝瓜、苦瓜、南瓜、节瓜、莴笋等。属同一品种规格，色泽一致，无疤点，无断裂，无腐烂、异味、明显机械伤，不带泥土。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4）根菜类：白萝卜、胡萝卜等。属同一品种规格，皮细光滑，肉质脆嫩致密新鲜，无腐烂、裂痕、糠心、异味，不带泥沙，不带茎叶和须根。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5）薯芋类：马铃薯、芋、姜等。属同一品种规格，色泽一致，不带泥沙，不带须根、茎叶，不干瘪，无腐烂、异味、明显机械伤、病虫害斑，马铃薯无发芽，皮不变绿。</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6）葱蒜类：葱、蒜、韭菜、洋葱等。属同一品种规格，允许葱、青蒜类保留干净须根，葱、蒜、韭菜不带老叶，蒜头、洋葱去根去枯叶，可食部分新鲜幼嫩，无腐烂、异味。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7）水生菜类：藕等。属同一品种规格，肉质嫩，成熟度适中，无腐烂、异味，无明显机械伤，不带泥土和杂质，不干瘪，茭白不黑心。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8）芽苗类：豆芽菜（含绿豆芽、黄豆芽等）。芽苗幼嫩，不带豆壳杂质，新鲜，不浸水，无腐烂、异味。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9）香辛类：西芹、芹菜、香菜等。属同一品种规格，叶质鲜嫩形态好，色泽正常，无枯黄叶、病叶、泥土、明显机械伤和病虫害伤，无烧心焦边、腐烂等现象，具有该品种应有的味道。</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10）豆类：四季豆、长豆、荷兰豆等。保持青色，外壳不能呈白色，无虫蛀，无损伤。</w:t>
      </w:r>
    </w:p>
    <w:p>
      <w:pPr>
        <w:pStyle w:val="null3"/>
        <w:ind w:firstLine="480"/>
        <w:jc w:val="both"/>
      </w:pPr>
      <w:r>
        <w:rPr>
          <w:rFonts w:ascii="仿宋_GB2312" w:hAnsi="仿宋_GB2312" w:cs="仿宋_GB2312" w:eastAsia="仿宋_GB2312"/>
          <w:sz w:val="24"/>
        </w:rPr>
        <w:t>4.为保障在台风天等特殊应急情况下的正常伙食供应，中标人应能根据采购人要求随时足量供货。非不可抗力因素的必须履行供货要求。</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rPr>
        <w:t>中标人须根据实际情况安排固定车辆（为了保障采购人的供货需求，预防送货车辆出现故障，至少安排两辆可随时调派的车辆，配备车辆必须是四轮或以上厢式运货汽车）和</w:t>
      </w:r>
      <w:r>
        <w:rPr>
          <w:rFonts w:ascii="仿宋_GB2312" w:hAnsi="仿宋_GB2312" w:cs="仿宋_GB2312" w:eastAsia="仿宋_GB2312"/>
          <w:sz w:val="24"/>
        </w:rPr>
        <w:t>2名固定司机负责送货上门(车牌号及送货人员名单应报采购人备案)，中标人在接到采购人送货通知时，在指定时间内送达</w:t>
      </w:r>
      <w:r>
        <w:rPr>
          <w:rFonts w:ascii="仿宋_GB2312" w:hAnsi="仿宋_GB2312" w:cs="仿宋_GB2312" w:eastAsia="仿宋_GB2312"/>
          <w:sz w:val="24"/>
        </w:rPr>
        <w:t>当批次</w:t>
      </w:r>
      <w:r>
        <w:rPr>
          <w:rFonts w:ascii="仿宋_GB2312" w:hAnsi="仿宋_GB2312" w:cs="仿宋_GB2312" w:eastAsia="仿宋_GB2312"/>
          <w:sz w:val="24"/>
        </w:rPr>
        <w:t>所有产品；中标人须于第一批</w:t>
      </w:r>
      <w:r>
        <w:rPr>
          <w:rFonts w:ascii="仿宋_GB2312" w:hAnsi="仿宋_GB2312" w:cs="仿宋_GB2312" w:eastAsia="仿宋_GB2312"/>
          <w:sz w:val="24"/>
        </w:rPr>
        <w:t>供</w:t>
      </w:r>
      <w:r>
        <w:rPr>
          <w:rFonts w:ascii="仿宋_GB2312" w:hAnsi="仿宋_GB2312" w:cs="仿宋_GB2312" w:eastAsia="仿宋_GB2312"/>
          <w:sz w:val="24"/>
        </w:rPr>
        <w:t>货</w:t>
      </w:r>
      <w:r>
        <w:rPr>
          <w:rFonts w:ascii="仿宋_GB2312" w:hAnsi="仿宋_GB2312" w:cs="仿宋_GB2312" w:eastAsia="仿宋_GB2312"/>
          <w:sz w:val="24"/>
        </w:rPr>
        <w:t>时</w:t>
      </w:r>
      <w:r>
        <w:rPr>
          <w:rFonts w:ascii="仿宋_GB2312" w:hAnsi="仿宋_GB2312" w:cs="仿宋_GB2312" w:eastAsia="仿宋_GB2312"/>
          <w:sz w:val="24"/>
        </w:rPr>
        <w:t>向采购人提供由公安部门出具的</w:t>
      </w:r>
      <w:r>
        <w:rPr>
          <w:rFonts w:ascii="仿宋_GB2312" w:hAnsi="仿宋_GB2312" w:cs="仿宋_GB2312" w:eastAsia="仿宋_GB2312"/>
          <w:sz w:val="24"/>
        </w:rPr>
        <w:t>2名固定司机的无犯罪记录相关证明材料</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（四）食品运输必须采用符合卫生标准的外包装和运载工具。</w:t>
      </w:r>
    </w:p>
    <w:p>
      <w:pPr>
        <w:pStyle w:val="null3"/>
        <w:jc w:val="both"/>
      </w:pPr>
      <w:r>
        <w:rPr>
          <w:rFonts w:ascii="仿宋_GB2312" w:hAnsi="仿宋_GB2312" w:cs="仿宋_GB2312" w:eastAsia="仿宋_GB2312"/>
          <w:sz w:val="24"/>
        </w:rPr>
        <w:t>（五）食品外包装和运载工具要保持清洁和定期消毒。</w:t>
      </w:r>
    </w:p>
    <w:p>
      <w:pPr>
        <w:pStyle w:val="null3"/>
        <w:jc w:val="both"/>
      </w:pPr>
      <w:r>
        <w:rPr>
          <w:rFonts w:ascii="仿宋_GB2312" w:hAnsi="仿宋_GB2312" w:cs="仿宋_GB2312" w:eastAsia="仿宋_GB2312"/>
          <w:sz w:val="24"/>
        </w:rPr>
        <w:t>（六）运输车厢的内仓，包括地面、墙面和顶，应使用抗腐蚀、防潮、易清洁消毒的材料。</w:t>
      </w:r>
    </w:p>
    <w:p>
      <w:pPr>
        <w:pStyle w:val="null3"/>
        <w:jc w:val="both"/>
      </w:pPr>
      <w:r>
        <w:rPr>
          <w:rFonts w:ascii="仿宋_GB2312" w:hAnsi="仿宋_GB2312" w:cs="仿宋_GB2312" w:eastAsia="仿宋_GB2312"/>
          <w:sz w:val="24"/>
        </w:rPr>
        <w:t>（七）运输车厢内无不良气味、异味。</w:t>
      </w:r>
    </w:p>
    <w:p>
      <w:pPr>
        <w:pStyle w:val="null3"/>
        <w:jc w:val="both"/>
      </w:pPr>
      <w:r>
        <w:rPr>
          <w:rFonts w:ascii="仿宋_GB2312" w:hAnsi="仿宋_GB2312" w:cs="仿宋_GB2312" w:eastAsia="仿宋_GB2312"/>
          <w:sz w:val="24"/>
        </w:rPr>
        <w:t>（八）食品堆放科学合理，避免食品交叉污染。</w:t>
      </w:r>
    </w:p>
    <w:p>
      <w:pPr>
        <w:pStyle w:val="null3"/>
        <w:jc w:val="both"/>
      </w:pPr>
      <w:r>
        <w:rPr>
          <w:rFonts w:ascii="仿宋_GB2312" w:hAnsi="仿宋_GB2312" w:cs="仿宋_GB2312" w:eastAsia="仿宋_GB2312"/>
          <w:sz w:val="24"/>
        </w:rPr>
        <w:t>（九）中标人应按采购人采购计划单的品种、数量、质量、包装等要求执行，并每天按采购人要求的时间运到采购人指定地点，并配合采购人办理进出监手续。运输及装卸费用均由中标人承担。采购人要求的紧急物资，有能力在指定时间内送至采购人要求地点。</w:t>
      </w:r>
    </w:p>
    <w:p>
      <w:pPr>
        <w:pStyle w:val="null3"/>
        <w:jc w:val="both"/>
      </w:pPr>
      <w:r>
        <w:rPr>
          <w:rFonts w:ascii="仿宋_GB2312" w:hAnsi="仿宋_GB2312" w:cs="仿宋_GB2312" w:eastAsia="仿宋_GB2312"/>
          <w:sz w:val="24"/>
        </w:rPr>
        <w:t>（十）货物在保质期内出现的非采购人原因所导致的质量问题，由中标人负责退换货，并承担相应费用。</w:t>
      </w:r>
    </w:p>
    <w:p>
      <w:pPr>
        <w:pStyle w:val="null3"/>
        <w:jc w:val="both"/>
      </w:pPr>
      <w:r>
        <w:rPr>
          <w:rFonts w:ascii="仿宋_GB2312" w:hAnsi="仿宋_GB2312" w:cs="仿宋_GB2312" w:eastAsia="仿宋_GB2312"/>
          <w:sz w:val="24"/>
        </w:rPr>
        <w:t>（十一）采购岗位、加工岗位、拣配岗位、配送岗位要求：中标人应有专业、稳定的采购、加工、拣配、配送人员，拟派人员必须遵纪守法，无行贿犯罪记录，持健康证上岗，按规定着装，配带工作证，并做好保密工作。</w:t>
      </w:r>
      <w:r>
        <w:rPr>
          <w:rFonts w:ascii="仿宋_GB2312" w:hAnsi="仿宋_GB2312" w:cs="仿宋_GB2312" w:eastAsia="仿宋_GB2312"/>
          <w:sz w:val="24"/>
          <w:b/>
          <w:u w:val="single"/>
        </w:rPr>
        <w:t>投标人须在投标文件（技术商务部分）中提供拟派本项目团队人员名单【应至少包含姓名以及拟派人员对应的工作岗位（工作岗位是指采购、加工、拣配、配送）】和拟派人员在投标截止时间前六个月中任一个月（含投标截止时间当月）由投标人单位为其缴纳的养老保险凭据复印件</w:t>
      </w:r>
      <w:r>
        <w:rPr>
          <w:rFonts w:ascii="仿宋_GB2312" w:hAnsi="仿宋_GB2312" w:cs="仿宋_GB2312" w:eastAsia="仿宋_GB2312"/>
          <w:sz w:val="24"/>
          <w:b/>
          <w:u w:val="single"/>
        </w:rPr>
        <w:t>[若投标人为投标截止时间的当月成立的公司可提供依法缴纳养老保险承诺书（格式自拟）]。未按前述要求提供证明材料的，投标无效。</w:t>
      </w:r>
    </w:p>
    <w:p>
      <w:pPr>
        <w:pStyle w:val="null3"/>
        <w:jc w:val="both"/>
      </w:pPr>
      <w:r>
        <w:rPr>
          <w:rFonts w:ascii="仿宋_GB2312" w:hAnsi="仿宋_GB2312" w:cs="仿宋_GB2312" w:eastAsia="仿宋_GB2312"/>
          <w:sz w:val="24"/>
          <w:b/>
          <w:u w:val="single"/>
        </w:rPr>
        <w:t>注：中标人所配备的团队人员更换的需要提前一周告知采购人并征得采购人同意后才能更换。</w:t>
      </w:r>
    </w:p>
    <w:p>
      <w:pPr>
        <w:pStyle w:val="null3"/>
        <w:jc w:val="both"/>
      </w:pPr>
      <w:r>
        <w:rPr>
          <w:rFonts w:ascii="仿宋_GB2312" w:hAnsi="仿宋_GB2312" w:cs="仿宋_GB2312" w:eastAsia="仿宋_GB2312"/>
          <w:sz w:val="24"/>
        </w:rPr>
        <w:t>（十</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为保障食品安全，投标人应至少配备</w:t>
      </w:r>
      <w:r>
        <w:rPr>
          <w:rFonts w:ascii="仿宋_GB2312" w:hAnsi="仿宋_GB2312" w:cs="仿宋_GB2312" w:eastAsia="仿宋_GB2312"/>
          <w:sz w:val="24"/>
        </w:rPr>
        <w:t>1名食品安全检测人员（该人员不得兼任“采购岗位”、“加工岗位”、“拣配岗位”、“配送岗位”）。</w:t>
      </w:r>
    </w:p>
    <w:p>
      <w:pPr>
        <w:pStyle w:val="null3"/>
        <w:jc w:val="both"/>
      </w:pPr>
      <w:r>
        <w:rPr>
          <w:rFonts w:ascii="仿宋_GB2312" w:hAnsi="仿宋_GB2312" w:cs="仿宋_GB2312" w:eastAsia="仿宋_GB2312"/>
          <w:sz w:val="24"/>
        </w:rPr>
        <w:t>（十</w:t>
      </w:r>
      <w:r>
        <w:rPr>
          <w:rFonts w:ascii="仿宋_GB2312" w:hAnsi="仿宋_GB2312" w:cs="仿宋_GB2312" w:eastAsia="仿宋_GB2312"/>
          <w:sz w:val="24"/>
        </w:rPr>
        <w:t>三</w:t>
      </w:r>
      <w:r>
        <w:rPr>
          <w:rFonts w:ascii="仿宋_GB2312" w:hAnsi="仿宋_GB2312" w:cs="仿宋_GB2312" w:eastAsia="仿宋_GB2312"/>
          <w:sz w:val="24"/>
        </w:rPr>
        <w:t>）</w:t>
      </w:r>
      <w:r>
        <w:rPr>
          <w:rFonts w:ascii="仿宋_GB2312" w:hAnsi="仿宋_GB2312" w:cs="仿宋_GB2312" w:eastAsia="仿宋_GB2312"/>
          <w:sz w:val="24"/>
        </w:rPr>
        <w:t>为保障食品安全，投标人针对本项目应投入食品检测场地。</w:t>
      </w:r>
    </w:p>
    <w:p>
      <w:pPr>
        <w:pStyle w:val="null3"/>
        <w:jc w:val="both"/>
      </w:pPr>
      <w:r>
        <w:rPr>
          <w:rFonts w:ascii="仿宋_GB2312" w:hAnsi="仿宋_GB2312" w:cs="仿宋_GB2312" w:eastAsia="仿宋_GB2312"/>
          <w:sz w:val="24"/>
        </w:rPr>
        <w:t>（十四）为保障食品安全，投标人应针对本项目配备食品检验检疫设备</w:t>
      </w:r>
      <w:r>
        <w:rPr>
          <w:rFonts w:ascii="仿宋_GB2312" w:hAnsi="仿宋_GB2312" w:cs="仿宋_GB2312" w:eastAsia="仿宋_GB2312"/>
          <w:sz w:val="24"/>
        </w:rPr>
        <w:t>。</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每周送货次数以采购人实际需求为准。采购人提前一周将下周需求订单通过电话、邮件、传真、微信等方式交于中标人。紧急情况需以采购人通知时间为准，中标人按要求及时送货。</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福建省龙岩市新罗区中城解放北路92号，采购人指定地点。</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当物资按批次交货完并验收合格。其中交付的物资符合国家或者行业标准；中标人配送物资时，需符合采购人单位管理的相关规定，若由此产生的相关费用，由中标人自理。</w:t>
            </w:r>
          </w:p>
        </w:tc>
      </w:tr>
      <w:tr>
        <w:tc>
          <w:tcPr>
            <w:tcW w:type="dxa" w:w="2076"/>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①按国家标准或行业相关标准验收；②按招标文件的相关要求验收；③采购人组织验收；④采购人有权保留随时向权威部门送检的权力，送检后货物质量合格则送检费用由采购方承担；送检后货物质量不合格则送检费用由中标人承担，且中标人应承担相应的违约责任。</w:t>
            </w:r>
          </w:p>
        </w:tc>
      </w:tr>
      <w:tr>
        <w:tc>
          <w:tcPr>
            <w:tcW w:type="dxa" w:w="2076"/>
          </w:tcPr>
          <w:p>
            <w:pPr>
              <w:pStyle w:val="null3"/>
              <w:jc w:val="left"/>
            </w:pPr>
            <w:r>
              <w:rPr>
                <w:rFonts w:ascii="仿宋_GB2312" w:hAnsi="仿宋_GB2312" w:cs="仿宋_GB2312" w:eastAsia="仿宋_GB2312"/>
              </w:rPr>
              <w:t>6</w:t>
            </w:r>
          </w:p>
        </w:tc>
        <w:tc>
          <w:tcPr>
            <w:tcW w:type="dxa" w:w="2076"/>
          </w:tcP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1、按本表“序号8”合同支付方式进行支付，达到付款条件起10日内，支付合同总金额的100.00%</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缴纳</w:t>
            </w:r>
            <w:r>
              <w:rPr>
                <w:rFonts w:ascii="仿宋_GB2312" w:hAnsi="仿宋_GB2312" w:cs="仿宋_GB2312" w:eastAsia="仿宋_GB2312"/>
              </w:rPr>
              <w:t>, 本采购包履约保证金为合同金额的5%</w:t>
            </w:r>
          </w:p>
          <w:p>
            <w:pPr>
              <w:pStyle w:val="null3"/>
              <w:jc w:val="left"/>
            </w:pPr>
            <w:r>
              <w:rPr>
                <w:rFonts w:ascii="仿宋_GB2312" w:hAnsi="仿宋_GB2312" w:cs="仿宋_GB2312" w:eastAsia="仿宋_GB2312"/>
              </w:rPr>
              <w:t>说明：中标人需在合同签订前以银行转账向采购人（福建省龙岩监狱与龙岩新叶工贸有限责任公司）分别支付合同总金额的5%作为履约保证金，履约保证金在合同约定全部事项履行完毕，经采购人确认双方无未了事项后，采购人在收到中标人书面申请后30日内无息退还。</w:t>
            </w:r>
          </w:p>
        </w:tc>
      </w:tr>
      <w:tr>
        <w:tc>
          <w:tcPr>
            <w:tcW w:type="dxa" w:w="2076"/>
          </w:tcPr>
          <w:p>
            <w:pPr>
              <w:pStyle w:val="null3"/>
              <w:jc w:val="left"/>
            </w:pPr>
            <w:r>
              <w:rPr>
                <w:rFonts w:ascii="仿宋_GB2312" w:hAnsi="仿宋_GB2312" w:cs="仿宋_GB2312" w:eastAsia="仿宋_GB2312"/>
              </w:rPr>
              <w:t>8</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其他</w:t>
            </w:r>
          </w:p>
        </w:tc>
        <w:tc>
          <w:tcPr>
            <w:tcW w:type="dxa" w:w="2076"/>
          </w:tcPr>
          <w:p>
            <w:pPr>
              <w:pStyle w:val="null3"/>
              <w:jc w:val="left"/>
            </w:pPr>
            <w:r>
              <w:rPr>
                <w:rFonts w:ascii="仿宋_GB2312" w:hAnsi="仿宋_GB2312" w:cs="仿宋_GB2312" w:eastAsia="仿宋_GB2312"/>
              </w:rPr>
              <w:t>合同支付方式(以此为准)：按月按实结算。中标人完成当月供货订单且按招标文件要求验收合格后，采购人在收到中标人提交的验收单、等额增值税普通发票等完整报销材料核对无误后，10个工作日内结清前一个月的货款。付款方式为转账，且只能转入中标人公司自身账户，非现金支付。采购人财务另有要求的，按采购人财务要求实施。（龙岩新叶工贸有限责任公司采购的部分中标人须开具增值税专用发票等符合公司要求的相关财务凭证办理付款手续）</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b/>
        </w:rPr>
        <w:t>★9</w:t>
      </w:r>
      <w:r>
        <w:rPr>
          <w:rFonts w:ascii="仿宋_GB2312" w:hAnsi="仿宋_GB2312" w:cs="仿宋_GB2312" w:eastAsia="仿宋_GB2312"/>
          <w:sz w:val="24"/>
          <w:b/>
        </w:rPr>
        <w:t>、</w:t>
      </w:r>
      <w:r>
        <w:rPr>
          <w:rFonts w:ascii="仿宋_GB2312" w:hAnsi="仿宋_GB2312" w:cs="仿宋_GB2312" w:eastAsia="仿宋_GB2312"/>
          <w:sz w:val="24"/>
          <w:b/>
        </w:rPr>
        <w:t>验收要求：</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9.1验收</w:t>
      </w:r>
      <w:r>
        <w:br/>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中标人提供的物资必须符合《中华人民共和国产品质量法》、《中华人民共和国食品安全法》为有效期内安全卫生产品及国家行业标准的有关规定。中标人应按照国家和地方有关食品卫生、质量的相关规定按时保质保量向采购人提供本文件下所配送的所有食品</w:t>
      </w:r>
      <w:r>
        <w:rPr>
          <w:rFonts w:ascii="仿宋_GB2312" w:hAnsi="仿宋_GB2312" w:cs="仿宋_GB2312" w:eastAsia="仿宋_GB2312"/>
          <w:sz w:val="24"/>
        </w:rPr>
        <w:t>，确保食品新鲜、完整、不过期、不变质、不添加任何对人体有害的化学添加剂。</w:t>
      </w:r>
      <w:r>
        <w:br/>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2）中标人送货至采购人的物资由中标人与采购人双方共同进行质量验收，中标人必须提供每次送货物资品种的农药残留检测合格报告等证明材料。食品应清洁，并符合相关验收标准，对温度有要求的食品应确定食品的温度与包装上指示温度一致；验收合格的由双方指定的代表在送货单上签字或盖章予以确认。</w:t>
      </w:r>
      <w:r>
        <w:br/>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3）在验收上，要求进行索证制度，对采购人要求的必要物资中标人应按要求提供蔬菜农药残留检测报告、保证物资的质量安全性。必要时到检验所进行抽样检查。</w:t>
      </w:r>
      <w:r>
        <w:br/>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4）食品包装必须符合国家规范，采购食品不得存放在有害、有毒的容器内，食品包装上必须使用原产地的标识，应注明：制造商名称和厂址、食品名称和重(容)量、生产日期和保质期限以及规格和SC认证书。</w:t>
      </w:r>
      <w:r>
        <w:br/>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6）如遇台风、暴雨、厂家停产等不可预见的原因造成个别品种的临时调整，中标人应事先通知采购人，采购人同意确认后方可调整。</w:t>
      </w:r>
      <w:r>
        <w:br/>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7）具体参照采购人制定的监内食堂物资验收流程及验收标准验收。</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8）验收人员：由采购人生活物资验收小组根据合同约定要求和采购计划，对每批次货物品种、数量、质量进行验收，中标人应有工作人员在现场负责沟通协调验收事宜。品种、质量、包装不符合要求的，中标人无条件予以换货；数量不足的，中标人根据采购人的要求，无条件及时补足。上述行为构成违约的，还需按照合同约定承担违约责任。验收时，采购人与中标人就货物质量有争议时，在双方共同见证下，封存全部或部分货物，由采购人将样品送至质量检验中心进行质量检验。检验结果为质量合格的，检验费用由采购人承担；不合格的，检验费用由中标人承担，并承担相应违约责任。</w:t>
      </w:r>
      <w:r>
        <w:br/>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9）验收时间：按采购人通知时间为准。</w:t>
      </w:r>
      <w:r>
        <w:br/>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10）验收地点：验收地点为货物送至地点。</w:t>
      </w:r>
    </w:p>
    <w:p>
      <w:pPr>
        <w:pStyle w:val="null3"/>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11）中标人所送达的物资质量标准与采购人合同要求不相符的，采购人应无条件退货，双方验收人应在退货记录单上签字。若中标人以各种理由推脱不在验收现场验收签字的以采购人验收签字的结果为准</w:t>
      </w:r>
      <w:r>
        <w:rPr>
          <w:rFonts w:ascii="仿宋_GB2312" w:hAnsi="仿宋_GB2312" w:cs="仿宋_GB2312" w:eastAsia="仿宋_GB2312"/>
          <w:sz w:val="24"/>
        </w:rPr>
        <w:t>。</w:t>
      </w:r>
    </w:p>
    <w:p>
      <w:pPr>
        <w:pStyle w:val="null3"/>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12）当采购人验收时发现中标人所送达物资不能证明为合格物资时（无合格证），双方验收人应在退货记录单上签字。若中标人以各种理由推脱不在验收现场验收签字的以采购人验收签字的结果为准</w:t>
      </w:r>
      <w:r>
        <w:rPr>
          <w:rFonts w:ascii="仿宋_GB2312" w:hAnsi="仿宋_GB2312" w:cs="仿宋_GB2312" w:eastAsia="仿宋_GB2312"/>
          <w:sz w:val="24"/>
        </w:rPr>
        <w:t>。</w:t>
      </w:r>
    </w:p>
    <w:p>
      <w:pPr>
        <w:pStyle w:val="null3"/>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13）采购人若验收时未发现问题，在加工食用前，发现货物不符合约定要求的，中标人应无条件及时予以退换货。</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14）采购人为国家行政机构，如遇国家政策调整或国家、省级监狱主管部门相关验收政策调整的，中标人应无条件满足新标准或制度要求，如无法满足的，采购人有权终止采购合同，不予中标人任何补偿或赔偿。</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15）采购人可在3天内提出无理由退换货物。</w:t>
      </w:r>
    </w:p>
    <w:p>
      <w:pPr>
        <w:pStyle w:val="null3"/>
        <w:jc w:val="left"/>
      </w:pPr>
      <w:r>
        <w:rPr>
          <w:rFonts w:ascii="仿宋_GB2312" w:hAnsi="仿宋_GB2312" w:cs="仿宋_GB2312" w:eastAsia="仿宋_GB2312"/>
          <w:sz w:val="24"/>
        </w:rPr>
        <w:t>9.2供货手续及要求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1）生产（供应）企业的资质证明（首次供应时提供）：中标人第一次供货必须提供以下资质证明：《营业执照》</w:t>
      </w:r>
      <w:r>
        <w:rPr>
          <w:rFonts w:ascii="仿宋_GB2312" w:hAnsi="仿宋_GB2312" w:cs="仿宋_GB2312" w:eastAsia="仿宋_GB2312"/>
          <w:sz w:val="24"/>
        </w:rPr>
        <w:t>复印件并加盖公章。</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2）产品票证要求：中标人每次供货必须附上以下票证：</w:t>
      </w:r>
    </w:p>
    <w:p>
      <w:pPr>
        <w:pStyle w:val="null3"/>
        <w:ind w:firstLine="480"/>
        <w:jc w:val="left"/>
      </w:pPr>
      <w:r>
        <w:rPr>
          <w:rFonts w:ascii="仿宋_GB2312" w:hAnsi="仿宋_GB2312" w:cs="仿宋_GB2312" w:eastAsia="仿宋_GB2312"/>
          <w:sz w:val="24"/>
        </w:rPr>
        <w:t>①检测报告（中标人提供自检或委托第三方检验的加盖公章的蔬菜农药残留检测合格报告）</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②加盖公章的货物清单（送货单）</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采购人根据需求要求中标人送货，每周送货次数以采购人实际需求为准。采购人提前一周将下周需求订单通过电话、邮件、传真、微信等方式交于中标人。中标人按要求及时送货。中标人收到订货单后应在订货单指定的时间送货上门，将货物送到并卸放在采购人指定地点，过秤验收；验货所需资料随货同行。如遇加单、补货或其他特殊情况应在收到订货单2小时内送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4）中标人提供的货物必须符合采购人的验收标准。如因数量或质量出现问题，由中标人承担由此造成的全部经济损失及法律责任。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5）中标人未经采购人审批同意，不得擅自调整配送货物品种、数量。如遇台风、暴雨等不可预见</w:t>
      </w:r>
      <w:r>
        <w:rPr>
          <w:rFonts w:ascii="仿宋_GB2312" w:hAnsi="仿宋_GB2312" w:cs="仿宋_GB2312" w:eastAsia="仿宋_GB2312"/>
          <w:sz w:val="24"/>
        </w:rPr>
        <w:t>的</w:t>
      </w:r>
      <w:r>
        <w:rPr>
          <w:rFonts w:ascii="仿宋_GB2312" w:hAnsi="仿宋_GB2312" w:cs="仿宋_GB2312" w:eastAsia="仿宋_GB2312"/>
          <w:sz w:val="24"/>
        </w:rPr>
        <w:t>原因造成个别品种的临时调整，中标人应事先通知采购人，采购人同意确认后方可调整。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6）采购人如需调查了解中标人所供物资的来源，要求提供进货票据等凭证时，中标人应无条件配合。采购人实施抽样送检时，中标人应无条件配合。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中标人工作人员(含司机)出入监区的过程中，必须无条件遵守监管安全规定，服从采购人工作人员指挥，不得为罪犯传递信息及现金、手机、毒品、枪支、刀具、烟、酒等违禁品、违规品。中标人进入监区的运输车辆、人员应相对固定。送货人员应具有身体健康证明，无犯罪记录（随身携带或复印件留采购人处备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8）中标人应保证其提供的所有货物在各方面符合国家规定及</w:t>
      </w:r>
      <w:r>
        <w:rPr>
          <w:rFonts w:ascii="仿宋_GB2312" w:hAnsi="仿宋_GB2312" w:cs="仿宋_GB2312" w:eastAsia="仿宋_GB2312"/>
          <w:sz w:val="24"/>
        </w:rPr>
        <w:t>采购人</w:t>
      </w:r>
      <w:r>
        <w:rPr>
          <w:rFonts w:ascii="仿宋_GB2312" w:hAnsi="仿宋_GB2312" w:cs="仿宋_GB2312" w:eastAsia="仿宋_GB2312"/>
          <w:sz w:val="24"/>
        </w:rPr>
        <w:t>要求的质量、规格和要求，交货时应现场验货。凡入库货物须经严格验收，重新过磅，并经采购人验收人员检查、审核合格后方可结算。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9）供货过程中，中标人应做好安全防护工作，供货过程中造成的人身、财产损害等一切安全事故，均由中标人负责，采购人不承担任何责任。</w:t>
      </w:r>
    </w:p>
    <w:p>
      <w:pPr>
        <w:pStyle w:val="null3"/>
        <w:jc w:val="both"/>
      </w:pPr>
      <w:r>
        <w:rPr>
          <w:rFonts w:ascii="仿宋_GB2312" w:hAnsi="仿宋_GB2312" w:cs="仿宋_GB2312" w:eastAsia="仿宋_GB2312"/>
          <w:sz w:val="24"/>
        </w:rPr>
        <w:t>9.3售后服务要求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中标人必须无条件接受工商、卫生监督部门安全工作检查小组和采购人相关职能部门对食品安全方面的监督管理、检查考核。如因中标人原因造成食物中毒等事件，经卫生检疫部门认定后，中标人不仅要承担所有医疗费用、卫生检疫部门的罚金及赔偿采购人相关经济损失，同时要承担相关法律责任，扣除所有履约保证金并终止合同</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2）到位后的物资由中标人及采购人共同进行质量验收，中标人必须提供所供应物资验收合格所需要的证明材料。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3）在验收上，要求进行索证制度（必须检验物理化学性有害物限量要求、微生物要求两项），对必要物资要求有进货检疫检测报告，这样保证物资的质量安全性。必要时</w:t>
      </w:r>
      <w:r>
        <w:rPr>
          <w:rFonts w:ascii="仿宋_GB2312" w:hAnsi="仿宋_GB2312" w:cs="仿宋_GB2312" w:eastAsia="仿宋_GB2312"/>
          <w:sz w:val="24"/>
        </w:rPr>
        <w:t>需</w:t>
      </w:r>
      <w:r>
        <w:rPr>
          <w:rFonts w:ascii="仿宋_GB2312" w:hAnsi="仿宋_GB2312" w:cs="仿宋_GB2312" w:eastAsia="仿宋_GB2312"/>
          <w:sz w:val="24"/>
        </w:rPr>
        <w:t>送到检疫所进行抽样检查。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4）中标后，中标人提交履约保证金，</w:t>
      </w:r>
      <w:r>
        <w:rPr>
          <w:rFonts w:ascii="仿宋_GB2312" w:hAnsi="仿宋_GB2312" w:cs="仿宋_GB2312" w:eastAsia="仿宋_GB2312"/>
          <w:sz w:val="24"/>
        </w:rPr>
        <w:t>作</w:t>
      </w:r>
      <w:r>
        <w:rPr>
          <w:rFonts w:ascii="仿宋_GB2312" w:hAnsi="仿宋_GB2312" w:cs="仿宋_GB2312" w:eastAsia="仿宋_GB2312"/>
          <w:sz w:val="24"/>
        </w:rPr>
        <w:t>为中标人违约或外协人员违反监管规定的违约金。中标人所有外协人员及车辆进入监区必须遵守采购人监管规章制度。</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5）中标人按采购人要求的品种、数量和时间供货，并负责送至采购人指定地点，运输费用由中标人负责；中标人若不按时、按量、按品种供货，采购人可另行通知他人供货，所购货款由中标人负责。</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6）中标人应对本项目采购的所有物资按国家有关标准进行配送，不得短斤少两、以次充好。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7）中标人必须保证无条件退换有质量问题的商品，无条件退回不符合或违反国家相关法律法规规定的商品。</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b/>
        </w:rPr>
        <w:t>10</w:t>
      </w:r>
      <w:r>
        <w:rPr>
          <w:rFonts w:ascii="仿宋_GB2312" w:hAnsi="仿宋_GB2312" w:cs="仿宋_GB2312" w:eastAsia="仿宋_GB2312"/>
          <w:sz w:val="24"/>
          <w:b/>
        </w:rPr>
        <w:t>、</w:t>
      </w:r>
      <w:r>
        <w:rPr>
          <w:rFonts w:ascii="仿宋_GB2312" w:hAnsi="仿宋_GB2312" w:cs="仿宋_GB2312" w:eastAsia="仿宋_GB2312"/>
          <w:sz w:val="24"/>
          <w:b/>
        </w:rPr>
        <w:t>违约责任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1）票证不齐。中标人未按要求随货提供物资验合格所必须的所有证明材料（如物资检疫检测报告、加盖公章的货物清单等）</w:t>
      </w:r>
      <w:r>
        <w:rPr>
          <w:rFonts w:ascii="仿宋_GB2312" w:hAnsi="仿宋_GB2312" w:cs="仿宋_GB2312" w:eastAsia="仿宋_GB2312"/>
          <w:sz w:val="24"/>
        </w:rPr>
        <w:t>，</w:t>
      </w:r>
      <w:r>
        <w:rPr>
          <w:rFonts w:ascii="仿宋_GB2312" w:hAnsi="仿宋_GB2312" w:cs="仿宋_GB2312" w:eastAsia="仿宋_GB2312"/>
          <w:sz w:val="24"/>
        </w:rPr>
        <w:t>采购人有权拒收。中标人未按采购人要求提供进货票据等凭证时，采购人有权拒收。因票证不齐，耽误交货时间的，视为逾期供货并按逾期供货的规定执行。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2）采购人要求实施抽样送检时，中标人拒绝配合的，每发生一次采购人有权扣除</w:t>
      </w:r>
      <w:r>
        <w:rPr>
          <w:rFonts w:ascii="仿宋_GB2312" w:hAnsi="仿宋_GB2312" w:cs="仿宋_GB2312" w:eastAsia="仿宋_GB2312"/>
          <w:sz w:val="24"/>
        </w:rPr>
        <w:t>3</w:t>
      </w:r>
      <w:r>
        <w:rPr>
          <w:rFonts w:ascii="仿宋_GB2312" w:hAnsi="仿宋_GB2312" w:cs="仿宋_GB2312" w:eastAsia="仿宋_GB2312"/>
          <w:sz w:val="24"/>
        </w:rPr>
        <w:t>000元作为违约金。合同履行期间累计超过</w:t>
      </w:r>
      <w:r>
        <w:rPr>
          <w:rFonts w:ascii="仿宋_GB2312" w:hAnsi="仿宋_GB2312" w:cs="仿宋_GB2312" w:eastAsia="仿宋_GB2312"/>
          <w:sz w:val="24"/>
        </w:rPr>
        <w:t>五</w:t>
      </w:r>
      <w:r>
        <w:rPr>
          <w:rFonts w:ascii="仿宋_GB2312" w:hAnsi="仿宋_GB2312" w:cs="仿宋_GB2312" w:eastAsia="仿宋_GB2312"/>
          <w:sz w:val="24"/>
        </w:rPr>
        <w:t>次（含）的，采购人有权终止合同并</w:t>
      </w:r>
      <w:r>
        <w:rPr>
          <w:rFonts w:ascii="仿宋_GB2312" w:hAnsi="仿宋_GB2312" w:cs="仿宋_GB2312" w:eastAsia="仿宋_GB2312"/>
          <w:sz w:val="24"/>
        </w:rPr>
        <w:t>不予退还</w:t>
      </w:r>
      <w:r>
        <w:rPr>
          <w:rFonts w:ascii="仿宋_GB2312" w:hAnsi="仿宋_GB2312" w:cs="仿宋_GB2312" w:eastAsia="仿宋_GB2312"/>
          <w:sz w:val="24"/>
        </w:rPr>
        <w:t>履约保证金。</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3）供货不足及过量的。中标人供货与采购计划误差10%以内的,按实际验收,超过10%的部分,采购人有权予以退回</w:t>
      </w:r>
      <w:r>
        <w:rPr>
          <w:rFonts w:ascii="仿宋_GB2312" w:hAnsi="仿宋_GB2312" w:cs="仿宋_GB2312" w:eastAsia="仿宋_GB2312"/>
          <w:sz w:val="24"/>
        </w:rPr>
        <w:t>；</w:t>
      </w:r>
      <w:r>
        <w:rPr>
          <w:rFonts w:ascii="仿宋_GB2312" w:hAnsi="仿宋_GB2312" w:cs="仿宋_GB2312" w:eastAsia="仿宋_GB2312"/>
          <w:sz w:val="24"/>
        </w:rPr>
        <w:t>不足</w:t>
      </w:r>
      <w:r>
        <w:rPr>
          <w:rFonts w:ascii="仿宋_GB2312" w:hAnsi="仿宋_GB2312" w:cs="仿宋_GB2312" w:eastAsia="仿宋_GB2312"/>
          <w:sz w:val="24"/>
        </w:rPr>
        <w:t>90%的,中标人应当接到采购人通知后</w:t>
      </w:r>
      <w:r>
        <w:rPr>
          <w:rFonts w:ascii="仿宋_GB2312" w:hAnsi="仿宋_GB2312" w:cs="仿宋_GB2312" w:eastAsia="仿宋_GB2312"/>
          <w:sz w:val="24"/>
        </w:rPr>
        <w:t>2</w:t>
      </w:r>
      <w:r>
        <w:rPr>
          <w:rFonts w:ascii="仿宋_GB2312" w:hAnsi="仿宋_GB2312" w:cs="仿宋_GB2312" w:eastAsia="仿宋_GB2312"/>
          <w:sz w:val="24"/>
        </w:rPr>
        <w:t>个小时内补送到位，否则视中标人违约</w:t>
      </w:r>
      <w:r>
        <w:rPr>
          <w:rFonts w:ascii="仿宋_GB2312" w:hAnsi="仿宋_GB2312" w:cs="仿宋_GB2312" w:eastAsia="仿宋_GB2312"/>
          <w:sz w:val="24"/>
        </w:rPr>
        <w:t>，</w:t>
      </w:r>
      <w:r>
        <w:rPr>
          <w:rFonts w:ascii="仿宋_GB2312" w:hAnsi="仿宋_GB2312" w:cs="仿宋_GB2312" w:eastAsia="仿宋_GB2312"/>
          <w:sz w:val="24"/>
        </w:rPr>
        <w:t>每发生一次采购人有权扣除</w:t>
      </w:r>
      <w:r>
        <w:rPr>
          <w:rFonts w:ascii="仿宋_GB2312" w:hAnsi="仿宋_GB2312" w:cs="仿宋_GB2312" w:eastAsia="仿宋_GB2312"/>
          <w:sz w:val="24"/>
        </w:rPr>
        <w:t>3</w:t>
      </w:r>
      <w:r>
        <w:rPr>
          <w:rFonts w:ascii="仿宋_GB2312" w:hAnsi="仿宋_GB2312" w:cs="仿宋_GB2312" w:eastAsia="仿宋_GB2312"/>
          <w:sz w:val="24"/>
        </w:rPr>
        <w:t>000元作为违约金。合同履行期间累计超过</w:t>
      </w:r>
      <w:r>
        <w:rPr>
          <w:rFonts w:ascii="仿宋_GB2312" w:hAnsi="仿宋_GB2312" w:cs="仿宋_GB2312" w:eastAsia="仿宋_GB2312"/>
          <w:sz w:val="24"/>
        </w:rPr>
        <w:t>六</w:t>
      </w:r>
      <w:r>
        <w:rPr>
          <w:rFonts w:ascii="仿宋_GB2312" w:hAnsi="仿宋_GB2312" w:cs="仿宋_GB2312" w:eastAsia="仿宋_GB2312"/>
          <w:sz w:val="24"/>
        </w:rPr>
        <w:t>次（含）的，采购人有权终止合同并</w:t>
      </w:r>
      <w:r>
        <w:rPr>
          <w:rFonts w:ascii="仿宋_GB2312" w:hAnsi="仿宋_GB2312" w:cs="仿宋_GB2312" w:eastAsia="仿宋_GB2312"/>
          <w:sz w:val="24"/>
        </w:rPr>
        <w:t>不予退还</w:t>
      </w:r>
      <w:r>
        <w:rPr>
          <w:rFonts w:ascii="仿宋_GB2312" w:hAnsi="仿宋_GB2312" w:cs="仿宋_GB2312" w:eastAsia="仿宋_GB2312"/>
          <w:sz w:val="24"/>
        </w:rPr>
        <w:t>履约保证金。</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4）逾期供货。中标人未能按照采购人指定时间按时供货（不含无故中断供货的违约情况），（超过采购人指定时间</w:t>
      </w:r>
      <w:r>
        <w:rPr>
          <w:rFonts w:ascii="仿宋_GB2312" w:hAnsi="仿宋_GB2312" w:cs="仿宋_GB2312" w:eastAsia="仿宋_GB2312"/>
          <w:sz w:val="24"/>
        </w:rPr>
        <w:t>2</w:t>
      </w:r>
      <w:r>
        <w:rPr>
          <w:rFonts w:ascii="仿宋_GB2312" w:hAnsi="仿宋_GB2312" w:cs="仿宋_GB2312" w:eastAsia="仿宋_GB2312"/>
          <w:sz w:val="24"/>
        </w:rPr>
        <w:t>小时以上</w:t>
      </w:r>
      <w:r>
        <w:rPr>
          <w:rFonts w:ascii="仿宋_GB2312" w:hAnsi="仿宋_GB2312" w:cs="仿宋_GB2312" w:eastAsia="仿宋_GB2312"/>
          <w:sz w:val="24"/>
        </w:rPr>
        <w:t>4小时以内</w:t>
      </w:r>
      <w:r>
        <w:rPr>
          <w:rFonts w:ascii="仿宋_GB2312" w:hAnsi="仿宋_GB2312" w:cs="仿宋_GB2312" w:eastAsia="仿宋_GB2312"/>
          <w:sz w:val="24"/>
        </w:rPr>
        <w:t>视为逾期），每逾期一次向采购人支付违约金</w:t>
      </w:r>
      <w:r>
        <w:rPr>
          <w:rFonts w:ascii="仿宋_GB2312" w:hAnsi="仿宋_GB2312" w:cs="仿宋_GB2312" w:eastAsia="仿宋_GB2312"/>
          <w:sz w:val="24"/>
        </w:rPr>
        <w:t>5</w:t>
      </w:r>
      <w:r>
        <w:rPr>
          <w:rFonts w:ascii="仿宋_GB2312" w:hAnsi="仿宋_GB2312" w:cs="仿宋_GB2312" w:eastAsia="仿宋_GB2312"/>
          <w:sz w:val="24"/>
        </w:rPr>
        <w:t>000元。合同履行期间累计超过</w:t>
      </w:r>
      <w:r>
        <w:rPr>
          <w:rFonts w:ascii="仿宋_GB2312" w:hAnsi="仿宋_GB2312" w:cs="仿宋_GB2312" w:eastAsia="仿宋_GB2312"/>
          <w:sz w:val="24"/>
        </w:rPr>
        <w:t>五</w:t>
      </w:r>
      <w:r>
        <w:rPr>
          <w:rFonts w:ascii="仿宋_GB2312" w:hAnsi="仿宋_GB2312" w:cs="仿宋_GB2312" w:eastAsia="仿宋_GB2312"/>
          <w:sz w:val="24"/>
        </w:rPr>
        <w:t>次（含）不按时供货，采购人有权终止合同并</w:t>
      </w:r>
      <w:r>
        <w:rPr>
          <w:rFonts w:ascii="仿宋_GB2312" w:hAnsi="仿宋_GB2312" w:cs="仿宋_GB2312" w:eastAsia="仿宋_GB2312"/>
          <w:sz w:val="24"/>
        </w:rPr>
        <w:t>不予退还</w:t>
      </w:r>
      <w:r>
        <w:rPr>
          <w:rFonts w:ascii="仿宋_GB2312" w:hAnsi="仿宋_GB2312" w:cs="仿宋_GB2312" w:eastAsia="仿宋_GB2312"/>
          <w:sz w:val="24"/>
        </w:rPr>
        <w:t>履约保证金。供货时间以采购人书面采购计划单中指定的供货时间为准，特殊情况无法按采购人指定时间供货的，中标人应提前</w:t>
      </w:r>
      <w:r>
        <w:rPr>
          <w:rFonts w:ascii="仿宋_GB2312" w:hAnsi="仿宋_GB2312" w:cs="仿宋_GB2312" w:eastAsia="仿宋_GB2312"/>
          <w:sz w:val="24"/>
        </w:rPr>
        <w:t>3天书面报采购人批准。采购人同意的，按新约定的时间供货；采购人不同意的，按原指定时间供货。</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合同履行过程中，中标人无故中断供货（货物超过约定送达时间</w:t>
      </w:r>
      <w:r>
        <w:rPr>
          <w:rFonts w:ascii="仿宋_GB2312" w:hAnsi="仿宋_GB2312" w:cs="仿宋_GB2312" w:eastAsia="仿宋_GB2312"/>
          <w:sz w:val="24"/>
        </w:rPr>
        <w:t>4小时（含）以上还未送达的，则视为无故中断供货），采购人有权拒收，并有权临时从市场采购，采购产生额外费用从履约保证金中扣除，不足部</w:t>
      </w:r>
      <w:r>
        <w:rPr>
          <w:rFonts w:ascii="仿宋_GB2312" w:hAnsi="仿宋_GB2312" w:cs="仿宋_GB2312" w:eastAsia="仿宋_GB2312"/>
          <w:sz w:val="24"/>
        </w:rPr>
        <w:t>分</w:t>
      </w:r>
      <w:r>
        <w:rPr>
          <w:rFonts w:ascii="仿宋_GB2312" w:hAnsi="仿宋_GB2312" w:cs="仿宋_GB2312" w:eastAsia="仿宋_GB2312"/>
          <w:sz w:val="24"/>
        </w:rPr>
        <w:t>从中标人未支付货款中扣除，采购人有权单方面终止合同，并</w:t>
      </w:r>
      <w:r>
        <w:rPr>
          <w:rFonts w:ascii="仿宋_GB2312" w:hAnsi="仿宋_GB2312" w:cs="仿宋_GB2312" w:eastAsia="仿宋_GB2312"/>
          <w:sz w:val="24"/>
        </w:rPr>
        <w:t>不予退还</w:t>
      </w:r>
      <w:r>
        <w:rPr>
          <w:rFonts w:ascii="仿宋_GB2312" w:hAnsi="仿宋_GB2312" w:cs="仿宋_GB2312" w:eastAsia="仿宋_GB2312"/>
          <w:sz w:val="24"/>
        </w:rPr>
        <w:t>履约金，造成采购人损失的中标人应赔偿相关费用。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）质量不符合约定要求。中标人所供货物经检验确认质量不符合约定要求的，应按采购人指定时间无条件更换符合约定要求的货物，同时按如下违约责任进行处罚：每发生一次采购人有权扣除</w:t>
      </w:r>
      <w:r>
        <w:rPr>
          <w:rFonts w:ascii="仿宋_GB2312" w:hAnsi="仿宋_GB2312" w:cs="仿宋_GB2312" w:eastAsia="仿宋_GB2312"/>
          <w:sz w:val="24"/>
        </w:rPr>
        <w:t>3</w:t>
      </w:r>
      <w:r>
        <w:rPr>
          <w:rFonts w:ascii="仿宋_GB2312" w:hAnsi="仿宋_GB2312" w:cs="仿宋_GB2312" w:eastAsia="仿宋_GB2312"/>
          <w:sz w:val="24"/>
        </w:rPr>
        <w:t>000元作为违约金</w:t>
      </w:r>
      <w:r>
        <w:rPr>
          <w:rFonts w:ascii="仿宋_GB2312" w:hAnsi="仿宋_GB2312" w:cs="仿宋_GB2312" w:eastAsia="仿宋_GB2312"/>
          <w:sz w:val="24"/>
        </w:rPr>
        <w:t>，</w:t>
      </w:r>
      <w:r>
        <w:rPr>
          <w:rFonts w:ascii="仿宋_GB2312" w:hAnsi="仿宋_GB2312" w:cs="仿宋_GB2312" w:eastAsia="仿宋_GB2312"/>
          <w:sz w:val="24"/>
        </w:rPr>
        <w:t>发生第十次的采购人有权终止合同并</w:t>
      </w:r>
      <w:r>
        <w:rPr>
          <w:rFonts w:ascii="仿宋_GB2312" w:hAnsi="仿宋_GB2312" w:cs="仿宋_GB2312" w:eastAsia="仿宋_GB2312"/>
          <w:sz w:val="24"/>
        </w:rPr>
        <w:t>不予退还</w:t>
      </w:r>
      <w:r>
        <w:rPr>
          <w:rFonts w:ascii="仿宋_GB2312" w:hAnsi="仿宋_GB2312" w:cs="仿宋_GB2312" w:eastAsia="仿宋_GB2312"/>
          <w:sz w:val="24"/>
        </w:rPr>
        <w:t>履约保证金。</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不符合采购人计划单品种要求的。中标人不按采购人计划单所列品种供货的（采购人允许的除外），采购人有权对不按下单品种供应部分给以退货或换货处理，同时按如下违约责任进行处罚：每发生一次采购人有权扣除</w:t>
      </w:r>
      <w:r>
        <w:rPr>
          <w:rFonts w:ascii="仿宋_GB2312" w:hAnsi="仿宋_GB2312" w:cs="仿宋_GB2312" w:eastAsia="仿宋_GB2312"/>
          <w:sz w:val="24"/>
        </w:rPr>
        <w:t>3</w:t>
      </w:r>
      <w:r>
        <w:rPr>
          <w:rFonts w:ascii="仿宋_GB2312" w:hAnsi="仿宋_GB2312" w:cs="仿宋_GB2312" w:eastAsia="仿宋_GB2312"/>
          <w:sz w:val="24"/>
        </w:rPr>
        <w:t>000元作为违约金</w:t>
      </w:r>
      <w:r>
        <w:rPr>
          <w:rFonts w:ascii="仿宋_GB2312" w:hAnsi="仿宋_GB2312" w:cs="仿宋_GB2312" w:eastAsia="仿宋_GB2312"/>
          <w:sz w:val="24"/>
        </w:rPr>
        <w:t>，</w:t>
      </w:r>
      <w:r>
        <w:rPr>
          <w:rFonts w:ascii="仿宋_GB2312" w:hAnsi="仿宋_GB2312" w:cs="仿宋_GB2312" w:eastAsia="仿宋_GB2312"/>
          <w:sz w:val="24"/>
        </w:rPr>
        <w:t>发生第十次的，采购人有权终止合同并</w:t>
      </w:r>
      <w:r>
        <w:rPr>
          <w:rFonts w:ascii="仿宋_GB2312" w:hAnsi="仿宋_GB2312" w:cs="仿宋_GB2312" w:eastAsia="仿宋_GB2312"/>
          <w:sz w:val="24"/>
        </w:rPr>
        <w:t>不予退还</w:t>
      </w:r>
      <w:r>
        <w:rPr>
          <w:rFonts w:ascii="仿宋_GB2312" w:hAnsi="仿宋_GB2312" w:cs="仿宋_GB2312" w:eastAsia="仿宋_GB2312"/>
          <w:sz w:val="24"/>
        </w:rPr>
        <w:t>履约保证金。</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）中标人有前六款所列违约行为之一的，采购人有权在中标人提供符合要求的货物之前，在市场自行采购相应货物，应急保障需求。超出约定结算价格部分的购物费用及采购所产生的其它相关费用由中标人承担。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）因中标人供应的货物质量问题，造成采购人发生食品安全事故、身体损害等事件的，中标人应赔偿由此造成的一切损失并承担相应法律责任，采购人有权终止合同并</w:t>
      </w:r>
      <w:r>
        <w:rPr>
          <w:rFonts w:ascii="仿宋_GB2312" w:hAnsi="仿宋_GB2312" w:cs="仿宋_GB2312" w:eastAsia="仿宋_GB2312"/>
          <w:sz w:val="24"/>
        </w:rPr>
        <w:t>不予退还</w:t>
      </w:r>
      <w:r>
        <w:rPr>
          <w:rFonts w:ascii="仿宋_GB2312" w:hAnsi="仿宋_GB2312" w:cs="仿宋_GB2312" w:eastAsia="仿宋_GB2312"/>
          <w:sz w:val="24"/>
        </w:rPr>
        <w:t>履约保证金。</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10）中标人提供的货物检验、检疫证明、合格证、发票及其他验货所需票据经查证系虚假的，每品种每批次向采购人支付违约金20000元并承担相应法律责任，采购人有权终止合同并</w:t>
      </w:r>
      <w:r>
        <w:rPr>
          <w:rFonts w:ascii="仿宋_GB2312" w:hAnsi="仿宋_GB2312" w:cs="仿宋_GB2312" w:eastAsia="仿宋_GB2312"/>
          <w:sz w:val="24"/>
        </w:rPr>
        <w:t>不予退还</w:t>
      </w:r>
      <w:r>
        <w:rPr>
          <w:rFonts w:ascii="仿宋_GB2312" w:hAnsi="仿宋_GB2312" w:cs="仿宋_GB2312" w:eastAsia="仿宋_GB2312"/>
          <w:sz w:val="24"/>
        </w:rPr>
        <w:t>履约保证金。</w:t>
      </w:r>
    </w:p>
    <w:p>
      <w:pPr>
        <w:pStyle w:val="null3"/>
        <w:ind w:firstLine="482"/>
        <w:jc w:val="both"/>
      </w:pPr>
      <w:r>
        <w:rPr>
          <w:rFonts w:ascii="仿宋_GB2312" w:hAnsi="仿宋_GB2312" w:cs="仿宋_GB2312" w:eastAsia="仿宋_GB2312"/>
          <w:sz w:val="24"/>
        </w:rPr>
        <w:t>（</w:t>
      </w:r>
      <w:r>
        <w:rPr>
          <w:rFonts w:ascii="仿宋_GB2312" w:hAnsi="仿宋_GB2312" w:cs="仿宋_GB2312" w:eastAsia="仿宋_GB2312"/>
          <w:sz w:val="24"/>
        </w:rPr>
        <w:t>11）中标人应当告知其参与合同履行的工作人员（含司机），凡涉及与监狱有关的事项，</w:t>
      </w:r>
      <w:r>
        <w:rPr>
          <w:rFonts w:ascii="仿宋_GB2312" w:hAnsi="仿宋_GB2312" w:cs="仿宋_GB2312" w:eastAsia="仿宋_GB2312"/>
          <w:sz w:val="24"/>
        </w:rPr>
        <w:t>均应严格遵守法律、法规、规章和监狱的监管安全规定，且不得有任何为罪犯传递</w:t>
      </w:r>
      <w:r>
        <w:rPr>
          <w:rFonts w:ascii="仿宋_GB2312" w:hAnsi="仿宋_GB2312" w:cs="仿宋_GB2312" w:eastAsia="仿宋_GB2312"/>
          <w:sz w:val="24"/>
        </w:rPr>
        <w:t>讯息、现金、银行卡、音视频播放设备、储存介质、手机、毒品、枪支、刀具、烟、酒等及私自会见在押罪犯等行为。中标人工作人员如有违反本项的情形，中标人应无条件立即更换该工作人员，并将按监狱相关规定进行处罚，采购人有权终止合同并</w:t>
      </w:r>
      <w:r>
        <w:rPr>
          <w:rFonts w:ascii="仿宋_GB2312" w:hAnsi="仿宋_GB2312" w:cs="仿宋_GB2312" w:eastAsia="仿宋_GB2312"/>
          <w:sz w:val="24"/>
        </w:rPr>
        <w:t>不予退还</w:t>
      </w:r>
      <w:r>
        <w:rPr>
          <w:rFonts w:ascii="仿宋_GB2312" w:hAnsi="仿宋_GB2312" w:cs="仿宋_GB2312" w:eastAsia="仿宋_GB2312"/>
          <w:sz w:val="24"/>
        </w:rPr>
        <w:t>履约保证金。若触犯法律，将移送司法机关处理。</w:t>
      </w:r>
    </w:p>
    <w:p>
      <w:pPr>
        <w:pStyle w:val="null3"/>
        <w:ind w:firstLine="482"/>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12</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采购人有权保留定期或不定期</w:t>
      </w:r>
      <w:r>
        <w:rPr>
          <w:rFonts w:ascii="仿宋_GB2312" w:hAnsi="仿宋_GB2312" w:cs="仿宋_GB2312" w:eastAsia="仿宋_GB2312"/>
          <w:sz w:val="24"/>
          <w:shd w:fill="FFFFFF" w:val="clear"/>
        </w:rPr>
        <w:t>查验</w:t>
      </w:r>
      <w:r>
        <w:rPr>
          <w:rFonts w:ascii="仿宋_GB2312" w:hAnsi="仿宋_GB2312" w:cs="仿宋_GB2312" w:eastAsia="仿宋_GB2312"/>
          <w:sz w:val="24"/>
          <w:shd w:fill="FFFFFF" w:val="clear"/>
        </w:rPr>
        <w:t>配送团队人员及项目负责人员在中标人企业缴纳的社保证明材料的权利，若</w:t>
      </w:r>
      <w:r>
        <w:rPr>
          <w:rFonts w:ascii="仿宋_GB2312" w:hAnsi="仿宋_GB2312" w:cs="仿宋_GB2312" w:eastAsia="仿宋_GB2312"/>
          <w:sz w:val="24"/>
          <w:shd w:fill="FFFFFF" w:val="clear"/>
        </w:rPr>
        <w:t>中标人的</w:t>
      </w:r>
      <w:r>
        <w:rPr>
          <w:rFonts w:ascii="仿宋_GB2312" w:hAnsi="仿宋_GB2312" w:cs="仿宋_GB2312" w:eastAsia="仿宋_GB2312"/>
          <w:sz w:val="24"/>
          <w:shd w:fill="FFFFFF" w:val="clear"/>
        </w:rPr>
        <w:t>所提供的配送团队人员或项目负责人员非中标人企业员工的，视为违约，</w:t>
      </w:r>
      <w:r>
        <w:rPr>
          <w:rFonts w:ascii="仿宋_GB2312" w:hAnsi="仿宋_GB2312" w:cs="仿宋_GB2312" w:eastAsia="仿宋_GB2312"/>
          <w:sz w:val="24"/>
          <w:shd w:fill="FFFFFF" w:val="clear"/>
        </w:rPr>
        <w:t>每次扣除履约保证金</w:t>
      </w: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000元</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发违约通知函，</w:t>
      </w:r>
      <w:r>
        <w:rPr>
          <w:rFonts w:ascii="仿宋_GB2312" w:hAnsi="仿宋_GB2312" w:cs="仿宋_GB2312" w:eastAsia="仿宋_GB2312"/>
          <w:sz w:val="24"/>
          <w:shd w:fill="FFFFFF" w:val="clear"/>
        </w:rPr>
        <w:t>合同期</w:t>
      </w:r>
      <w:r>
        <w:rPr>
          <w:rFonts w:ascii="仿宋_GB2312" w:hAnsi="仿宋_GB2312" w:cs="仿宋_GB2312" w:eastAsia="仿宋_GB2312"/>
          <w:sz w:val="24"/>
          <w:shd w:fill="FFFFFF" w:val="clear"/>
        </w:rPr>
        <w:t>内发生</w:t>
      </w:r>
      <w:r>
        <w:rPr>
          <w:rFonts w:ascii="仿宋_GB2312" w:hAnsi="仿宋_GB2312" w:cs="仿宋_GB2312" w:eastAsia="仿宋_GB2312"/>
          <w:sz w:val="24"/>
          <w:shd w:fill="FFFFFF" w:val="clear"/>
        </w:rPr>
        <w:t>3次（含）以上，采购人有权单方终止合同，</w:t>
      </w:r>
      <w:r>
        <w:rPr>
          <w:rFonts w:ascii="仿宋_GB2312" w:hAnsi="仿宋_GB2312" w:cs="仿宋_GB2312" w:eastAsia="仿宋_GB2312"/>
          <w:sz w:val="24"/>
        </w:rPr>
        <w:t>不予退还</w:t>
      </w:r>
      <w:r>
        <w:rPr>
          <w:rFonts w:ascii="仿宋_GB2312" w:hAnsi="仿宋_GB2312" w:cs="仿宋_GB2312" w:eastAsia="仿宋_GB2312"/>
          <w:sz w:val="24"/>
          <w:shd w:fill="FFFFFF" w:val="clear"/>
        </w:rPr>
        <w:t>履约保证金</w:t>
      </w:r>
      <w:r>
        <w:rPr>
          <w:rFonts w:ascii="仿宋_GB2312" w:hAnsi="仿宋_GB2312" w:cs="仿宋_GB2312" w:eastAsia="仿宋_GB2312"/>
          <w:sz w:val="24"/>
          <w:shd w:fill="FFFFFF" w:val="clear"/>
        </w:rPr>
        <w:t>。</w:t>
      </w:r>
    </w:p>
    <w:p>
      <w:pPr>
        <w:pStyle w:val="null3"/>
        <w:ind w:firstLine="482"/>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13</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本项目不允许中标人以任何名义和理由进行转包，如有发现，采购人有权单方终止合同，</w:t>
      </w:r>
      <w:r>
        <w:rPr>
          <w:rFonts w:ascii="仿宋_GB2312" w:hAnsi="仿宋_GB2312" w:cs="仿宋_GB2312" w:eastAsia="仿宋_GB2312"/>
          <w:sz w:val="24"/>
        </w:rPr>
        <w:t>不予退还</w:t>
      </w:r>
      <w:r>
        <w:rPr>
          <w:rFonts w:ascii="仿宋_GB2312" w:hAnsi="仿宋_GB2312" w:cs="仿宋_GB2312" w:eastAsia="仿宋_GB2312"/>
          <w:sz w:val="24"/>
          <w:shd w:fill="FFFFFF" w:val="clear"/>
        </w:rPr>
        <w:t>履约保证金。</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）因中标人原因导致采购人终止合同的，采购人终止合同后至招标确定新的中标人前临时采购的蔬菜，实际支付金额超过按本</w:t>
      </w:r>
      <w:r>
        <w:rPr>
          <w:rFonts w:ascii="仿宋_GB2312" w:hAnsi="仿宋_GB2312" w:cs="仿宋_GB2312" w:eastAsia="仿宋_GB2312"/>
          <w:sz w:val="24"/>
        </w:rPr>
        <w:t>项目</w:t>
      </w:r>
      <w:r>
        <w:rPr>
          <w:rFonts w:ascii="仿宋_GB2312" w:hAnsi="仿宋_GB2312" w:cs="仿宋_GB2312" w:eastAsia="仿宋_GB2312"/>
          <w:sz w:val="24"/>
        </w:rPr>
        <w:t>合同所约定单价计算金额的，超出部分的费用由中标人承担。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）中标人单方解除合同的，中标人以明示或行为等方式拒绝履行合同，采购人有权</w:t>
      </w:r>
      <w:r>
        <w:rPr>
          <w:rFonts w:ascii="仿宋_GB2312" w:hAnsi="仿宋_GB2312" w:cs="仿宋_GB2312" w:eastAsia="仿宋_GB2312"/>
          <w:sz w:val="24"/>
        </w:rPr>
        <w:t>不予退还</w:t>
      </w:r>
      <w:r>
        <w:rPr>
          <w:rFonts w:ascii="仿宋_GB2312" w:hAnsi="仿宋_GB2312" w:cs="仿宋_GB2312" w:eastAsia="仿宋_GB2312"/>
          <w:sz w:val="24"/>
        </w:rPr>
        <w:t>履约保证金，并要求中标人支付合同金额</w:t>
      </w:r>
      <w:r>
        <w:rPr>
          <w:rFonts w:ascii="仿宋_GB2312" w:hAnsi="仿宋_GB2312" w:cs="仿宋_GB2312" w:eastAsia="仿宋_GB2312"/>
          <w:sz w:val="24"/>
        </w:rPr>
        <w:t>5%的违约金；对采购人造成损失的，中标人还应给予相应赔偿。同时将拒绝履行合同事项上报有关机关进行处理。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）中标人应在经营范围内合法经营，否则应承担由此产生的法律责任。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）除上述违约条款外，中标人未履行招标文件、投标文件、合同有关规定的其他事项或服务要求的、每发现一次，需向采购人支付违约金</w:t>
      </w:r>
      <w:r>
        <w:rPr>
          <w:rFonts w:ascii="仿宋_GB2312" w:hAnsi="仿宋_GB2312" w:cs="仿宋_GB2312" w:eastAsia="仿宋_GB2312"/>
          <w:sz w:val="24"/>
        </w:rPr>
        <w:t>1000元。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）上述违约责任内容与本招标内容及要求中的其他约定有冲突的，违约责任按就高不就低原则处理。</w:t>
      </w:r>
    </w:p>
    <w:p>
      <w:pPr>
        <w:pStyle w:val="null3"/>
        <w:jc w:val="left"/>
      </w:pPr>
      <w:r>
        <w:rPr>
          <w:rFonts w:ascii="仿宋_GB2312" w:hAnsi="仿宋_GB2312" w:cs="仿宋_GB2312" w:eastAsia="仿宋_GB2312"/>
          <w:sz w:val="24"/>
          <w:shd w:fill="FFFFFF" w:val="clear"/>
        </w:rPr>
        <w:t>★</w:t>
      </w:r>
      <w:r>
        <w:rPr>
          <w:rFonts w:ascii="仿宋_GB2312" w:hAnsi="仿宋_GB2312" w:cs="仿宋_GB2312" w:eastAsia="仿宋_GB2312"/>
          <w:sz w:val="24"/>
          <w:b/>
        </w:rPr>
        <w:t>11、不可抗力</w:t>
      </w:r>
    </w:p>
    <w:p>
      <w:pPr>
        <w:pStyle w:val="null3"/>
        <w:ind w:firstLine="420"/>
        <w:jc w:val="both"/>
      </w:pPr>
      <w:r>
        <w:rPr>
          <w:rFonts w:ascii="仿宋_GB2312" w:hAnsi="仿宋_GB2312" w:cs="仿宋_GB2312" w:eastAsia="仿宋_GB2312"/>
          <w:sz w:val="24"/>
        </w:rPr>
        <w:t>因不可抗力因素造成违约的，遭受不可抗力一方应及时让对方知晓不能履行或不能完全履行的理由。基于以上行为，允许遭受不可抗力一方延期履行、部分履行或者不能履行招标文件条款，并根据情况可部分或全部分免于承担违约责任。</w:t>
      </w:r>
      <w:r>
        <w:br/>
      </w:r>
      <w:r>
        <w:rPr>
          <w:rFonts w:ascii="仿宋_GB2312" w:hAnsi="仿宋_GB2312" w:cs="仿宋_GB2312" w:eastAsia="仿宋_GB2312"/>
          <w:sz w:val="24"/>
        </w:rPr>
        <w:t xml:space="preserve">    </w:t>
      </w:r>
      <w:r>
        <w:rPr>
          <w:rFonts w:ascii="仿宋_GB2312" w:hAnsi="仿宋_GB2312" w:cs="仿宋_GB2312" w:eastAsia="仿宋_GB2312"/>
          <w:sz w:val="24"/>
        </w:rPr>
        <w:t>注：本条款不可抗力指不能预见、不能避免并不能克服的客观情况。包括但不限于：自然灾害（地震、台风、洪水、火灾）、政府行为、法律规定或其适用的变化，或者其他任何无法预见、避免（控制）的事件。</w:t>
      </w:r>
    </w:p>
    <w:p>
      <w:pPr>
        <w:pStyle w:val="null3"/>
        <w:jc w:val="left"/>
      </w:pPr>
      <w:r>
        <w:rPr>
          <w:rFonts w:ascii="仿宋_GB2312" w:hAnsi="仿宋_GB2312" w:cs="仿宋_GB2312" w:eastAsia="仿宋_GB2312"/>
          <w:sz w:val="24"/>
          <w:shd w:fill="FFFFFF" w:val="clear"/>
        </w:rPr>
        <w:t>★</w:t>
      </w:r>
      <w:r>
        <w:rPr>
          <w:rFonts w:ascii="仿宋_GB2312" w:hAnsi="仿宋_GB2312" w:cs="仿宋_GB2312" w:eastAsia="仿宋_GB2312"/>
          <w:sz w:val="24"/>
          <w:b/>
        </w:rPr>
        <w:t>12、专利权及知识产权</w:t>
      </w:r>
    </w:p>
    <w:p>
      <w:pPr>
        <w:pStyle w:val="null3"/>
        <w:ind w:firstLine="480"/>
        <w:jc w:val="left"/>
      </w:pPr>
      <w:r>
        <w:rPr>
          <w:rFonts w:ascii="仿宋_GB2312" w:hAnsi="仿宋_GB2312" w:cs="仿宋_GB2312" w:eastAsia="仿宋_GB2312"/>
          <w:sz w:val="24"/>
          <w:shd w:fill="FFFFFF" w:val="clear"/>
        </w:rPr>
        <w:t>12.1中标人提供的货物应符合国家知识产权法律、法规的规定且非假冒伪劣品；中标人还应保证采购人不受到第三方关于侵犯知识产权及专利权、商标权或工业设计权等知识产权方面的指控，若任何第三方提出此方面指控均与采购人无关，中标人应与第三方交涉，并承担可能发生的一切法律责任、费用和后果；若采购人因此而遭致损失，则中标人应赔偿该损失。</w:t>
      </w:r>
    </w:p>
    <w:p>
      <w:pPr>
        <w:pStyle w:val="null3"/>
        <w:ind w:firstLine="480"/>
        <w:jc w:val="left"/>
      </w:pPr>
      <w:r>
        <w:rPr>
          <w:rFonts w:ascii="仿宋_GB2312" w:hAnsi="仿宋_GB2312" w:cs="仿宋_GB2312" w:eastAsia="仿宋_GB2312"/>
          <w:sz w:val="24"/>
          <w:shd w:fill="FFFFFF" w:val="clear"/>
        </w:rPr>
        <w:t>12.2若中标人提供的货物不符合国家知识产权法律、法规的规定或被有关主管机关认定为假冒伪劣品的，采购人有权单方面解除与中标人签订的合同并</w:t>
      </w:r>
      <w:r>
        <w:rPr>
          <w:rFonts w:ascii="仿宋_GB2312" w:hAnsi="仿宋_GB2312" w:cs="仿宋_GB2312" w:eastAsia="仿宋_GB2312"/>
          <w:sz w:val="24"/>
        </w:rPr>
        <w:t>不予退还</w:t>
      </w:r>
      <w:r>
        <w:rPr>
          <w:rFonts w:ascii="仿宋_GB2312" w:hAnsi="仿宋_GB2312" w:cs="仿宋_GB2312" w:eastAsia="仿宋_GB2312"/>
          <w:sz w:val="24"/>
          <w:shd w:fill="FFFFFF" w:val="clear"/>
        </w:rPr>
        <w:t>履约保证金，同时采购人还将按照有关法律、法规和规章的规定进行处理。</w:t>
      </w:r>
    </w:p>
    <w:p>
      <w:pPr>
        <w:pStyle w:val="null3"/>
        <w:jc w:val="left"/>
      </w:pPr>
      <w:r>
        <w:rPr>
          <w:rFonts w:ascii="仿宋_GB2312" w:hAnsi="仿宋_GB2312" w:cs="仿宋_GB2312" w:eastAsia="仿宋_GB2312"/>
          <w:sz w:val="24"/>
          <w:shd w:fill="FFFFFF" w:val="clear"/>
        </w:rPr>
        <w:t>★</w:t>
      </w:r>
      <w:r>
        <w:rPr>
          <w:rFonts w:ascii="仿宋_GB2312" w:hAnsi="仿宋_GB2312" w:cs="仿宋_GB2312" w:eastAsia="仿宋_GB2312"/>
          <w:sz w:val="24"/>
          <w:b/>
        </w:rPr>
        <w:t>13、保密条款</w:t>
      </w:r>
    </w:p>
    <w:p>
      <w:pPr>
        <w:pStyle w:val="null3"/>
        <w:ind w:firstLine="480"/>
        <w:jc w:val="both"/>
      </w:pPr>
      <w:r>
        <w:rPr>
          <w:rFonts w:ascii="仿宋_GB2312" w:hAnsi="仿宋_GB2312" w:cs="仿宋_GB2312" w:eastAsia="仿宋_GB2312"/>
          <w:sz w:val="24"/>
        </w:rPr>
        <w:t>中标人须认真遵守国家保密法律、法规和采购人相关规章制度，履行保密义务，中标人应当对本项目的内容、因履行本项目合同或在本项目合同期间知悉的或收到的采购人的财务、技术、产品信息、民警资料或其他工作上的文件资料、工作内容等予以保密，不得向本项目以外的任何第三方披露，中标人须签订并严格执行《单位保密承诺书》；采购人根据中标人存在的前述违约行为（包括故意或过失）或因前述违约行为（包括故意或过失）造成采购人相关后果等实际情况，除了有权要求中标人承担相应法律责任外，还有权要求中标人偿付合同货款</w:t>
      </w:r>
      <w:r>
        <w:rPr>
          <w:rFonts w:ascii="仿宋_GB2312" w:hAnsi="仿宋_GB2312" w:cs="仿宋_GB2312" w:eastAsia="仿宋_GB2312"/>
          <w:sz w:val="24"/>
        </w:rPr>
        <w:t>10%的违约金；造成采购人损失的，中标人还应予以赔偿。中标人须严格履行保密义务并签订《个人保密承诺书》，严格履行保密义务。中标人的工作人员违反本条约定泄露采购人的涉密信息的，应承担相应的法律责任，并有权要求其支付10000元的违约金，造成采购人损失的，还应予以赔偿。本条款不因合同届满或解除而失效。（附《单位保密承诺书》及《个人保密承诺书》）。</w:t>
      </w:r>
    </w:p>
    <w:p>
      <w:pPr>
        <w:pStyle w:val="null3"/>
        <w:jc w:val="left"/>
      </w:pPr>
      <w:r>
        <w:rPr>
          <w:rFonts w:ascii="仿宋_GB2312" w:hAnsi="仿宋_GB2312" w:cs="仿宋_GB2312" w:eastAsia="仿宋_GB2312"/>
          <w:sz w:val="24"/>
          <w:shd w:fill="FFFFFF" w:val="clear"/>
        </w:rPr>
        <w:t>★</w:t>
      </w:r>
      <w:r>
        <w:rPr>
          <w:rFonts w:ascii="仿宋_GB2312" w:hAnsi="仿宋_GB2312" w:cs="仿宋_GB2312" w:eastAsia="仿宋_GB2312"/>
          <w:sz w:val="24"/>
          <w:b/>
        </w:rPr>
        <w:t>14、廉政条款</w:t>
      </w:r>
    </w:p>
    <w:p>
      <w:pPr>
        <w:pStyle w:val="null3"/>
        <w:ind w:firstLine="480"/>
        <w:jc w:val="left"/>
      </w:pPr>
      <w:r>
        <w:rPr>
          <w:rFonts w:ascii="仿宋_GB2312" w:hAnsi="仿宋_GB2312" w:cs="仿宋_GB2312" w:eastAsia="仿宋_GB2312"/>
          <w:sz w:val="24"/>
        </w:rPr>
        <w:t>中标人及其工作人员不得有以任何形式行贿采购人工作人员的行为，若发现并被核查属实的，采购人有权解除合同且不退还履约保证金，情节严重的，中标人及其工作人员还要承担相应的法律责任；采购人及其工作人员不得索要或接受中标人的礼金及吃请等，如有违反廉政纪律等行为的，依据有关规定给予党纪、政纪或组织处理，情节严重的，还应承担相应的法律责任。</w:t>
      </w:r>
    </w:p>
    <w:p>
      <w:pPr>
        <w:pStyle w:val="null3"/>
        <w:jc w:val="left"/>
      </w:pPr>
      <w:r>
        <w:rPr>
          <w:rFonts w:ascii="仿宋_GB2312" w:hAnsi="仿宋_GB2312" w:cs="仿宋_GB2312" w:eastAsia="仿宋_GB2312"/>
          <w:sz w:val="24"/>
          <w:shd w:fill="FFFFFF" w:val="clear"/>
        </w:rPr>
        <w:t>★</w:t>
      </w:r>
      <w:r>
        <w:rPr>
          <w:rFonts w:ascii="仿宋_GB2312" w:hAnsi="仿宋_GB2312" w:cs="仿宋_GB2312" w:eastAsia="仿宋_GB2312"/>
          <w:sz w:val="24"/>
          <w:b/>
        </w:rPr>
        <w:t>15、合同纠纷处理方式</w:t>
      </w:r>
    </w:p>
    <w:p>
      <w:pPr>
        <w:pStyle w:val="null3"/>
        <w:ind w:firstLine="480"/>
        <w:jc w:val="left"/>
      </w:pPr>
      <w:r>
        <w:rPr>
          <w:rFonts w:ascii="仿宋_GB2312" w:hAnsi="仿宋_GB2312" w:cs="仿宋_GB2312" w:eastAsia="仿宋_GB2312"/>
          <w:sz w:val="24"/>
        </w:rPr>
        <w:t>15.1合同争议处理方式</w:t>
      </w:r>
    </w:p>
    <w:p>
      <w:pPr>
        <w:pStyle w:val="null3"/>
        <w:ind w:firstLine="480"/>
        <w:jc w:val="left"/>
      </w:pPr>
      <w:r>
        <w:rPr>
          <w:rFonts w:ascii="仿宋_GB2312" w:hAnsi="仿宋_GB2312" w:cs="仿宋_GB2312" w:eastAsia="仿宋_GB2312"/>
          <w:sz w:val="24"/>
        </w:rPr>
        <w:t>合同在履行过程中发生的争议，由双方当事人协商解决；协商不成的，应将争议提交龙岩仲裁委员会解决。</w:t>
      </w:r>
    </w:p>
    <w:p>
      <w:pPr>
        <w:pStyle w:val="null3"/>
        <w:ind w:firstLine="480"/>
        <w:jc w:val="left"/>
      </w:pPr>
      <w:r>
        <w:rPr>
          <w:rFonts w:ascii="仿宋_GB2312" w:hAnsi="仿宋_GB2312" w:cs="仿宋_GB2312" w:eastAsia="仿宋_GB2312"/>
          <w:sz w:val="24"/>
        </w:rPr>
        <w:t>15.2合同补充和修改</w:t>
      </w:r>
    </w:p>
    <w:p>
      <w:pPr>
        <w:pStyle w:val="null3"/>
        <w:ind w:firstLine="480"/>
        <w:jc w:val="left"/>
      </w:pPr>
      <w:r>
        <w:rPr>
          <w:rFonts w:ascii="仿宋_GB2312" w:hAnsi="仿宋_GB2312" w:cs="仿宋_GB2312" w:eastAsia="仿宋_GB2312"/>
          <w:sz w:val="24"/>
        </w:rPr>
        <w:t>本</w:t>
      </w:r>
      <w:r>
        <w:rPr>
          <w:rFonts w:ascii="仿宋_GB2312" w:hAnsi="仿宋_GB2312" w:cs="仿宋_GB2312" w:eastAsia="仿宋_GB2312"/>
          <w:sz w:val="24"/>
        </w:rPr>
        <w:t>项目</w:t>
      </w:r>
      <w:r>
        <w:rPr>
          <w:rFonts w:ascii="仿宋_GB2312" w:hAnsi="仿宋_GB2312" w:cs="仿宋_GB2312" w:eastAsia="仿宋_GB2312"/>
          <w:sz w:val="24"/>
        </w:rPr>
        <w:t>合同生效后，双方对合同内容的变更或补充应采取书面形式，并经双方签字并盖章确认。</w:t>
      </w:r>
    </w:p>
    <w:p>
      <w:pPr>
        <w:pStyle w:val="null3"/>
      </w:pPr>
      <w:r>
        <w:rPr>
          <w:rFonts w:ascii="仿宋_GB2312" w:hAnsi="仿宋_GB2312" w:cs="仿宋_GB2312" w:eastAsia="仿宋_GB2312"/>
          <w:sz w:val="24"/>
        </w:rPr>
        <w:t>★</w:t>
      </w:r>
      <w:r>
        <w:rPr>
          <w:rFonts w:ascii="仿宋_GB2312" w:hAnsi="仿宋_GB2312" w:cs="仿宋_GB2312" w:eastAsia="仿宋_GB2312"/>
          <w:sz w:val="24"/>
          <w:b/>
        </w:rPr>
        <w:t>16、诉讼相关费用承担</w:t>
      </w:r>
    </w:p>
    <w:p>
      <w:pPr>
        <w:pStyle w:val="null3"/>
        <w:ind w:firstLine="480"/>
      </w:pPr>
      <w:r>
        <w:rPr>
          <w:rFonts w:ascii="仿宋_GB2312" w:hAnsi="仿宋_GB2312" w:cs="仿宋_GB2312" w:eastAsia="仿宋_GB2312"/>
          <w:sz w:val="24"/>
        </w:rPr>
        <w:t>若因中标人未履行本</w:t>
      </w:r>
      <w:r>
        <w:rPr>
          <w:rFonts w:ascii="仿宋_GB2312" w:hAnsi="仿宋_GB2312" w:cs="仿宋_GB2312" w:eastAsia="仿宋_GB2312"/>
          <w:sz w:val="24"/>
        </w:rPr>
        <w:t>项目</w:t>
      </w:r>
      <w:r>
        <w:rPr>
          <w:rFonts w:ascii="仿宋_GB2312" w:hAnsi="仿宋_GB2312" w:cs="仿宋_GB2312" w:eastAsia="仿宋_GB2312"/>
          <w:sz w:val="24"/>
        </w:rPr>
        <w:t>合同项下义务导致采购人所产生的一切损失（包括但不限于人身财产的损失、律师费、诉讼费、保全费、鉴定费等），均由中标人承担赔偿责任。</w:t>
      </w:r>
    </w:p>
    <w:p>
      <w:pPr>
        <w:pStyle w:val="null3"/>
      </w:pPr>
      <w:r>
        <w:rPr>
          <w:rFonts w:ascii="仿宋_GB2312" w:hAnsi="仿宋_GB2312" w:cs="仿宋_GB2312" w:eastAsia="仿宋_GB2312"/>
          <w:sz w:val="24"/>
          <w:b/>
        </w:rPr>
        <w:t>★17、其他要求</w:t>
      </w:r>
    </w:p>
    <w:p>
      <w:pPr>
        <w:pStyle w:val="null3"/>
        <w:ind w:firstLine="480"/>
      </w:pPr>
      <w:r>
        <w:rPr>
          <w:rFonts w:ascii="仿宋_GB2312" w:hAnsi="仿宋_GB2312" w:cs="仿宋_GB2312" w:eastAsia="仿宋_GB2312"/>
          <w:sz w:val="24"/>
        </w:rPr>
        <w:t>17.1各投标人必须对投标文件中提供各种资料、说明、声明的真实性负责。中标人若提供虚假资料，一经发现将没收其保证金，并根据本文件和相关法律法规追究其相关责任，其中：虚假资料若在评标过程中发现，将视为无效投标；若在评标定标后发现，还将取消其中标资格（采购人保留定标后对中标人投标文件中的承诺内容和证明材料进行核查的权利，中标人应无条件配合采购人的核查工作，不得托词拒绝核查或隐瞒真实情况）；若在签订合同时发现，采购人还将取消其合同签订，给采购人造成损失的，需另行赔偿并负相关责任。</w:t>
      </w:r>
    </w:p>
    <w:p>
      <w:pPr>
        <w:pStyle w:val="null3"/>
        <w:ind w:firstLine="480"/>
      </w:pPr>
      <w:r>
        <w:rPr>
          <w:rFonts w:ascii="仿宋_GB2312" w:hAnsi="仿宋_GB2312" w:cs="仿宋_GB2312" w:eastAsia="仿宋_GB2312"/>
          <w:sz w:val="24"/>
        </w:rPr>
        <w:t>17.2若遇国家政策调整及采购人上级管理机关通知要求变更或终止采购合同等特殊情况的，采购人有权变更或终止合同，并无需承担任何赔偿或补偿等责任。</w:t>
      </w:r>
    </w:p>
    <w:p>
      <w:pPr>
        <w:pStyle w:val="null3"/>
        <w:jc w:val="both"/>
      </w:pPr>
      <w:r>
        <w:rPr>
          <w:rFonts w:ascii="仿宋_GB2312" w:hAnsi="仿宋_GB2312" w:cs="仿宋_GB2312" w:eastAsia="仿宋_GB2312"/>
          <w:sz w:val="24"/>
        </w:rPr>
        <w:t>17.3投标人应根据招标文件要求提供自己产品的响应，并在投标文件中列出全部技术和服务要求、商务条件相对于本招标文件对各种技术服务及商务规定的偏离表；投标人应如实填写偏离情况，如果投标人的投标文件已出现不符合招标要求却在偏离情况中作“满足”、“无偏离”、“正偏离”等满足招标要求的承诺时，经评委认定后，作虚假承诺无效投标处理。</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2.1本项目不允许中标人以任何名义和理由在中标 后将中标项目的主体、非主体、关键性工作、非关键性工作进行转包、分包，在履行合同过程中如有发现，采购人有权单方终止合同，视为中标人违约，中标人违约对采购人造成的损失的，需另行支付相应的赔偿，并追究相关法律责任。 2.2本招标文件未明确的其它约定事项或条款，待采购人与中标人签订合同时，由双方协商订立。 2.3福建省政府采购网上电子合同与本纸质合同不一致的，以纸质合同为准。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[350001]ZXFZ[GK]2025018</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福建省龙岩监狱监内食堂蔬菜配送服务采购项目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1(福建省龙岩监狱监内食堂蔬菜配送服务采购项目)</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福建省龙岩监狱监内食堂蔬菜配送服务采购项目</w:t>
            </w:r>
          </w:p>
        </w:tc>
        <w:tc>
          <w:tcPr>
            <w:tcW w:type="dxa" w:w="1661"/>
          </w:tcPr>
          <w:p>
            <w:pPr>
              <w:pStyle w:val="null3"/>
              <w:jc w:val="left"/>
            </w:pPr>
            <w:r>
              <w:rPr>
                <w:rFonts w:ascii="仿宋_GB2312" w:hAnsi="仿宋_GB2312" w:cs="仿宋_GB2312" w:eastAsia="仿宋_GB2312"/>
              </w:rPr>
              <w:t xml:space="preserve"> 3200000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[350001]ZXFZ[GK]2025018</w:t>
      </w:r>
    </w:p>
    <w:p>
      <w:pPr>
        <w:pStyle w:val="null3"/>
        <w:jc w:val="left"/>
      </w:pPr>
      <w:r>
        <w:rPr>
          <w:rFonts w:ascii="仿宋_GB2312" w:hAnsi="仿宋_GB2312" w:cs="仿宋_GB2312" w:eastAsia="仿宋_GB2312"/>
        </w:rPr>
        <w:t>项目名称：</w:t>
      </w:r>
      <w:r>
        <w:rPr>
          <w:rFonts w:ascii="仿宋_GB2312" w:hAnsi="仿宋_GB2312" w:cs="仿宋_GB2312" w:eastAsia="仿宋_GB2312"/>
        </w:rPr>
        <w:t>福建省龙岩监狱监内食堂蔬菜配送服务采购项目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福建省龙岩监狱监内食堂蔬菜配送服务采购项目</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福建省龙岩监狱监内食堂蔬菜配送服务采购项目</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福建省龙岩监狱监内食堂蔬菜配送服务采购项目</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3200000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年</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