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宋体"/>
          <w:b/>
          <w:bCs/>
          <w:color w:val="000000"/>
          <w:sz w:val="44"/>
          <w:szCs w:val="44"/>
          <w:lang w:eastAsia="zh-CN"/>
        </w:rPr>
      </w:pPr>
      <w:r>
        <w:rPr>
          <w:rFonts w:hint="eastAsia" w:ascii="ËÎÌå" w:hAnsi="ËÎÌå"/>
          <w:b/>
          <w:bCs/>
          <w:color w:val="000000"/>
          <w:sz w:val="44"/>
          <w:szCs w:val="44"/>
          <w:lang w:eastAsia="zh-CN"/>
        </w:rPr>
        <w:t>罪犯曾明源</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(2023)龙监减字第630号</w:t>
      </w:r>
    </w:p>
    <w:p>
      <w:pPr>
        <w:spacing w:line="520" w:lineRule="exact"/>
        <w:ind w:firstLine="640" w:firstLineChars="200"/>
        <w:jc w:val="left"/>
        <w:rPr>
          <w:rFonts w:ascii="·ÂËÎ_GB2312" w:hAnsi="·ÂËÎ_GB2312"/>
          <w:color w:val="000000"/>
          <w:sz w:val="32"/>
          <w:szCs w:val="32"/>
        </w:rPr>
      </w:pPr>
      <w:r>
        <w:rPr>
          <w:rFonts w:ascii="·ÂËÎ_GB2312" w:hAnsi="·ÂËÎ_GB2312"/>
          <w:color w:val="000000"/>
          <w:sz w:val="32"/>
          <w:szCs w:val="32"/>
        </w:rPr>
        <w:t>罪犯曾明源，男，汉族，1999年3月24日出生，户籍地福建省平和县，初中文化，捕前系无固定职业。</w:t>
      </w:r>
    </w:p>
    <w:p>
      <w:pPr>
        <w:spacing w:line="520" w:lineRule="exact"/>
        <w:jc w:val="left"/>
        <w:rPr>
          <w:rFonts w:ascii="·ÂËÎ_GB2312" w:hAnsi="·ÂËÎ_GB2312"/>
          <w:color w:val="000000"/>
          <w:sz w:val="32"/>
          <w:szCs w:val="32"/>
        </w:rPr>
      </w:pPr>
      <w:r>
        <w:rPr>
          <w:rFonts w:ascii="·ÂËÎ_GB2312" w:hAnsi="·ÂËÎ_GB2312"/>
          <w:color w:val="000000"/>
          <w:sz w:val="32"/>
          <w:szCs w:val="32"/>
        </w:rPr>
        <w:t xml:space="preserve">    福建省平和县人民法院于2020年1月9日作出(2019)闽0628刑初492号刑事判决，以被告人曾明源犯开设赌场罪，判处有期徒刑四年八个月，并处罚金人民币十五万元，继续追缴被告人曾明源违法所得人民币七十八万一千零五十一元五角（已由公安机关暂扣人民币四十一万，余款人民币三十七万一千零五十一元五角）。宣判后，被告人曾明源不服，提出上诉。福建省漳州市中级人民法院于2020年4月23日作出（2020）闽06刑终140号刑事判决，维持福建省平和县人民法院(2019)闽0628刑初492号刑事判决的第二项、第四项，即对被告人曾明源的定罪量刑及追缴被告人违法所得的判决。刑期自2019年8月30日至2024年4月11日止。判决生效后，于2020年7月20日送我狱服刑改造。因罪犯曾明源在服刑期间确有悔改表现，福建省龙岩市中级人民法院于2021年12月24日作出(2021)闽08刑更3683号刑事裁定，对其减去有期徒刑三个月。刑期执行至2024年1月11日。现属于宽管管理级罪犯。</w:t>
      </w:r>
    </w:p>
    <w:p>
      <w:pPr>
        <w:spacing w:line="520" w:lineRule="exact"/>
        <w:jc w:val="left"/>
        <w:rPr>
          <w:rFonts w:ascii="·ÂËÎ_GB2312" w:hAnsi="·ÂËÎ_GB2312"/>
          <w:color w:val="000000"/>
          <w:sz w:val="32"/>
          <w:szCs w:val="32"/>
        </w:rPr>
      </w:pPr>
      <w:r>
        <w:rPr>
          <w:rFonts w:ascii="·ÂËÎ_GB2312" w:hAnsi="·ÂËÎ_GB2312"/>
          <w:color w:val="000000"/>
          <w:sz w:val="32"/>
          <w:szCs w:val="32"/>
        </w:rPr>
        <w:t xml:space="preserve">    原判认定的主要犯罪事实如下：</w:t>
      </w:r>
    </w:p>
    <w:p>
      <w:pPr>
        <w:spacing w:line="520" w:lineRule="exact"/>
        <w:ind w:firstLine="640" w:firstLineChars="200"/>
        <w:jc w:val="left"/>
        <w:rPr>
          <w:rFonts w:ascii="·ÂËÎ_GB2312" w:hAnsi="·ÂËÎ_GB2312"/>
          <w:color w:val="000000"/>
          <w:sz w:val="32"/>
          <w:szCs w:val="32"/>
        </w:rPr>
      </w:pPr>
      <w:r>
        <w:rPr>
          <w:rFonts w:ascii="·ÂËÎ_GB2312" w:hAnsi="·ÂËÎ_GB2312"/>
          <w:color w:val="000000"/>
          <w:sz w:val="32"/>
          <w:szCs w:val="32"/>
        </w:rPr>
        <w:t>被告人曾明源伙同他人于2018年4月至同年9月，在诏安、平和等地利用网络开设赌场，其行为已构成开设赌场罪。该犯系主犯。</w:t>
      </w:r>
    </w:p>
    <w:p>
      <w:pPr>
        <w:spacing w:line="520" w:lineRule="exact"/>
        <w:ind w:firstLine="640" w:firstLineChars="200"/>
        <w:jc w:val="left"/>
        <w:rPr>
          <w:rFonts w:ascii="·ÂËÎ_GB2312" w:hAnsi="·ÂËÎ_GB2312"/>
          <w:color w:val="000000"/>
          <w:sz w:val="32"/>
          <w:szCs w:val="32"/>
        </w:rPr>
      </w:pPr>
      <w:r>
        <w:rPr>
          <w:rFonts w:ascii="·ÂËÎ_GB2312" w:hAnsi="·ÂËÎ_GB2312"/>
          <w:color w:val="000000"/>
          <w:sz w:val="32"/>
          <w:szCs w:val="32"/>
        </w:rPr>
        <w:t>罪犯曾明源在服刑期间，确有悔改表现。该犯上轮考核期剩余表扬分378.2分，本轮考核期2021年9月至2023年4月累计获得考核分2267.5分，合计获得考核分2645.7分，获得表扬四次。间隔期2022年1月至2023年4月，获得考核分1810.6分。考核期内违规1次，2022年9月29日违反岗位职责，履职不到位扣3分。</w:t>
      </w:r>
    </w:p>
    <w:p>
      <w:pPr>
        <w:spacing w:line="520" w:lineRule="exact"/>
        <w:jc w:val="left"/>
        <w:rPr>
          <w:rFonts w:ascii="·ÂËÎ_GB2312" w:hAnsi="·ÂËÎ_GB2312"/>
          <w:color w:val="000000"/>
          <w:sz w:val="32"/>
          <w:szCs w:val="32"/>
        </w:rPr>
      </w:pPr>
      <w:r>
        <w:rPr>
          <w:rFonts w:ascii="·ÂËÎ_GB2312" w:hAnsi="·ÂËÎ_GB2312"/>
          <w:color w:val="000000"/>
          <w:sz w:val="32"/>
          <w:szCs w:val="32"/>
        </w:rPr>
        <w:t xml:space="preserve">    原判财产性判项已履行人民币422000元，其中本次向法院缴纳人民币6000元。该犯考核期消费人民币4333.61元，月均消费人民币216.68元，帐户可用余额人民币1.95元。</w:t>
      </w:r>
    </w:p>
    <w:p>
      <w:pPr>
        <w:spacing w:line="520" w:lineRule="exac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w:t>
      </w:r>
    </w:p>
    <w:p>
      <w:pPr>
        <w:spacing w:line="520" w:lineRule="exact"/>
        <w:jc w:val="left"/>
        <w:rPr>
          <w:rFonts w:ascii="·ÂËÎ_GB2312" w:hAnsi="·ÂËÎ_GB2312"/>
          <w:color w:val="000000"/>
          <w:sz w:val="32"/>
          <w:szCs w:val="32"/>
        </w:rPr>
      </w:pPr>
      <w:r>
        <w:rPr>
          <w:rFonts w:ascii="·ÂËÎ_GB2312" w:hAnsi="·ÂËÎ_GB2312"/>
          <w:color w:val="000000"/>
          <w:sz w:val="32"/>
          <w:szCs w:val="32"/>
        </w:rPr>
        <w:t xml:space="preserve">    本案于2023年8月8日至2023年8月14日在狱内公示未收到不同意见。</w:t>
      </w:r>
    </w:p>
    <w:p>
      <w:pPr>
        <w:spacing w:line="520" w:lineRule="exact"/>
        <w:jc w:val="left"/>
        <w:rPr>
          <w:rFonts w:ascii="·ÂËÎ_GB2312" w:hAnsi="·ÂËÎ_GB2312"/>
          <w:color w:val="000000"/>
          <w:sz w:val="32"/>
          <w:szCs w:val="32"/>
        </w:rPr>
      </w:pPr>
      <w:r>
        <w:rPr>
          <w:rFonts w:ascii="·ÂËÎ_GB2312" w:hAnsi="·ÂËÎ_GB2312"/>
          <w:color w:val="000000"/>
          <w:sz w:val="32"/>
          <w:szCs w:val="32"/>
        </w:rPr>
        <w:t xml:space="preserve">    罪犯曾明源在服刑期间，确有悔改表现，依照《中华人民共和国刑法》第七十八条、第七十九条、《中华人民共和国刑事诉讼法》第二百七十三条第二款、《中华人民共和国监狱法》第二十九条之规定，建议对罪犯曾明源予以减去剩余刑期，特提请你院审理裁定。</w:t>
      </w:r>
    </w:p>
    <w:p>
      <w:pPr>
        <w:spacing w:line="520" w:lineRule="exact"/>
        <w:jc w:val="center"/>
        <w:rPr>
          <w:rFonts w:ascii="·ÂËÎ_GB2312" w:hAnsi="·ÂËÎ_GB2312"/>
          <w:color w:val="000000"/>
          <w:sz w:val="24"/>
          <w:szCs w:val="24"/>
        </w:rPr>
      </w:pPr>
    </w:p>
    <w:p>
      <w:pPr>
        <w:spacing w:line="520" w:lineRule="exact"/>
        <w:ind w:firstLine="560" w:firstLineChars="200"/>
        <w:jc w:val="left"/>
        <w:rPr>
          <w:rFonts w:ascii="·ÂËÎ_GB2312" w:hAnsi="·ÂËÎ_GB2312"/>
          <w:color w:val="000000"/>
          <w:sz w:val="28"/>
          <w:szCs w:val="28"/>
        </w:rPr>
      </w:pPr>
      <w:r>
        <w:rPr>
          <w:rFonts w:ascii="·ÂËÎ_GB2312" w:hAnsi="·ÂËÎ_GB2312"/>
          <w:color w:val="000000"/>
          <w:sz w:val="28"/>
          <w:szCs w:val="28"/>
        </w:rPr>
        <w:t>此致</w:t>
      </w:r>
    </w:p>
    <w:p>
      <w:pPr>
        <w:spacing w:line="520" w:lineRule="exact"/>
        <w:jc w:val="left"/>
        <w:rPr>
          <w:rFonts w:ascii="·ÂËÎ_GB2312" w:hAnsi="·ÂËÎ_GB2312"/>
          <w:color w:val="000000"/>
          <w:sz w:val="28"/>
          <w:szCs w:val="28"/>
        </w:rPr>
      </w:pPr>
      <w:r>
        <w:rPr>
          <w:rFonts w:ascii="·ÂËÎ_GB2312" w:hAnsi="·ÂËÎ_GB2312"/>
          <w:color w:val="000000"/>
          <w:sz w:val="28"/>
          <w:szCs w:val="28"/>
        </w:rPr>
        <w:t>龙岩市中级人民法院</w:t>
      </w:r>
    </w:p>
    <w:p>
      <w:pPr>
        <w:spacing w:line="520" w:lineRule="exac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520" w:lineRule="exac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二○二三年八月十六日</w:t>
      </w:r>
    </w:p>
    <w:p>
      <w:pPr>
        <w:jc w:val="left"/>
      </w:pPr>
      <w:bookmarkStart w:id="0" w:name="_GoBack"/>
      <w:bookmarkEnd w:id="0"/>
      <w:r>
        <w:rPr>
          <w:rFonts w:hint="eastAsia"/>
          <w:sz w:val="24"/>
          <w:szCs w:val="24"/>
        </w:rPr>
        <w:t xml:space="preserve"> </w:t>
      </w:r>
    </w:p>
    <w:p/>
    <w:sectPr>
      <w:pgSz w:w="11906" w:h="16838"/>
      <w:pgMar w:top="1871" w:right="1304" w:bottom="187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C0A6F"/>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A6F"/>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 w:val="7FE32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170</Words>
  <Characters>972</Characters>
  <Lines>8</Lines>
  <Paragraphs>2</Paragraphs>
  <TotalTime>3</TotalTime>
  <ScaleCrop>false</ScaleCrop>
  <LinksUpToDate>false</LinksUpToDate>
  <CharactersWithSpaces>1140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2023-08-15T23:56:00Z</dcterms:created>
  <dc:creator>Administrator</dc:creator>
  <cp:lastModifiedBy>Administrator</cp:lastModifiedBy>
  <dcterms:modified xsi:type="dcterms:W3CDTF">2023-08-16T08:45:03Z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