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方正小标宋简体" w:hAnsi="方正小标宋简体" w:eastAsia="方正小标宋简体" w:cs="方正小标宋简体"/>
          <w:color w:val="auto"/>
          <w:kern w:val="32"/>
          <w:sz w:val="44"/>
          <w:szCs w:val="44"/>
          <w:lang w:val="en-US" w:eastAsia="zh-CN"/>
        </w:rPr>
      </w:pPr>
      <w:r>
        <w:rPr>
          <w:rFonts w:hint="eastAsia" w:ascii="方正小标宋简体" w:hAnsi="方正小标宋简体" w:eastAsia="方正小标宋简体" w:cs="方正小标宋简体"/>
          <w:color w:val="auto"/>
          <w:kern w:val="32"/>
          <w:sz w:val="44"/>
          <w:szCs w:val="44"/>
          <w:lang w:val="en-US" w:eastAsia="zh-CN"/>
        </w:rPr>
        <w:t>罪犯陈旻武</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_GB2312" w:hAnsi="仿宋_GB2312" w:eastAsia="仿宋_GB2312" w:cs="仿宋_GB2312"/>
          <w:color w:val="auto"/>
          <w:kern w:val="32"/>
          <w:sz w:val="32"/>
          <w:szCs w:val="32"/>
          <w:lang w:val="en-US" w:eastAsia="zh-CN"/>
        </w:rPr>
      </w:pPr>
      <w:r>
        <w:rPr>
          <w:rFonts w:hint="eastAsia" w:ascii="方正小标宋简体" w:hAnsi="方正小标宋简体" w:eastAsia="方正小标宋简体" w:cs="方正小标宋简体"/>
          <w:color w:val="auto"/>
          <w:kern w:val="32"/>
          <w:sz w:val="44"/>
          <w:szCs w:val="44"/>
          <w:lang w:val="en-US" w:eastAsia="zh-CN"/>
        </w:rPr>
        <w:t>提 请 减 刑 建 议 书</w:t>
      </w:r>
    </w:p>
    <w:p>
      <w:pPr>
        <w:pStyle w:val="27"/>
        <w:keepNext w:val="0"/>
        <w:keepLines w:val="0"/>
        <w:pageBreakBefore w:val="0"/>
        <w:widowControl/>
        <w:tabs>
          <w:tab w:val="left" w:pos="4650"/>
        </w:tabs>
        <w:kinsoku/>
        <w:wordWrap/>
        <w:overflowPunct/>
        <w:topLinePunct w:val="0"/>
        <w:autoSpaceDE/>
        <w:autoSpaceDN/>
        <w:bidi w:val="0"/>
        <w:adjustRightInd/>
        <w:snapToGrid/>
        <w:spacing w:beforeAutospacing="0" w:afterAutospacing="0" w:line="600" w:lineRule="atLeast"/>
        <w:ind w:firstLine="640" w:firstLineChars="200"/>
        <w:jc w:val="right"/>
        <w:textAlignment w:val="auto"/>
        <w:outlineLvl w:val="9"/>
        <w:rPr>
          <w:rFonts w:hint="eastAsia" w:ascii="仿宋_GB2312" w:hAnsi="仿宋_GB2312" w:eastAsia="仿宋_GB2312" w:cs="仿宋_GB2312"/>
          <w:color w:val="auto"/>
          <w:kern w:val="32"/>
          <w:sz w:val="32"/>
          <w:szCs w:val="32"/>
          <w:lang w:val="en-US" w:eastAsia="zh-CN"/>
        </w:rPr>
      </w:pPr>
      <w:r>
        <w:rPr>
          <w:rFonts w:hint="eastAsia" w:ascii="仿宋_GB2312" w:hAnsi="仿宋_GB2312" w:eastAsia="仿宋_GB2312" w:cs="仿宋_GB2312"/>
          <w:color w:val="auto"/>
          <w:kern w:val="32"/>
          <w:sz w:val="32"/>
          <w:szCs w:val="32"/>
          <w:lang w:val="en-US" w:eastAsia="zh-CN"/>
        </w:rPr>
        <w:t>〔2026〕闽龙监减字第324号</w:t>
      </w:r>
    </w:p>
    <w:p>
      <w:pPr>
        <w:pStyle w:val="27"/>
        <w:keepNext w:val="0"/>
        <w:keepLines w:val="0"/>
        <w:pageBreakBefore w:val="0"/>
        <w:widowControl/>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lang w:eastAsia="zh-CN"/>
        </w:rPr>
      </w:pPr>
      <w:r>
        <w:rPr>
          <w:rFonts w:hint="eastAsia" w:ascii="仿宋_GB2312" w:hAnsi="仿宋_GB2312" w:eastAsia="仿宋_GB2312" w:cs="仿宋_GB2312"/>
          <w:color w:val="000000"/>
          <w:sz w:val="32"/>
          <w:szCs w:val="32"/>
          <w:shd w:val="clear" w:fill="FFFFFF"/>
        </w:rPr>
        <w:t>罪犯</w:t>
      </w:r>
      <w:r>
        <w:rPr>
          <w:rFonts w:hint="eastAsia" w:ascii="仿宋_GB2312" w:hAnsi="仿宋_GB2312" w:eastAsia="仿宋_GB2312" w:cs="仿宋_GB2312"/>
          <w:color w:val="000000"/>
          <w:sz w:val="32"/>
          <w:szCs w:val="32"/>
          <w:shd w:val="clear" w:fill="FFFFFF"/>
          <w:lang w:eastAsia="zh-CN"/>
        </w:rPr>
        <w:t>陈旻武</w:t>
      </w:r>
      <w:r>
        <w:rPr>
          <w:rFonts w:hint="eastAsia" w:ascii="仿宋_GB2312" w:hAnsi="仿宋_GB2312" w:eastAsia="仿宋_GB2312" w:cs="仿宋_GB2312"/>
          <w:color w:val="000000"/>
          <w:sz w:val="32"/>
          <w:szCs w:val="32"/>
          <w:shd w:val="clear" w:fill="FFFFFF"/>
        </w:rPr>
        <w:t>，男，19</w:t>
      </w:r>
      <w:r>
        <w:rPr>
          <w:rFonts w:hint="eastAsia" w:ascii="仿宋_GB2312" w:hAnsi="仿宋_GB2312" w:eastAsia="仿宋_GB2312" w:cs="仿宋_GB2312"/>
          <w:color w:val="000000"/>
          <w:sz w:val="32"/>
          <w:szCs w:val="32"/>
          <w:shd w:val="clear" w:fill="FFFFFF"/>
          <w:lang w:val="en-US" w:eastAsia="zh-CN"/>
        </w:rPr>
        <w:t>75</w:t>
      </w:r>
      <w:r>
        <w:rPr>
          <w:rFonts w:hint="eastAsia" w:ascii="仿宋_GB2312" w:hAnsi="仿宋_GB2312" w:eastAsia="仿宋_GB2312" w:cs="仿宋_GB2312"/>
          <w:color w:val="000000"/>
          <w:sz w:val="32"/>
          <w:szCs w:val="32"/>
          <w:shd w:val="clear" w:fill="FFFFFF"/>
        </w:rPr>
        <w:t>年</w:t>
      </w:r>
      <w:r>
        <w:rPr>
          <w:rFonts w:hint="eastAsia" w:ascii="仿宋_GB2312" w:hAnsi="仿宋_GB2312" w:eastAsia="仿宋_GB2312" w:cs="仿宋_GB2312"/>
          <w:color w:val="000000"/>
          <w:sz w:val="32"/>
          <w:szCs w:val="32"/>
          <w:shd w:val="clear" w:fill="FFFFFF"/>
          <w:lang w:val="en-US" w:eastAsia="zh-CN"/>
        </w:rPr>
        <w:t>6</w:t>
      </w:r>
      <w:r>
        <w:rPr>
          <w:rFonts w:hint="eastAsia" w:ascii="仿宋_GB2312" w:hAnsi="仿宋_GB2312" w:eastAsia="仿宋_GB2312" w:cs="仿宋_GB2312"/>
          <w:color w:val="000000"/>
          <w:sz w:val="32"/>
          <w:szCs w:val="32"/>
          <w:shd w:val="clear" w:fill="FFFFFF"/>
        </w:rPr>
        <w:t>月</w:t>
      </w:r>
      <w:r>
        <w:rPr>
          <w:rFonts w:hint="eastAsia" w:ascii="仿宋_GB2312" w:hAnsi="仿宋_GB2312" w:eastAsia="仿宋_GB2312" w:cs="仿宋_GB2312"/>
          <w:color w:val="000000"/>
          <w:sz w:val="32"/>
          <w:szCs w:val="32"/>
          <w:shd w:val="clear" w:fill="FFFFFF"/>
          <w:lang w:val="en-US" w:eastAsia="zh-CN"/>
        </w:rPr>
        <w:t>11</w:t>
      </w:r>
      <w:r>
        <w:rPr>
          <w:rFonts w:hint="eastAsia" w:ascii="仿宋_GB2312" w:hAnsi="仿宋_GB2312" w:eastAsia="仿宋_GB2312" w:cs="仿宋_GB2312"/>
          <w:color w:val="000000"/>
          <w:sz w:val="32"/>
          <w:szCs w:val="32"/>
          <w:shd w:val="clear" w:fill="FFFFFF"/>
        </w:rPr>
        <w:t>日出生，汉族，</w:t>
      </w:r>
      <w:r>
        <w:rPr>
          <w:rFonts w:hint="eastAsia" w:ascii="仿宋_GB2312" w:hAnsi="仿宋_GB2312" w:eastAsia="仿宋_GB2312" w:cs="仿宋_GB2312"/>
          <w:color w:val="000000"/>
          <w:sz w:val="32"/>
          <w:szCs w:val="32"/>
          <w:shd w:val="clear" w:fill="FFFFFF"/>
          <w:lang w:eastAsia="zh-CN"/>
        </w:rPr>
        <w:t>大专</w:t>
      </w:r>
      <w:r>
        <w:rPr>
          <w:rFonts w:hint="eastAsia" w:ascii="仿宋_GB2312" w:hAnsi="仿宋_GB2312" w:eastAsia="仿宋_GB2312" w:cs="仿宋_GB2312"/>
          <w:color w:val="000000"/>
          <w:sz w:val="32"/>
          <w:szCs w:val="32"/>
          <w:shd w:val="clear" w:fill="FFFFFF"/>
        </w:rPr>
        <w:t>文化，户籍所在地</w:t>
      </w:r>
      <w:r>
        <w:rPr>
          <w:rFonts w:hint="eastAsia" w:ascii="仿宋_GB2312" w:hAnsi="仿宋_GB2312" w:eastAsia="仿宋_GB2312" w:cs="仿宋_GB2312"/>
          <w:color w:val="000000"/>
          <w:sz w:val="32"/>
          <w:szCs w:val="32"/>
          <w:shd w:val="clear" w:fill="FFFFFF"/>
          <w:lang w:eastAsia="zh-CN"/>
        </w:rPr>
        <w:t>福建省连城县</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eastAsia="zh-CN"/>
        </w:rPr>
        <w:t>该犯系主犯。</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福建省</w:t>
      </w:r>
      <w:r>
        <w:rPr>
          <w:rFonts w:hint="eastAsia" w:ascii="仿宋_GB2312" w:hAnsi="仿宋_GB2312" w:eastAsia="仿宋_GB2312" w:cs="仿宋_GB2312"/>
          <w:color w:val="000000"/>
          <w:sz w:val="32"/>
          <w:szCs w:val="32"/>
          <w:shd w:val="clear" w:fill="FFFFFF"/>
          <w:lang w:eastAsia="zh-CN"/>
        </w:rPr>
        <w:t>漳州市</w:t>
      </w:r>
      <w:r>
        <w:rPr>
          <w:rFonts w:hint="eastAsia" w:ascii="仿宋_GB2312" w:hAnsi="仿宋_GB2312" w:eastAsia="仿宋_GB2312" w:cs="仿宋_GB2312"/>
          <w:color w:val="000000"/>
          <w:sz w:val="32"/>
          <w:szCs w:val="32"/>
          <w:shd w:val="clear" w:fill="FFFFFF"/>
        </w:rPr>
        <w:t>中级人民法院于20</w:t>
      </w:r>
      <w:r>
        <w:rPr>
          <w:rFonts w:hint="eastAsia" w:ascii="仿宋_GB2312" w:hAnsi="仿宋_GB2312" w:eastAsia="仿宋_GB2312" w:cs="仿宋_GB2312"/>
          <w:color w:val="000000"/>
          <w:sz w:val="32"/>
          <w:szCs w:val="32"/>
          <w:shd w:val="clear" w:fill="FFFFFF"/>
          <w:lang w:val="en-US" w:eastAsia="zh-CN"/>
        </w:rPr>
        <w:t>22</w:t>
      </w:r>
      <w:r>
        <w:rPr>
          <w:rFonts w:hint="eastAsia" w:ascii="仿宋_GB2312" w:hAnsi="仿宋_GB2312" w:eastAsia="仿宋_GB2312" w:cs="仿宋_GB2312"/>
          <w:color w:val="000000"/>
          <w:sz w:val="32"/>
          <w:szCs w:val="32"/>
          <w:shd w:val="clear" w:fill="FFFFFF"/>
        </w:rPr>
        <w:t>年</w:t>
      </w:r>
      <w:r>
        <w:rPr>
          <w:rFonts w:hint="eastAsia" w:ascii="仿宋_GB2312" w:hAnsi="仿宋_GB2312" w:eastAsia="仿宋_GB2312" w:cs="仿宋_GB2312"/>
          <w:color w:val="000000"/>
          <w:sz w:val="32"/>
          <w:szCs w:val="32"/>
          <w:shd w:val="clear" w:fill="FFFFFF"/>
          <w:lang w:val="en-US" w:eastAsia="zh-CN"/>
        </w:rPr>
        <w:t>8</w:t>
      </w:r>
      <w:r>
        <w:rPr>
          <w:rFonts w:hint="eastAsia" w:ascii="仿宋_GB2312" w:hAnsi="仿宋_GB2312" w:eastAsia="仿宋_GB2312" w:cs="仿宋_GB2312"/>
          <w:color w:val="000000"/>
          <w:sz w:val="32"/>
          <w:szCs w:val="32"/>
          <w:shd w:val="clear" w:fill="FFFFFF"/>
        </w:rPr>
        <w:t>月</w:t>
      </w:r>
      <w:r>
        <w:rPr>
          <w:rFonts w:hint="eastAsia" w:ascii="仿宋_GB2312" w:hAnsi="仿宋_GB2312" w:eastAsia="仿宋_GB2312" w:cs="仿宋_GB2312"/>
          <w:color w:val="000000"/>
          <w:sz w:val="32"/>
          <w:szCs w:val="32"/>
          <w:shd w:val="clear" w:fill="FFFFFF"/>
          <w:lang w:val="en-US" w:eastAsia="zh-CN"/>
        </w:rPr>
        <w:t>26</w:t>
      </w:r>
      <w:r>
        <w:rPr>
          <w:rFonts w:hint="eastAsia" w:ascii="仿宋_GB2312" w:hAnsi="仿宋_GB2312" w:eastAsia="仿宋_GB2312" w:cs="仿宋_GB2312"/>
          <w:color w:val="000000"/>
          <w:sz w:val="32"/>
          <w:szCs w:val="32"/>
          <w:shd w:val="clear" w:fill="FFFFFF"/>
        </w:rPr>
        <w:t>日作出(20</w:t>
      </w:r>
      <w:r>
        <w:rPr>
          <w:rFonts w:hint="eastAsia" w:ascii="仿宋_GB2312" w:hAnsi="仿宋_GB2312" w:eastAsia="仿宋_GB2312" w:cs="仿宋_GB2312"/>
          <w:color w:val="000000"/>
          <w:sz w:val="32"/>
          <w:szCs w:val="32"/>
          <w:shd w:val="clear" w:fill="FFFFFF"/>
          <w:lang w:val="en-US" w:eastAsia="zh-CN"/>
        </w:rPr>
        <w:t>21</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eastAsia="zh-CN"/>
        </w:rPr>
        <w:t>闽</w:t>
      </w:r>
      <w:r>
        <w:rPr>
          <w:rFonts w:hint="eastAsia" w:ascii="仿宋_GB2312" w:hAnsi="仿宋_GB2312" w:eastAsia="仿宋_GB2312" w:cs="仿宋_GB2312"/>
          <w:color w:val="000000"/>
          <w:sz w:val="32"/>
          <w:szCs w:val="32"/>
          <w:shd w:val="clear" w:fill="FFFFFF"/>
          <w:lang w:val="en-US" w:eastAsia="zh-CN"/>
        </w:rPr>
        <w:t>06刑初15号刑事</w:t>
      </w:r>
      <w:r>
        <w:rPr>
          <w:rFonts w:hint="eastAsia" w:ascii="仿宋_GB2312" w:hAnsi="仿宋_GB2312" w:eastAsia="仿宋_GB2312" w:cs="仿宋_GB2312"/>
          <w:color w:val="000000"/>
          <w:sz w:val="32"/>
          <w:szCs w:val="32"/>
          <w:shd w:val="clear" w:fill="FFFFFF"/>
        </w:rPr>
        <w:t>判决，以被告人</w:t>
      </w:r>
      <w:r>
        <w:rPr>
          <w:rFonts w:hint="eastAsia" w:ascii="仿宋_GB2312" w:hAnsi="仿宋_GB2312" w:eastAsia="仿宋_GB2312" w:cs="仿宋_GB2312"/>
          <w:color w:val="000000"/>
          <w:sz w:val="32"/>
          <w:szCs w:val="32"/>
          <w:shd w:val="clear" w:fill="FFFFFF"/>
          <w:lang w:eastAsia="zh-CN"/>
        </w:rPr>
        <w:t>陈旻武</w:t>
      </w:r>
      <w:r>
        <w:rPr>
          <w:rFonts w:hint="eastAsia" w:ascii="仿宋_GB2312" w:hAnsi="仿宋_GB2312" w:eastAsia="仿宋_GB2312" w:cs="仿宋_GB2312"/>
          <w:color w:val="000000"/>
          <w:sz w:val="32"/>
          <w:szCs w:val="32"/>
          <w:shd w:val="clear" w:fill="FFFFFF"/>
        </w:rPr>
        <w:t>犯</w:t>
      </w:r>
      <w:r>
        <w:rPr>
          <w:rFonts w:hint="eastAsia" w:ascii="仿宋_GB2312" w:hAnsi="仿宋_GB2312" w:eastAsia="仿宋_GB2312" w:cs="仿宋_GB2312"/>
          <w:color w:val="000000"/>
          <w:sz w:val="32"/>
          <w:szCs w:val="32"/>
          <w:shd w:val="clear" w:fill="FFFFFF"/>
          <w:lang w:eastAsia="zh-CN"/>
        </w:rPr>
        <w:t>走私普通货物</w:t>
      </w:r>
      <w:r>
        <w:rPr>
          <w:rFonts w:hint="eastAsia" w:ascii="仿宋_GB2312" w:hAnsi="仿宋_GB2312" w:eastAsia="仿宋_GB2312" w:cs="仿宋_GB2312"/>
          <w:color w:val="000000"/>
          <w:sz w:val="32"/>
          <w:szCs w:val="32"/>
          <w:shd w:val="clear" w:fill="FFFFFF"/>
        </w:rPr>
        <w:t>罪，判处</w:t>
      </w:r>
      <w:r>
        <w:rPr>
          <w:rFonts w:hint="eastAsia" w:ascii="仿宋_GB2312" w:hAnsi="仿宋_GB2312" w:eastAsia="仿宋_GB2312" w:cs="仿宋_GB2312"/>
          <w:color w:val="000000"/>
          <w:sz w:val="32"/>
          <w:szCs w:val="32"/>
          <w:shd w:val="clear" w:fill="FFFFFF"/>
          <w:lang w:eastAsia="zh-CN"/>
        </w:rPr>
        <w:t>有期</w:t>
      </w:r>
      <w:r>
        <w:rPr>
          <w:rFonts w:hint="eastAsia" w:ascii="仿宋_GB2312" w:hAnsi="仿宋_GB2312" w:eastAsia="仿宋_GB2312" w:cs="仿宋_GB2312"/>
          <w:color w:val="000000"/>
          <w:sz w:val="32"/>
          <w:szCs w:val="32"/>
          <w:shd w:val="clear" w:fill="FFFFFF"/>
        </w:rPr>
        <w:t>徒刑</w:t>
      </w:r>
      <w:r>
        <w:rPr>
          <w:rFonts w:hint="eastAsia" w:ascii="仿宋_GB2312" w:hAnsi="仿宋_GB2312" w:eastAsia="仿宋_GB2312" w:cs="仿宋_GB2312"/>
          <w:color w:val="000000"/>
          <w:sz w:val="32"/>
          <w:szCs w:val="32"/>
          <w:shd w:val="clear" w:fill="FFFFFF"/>
          <w:lang w:eastAsia="zh-CN"/>
        </w:rPr>
        <w:t>十年</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eastAsia="zh-CN"/>
        </w:rPr>
        <w:t>并处罚金人民币二百万元，追缴各被告人的违法所得款项：（</w:t>
      </w:r>
      <w:r>
        <w:rPr>
          <w:rFonts w:hint="eastAsia" w:ascii="仿宋_GB2312" w:hAnsi="仿宋_GB2312" w:eastAsia="仿宋_GB2312" w:cs="仿宋_GB2312"/>
          <w:color w:val="000000"/>
          <w:sz w:val="32"/>
          <w:szCs w:val="32"/>
          <w:shd w:val="clear" w:fill="FFFFFF"/>
          <w:lang w:val="en-US" w:eastAsia="zh-CN"/>
        </w:rPr>
        <w:t>1</w:t>
      </w:r>
      <w:r>
        <w:rPr>
          <w:rFonts w:hint="eastAsia" w:ascii="仿宋_GB2312" w:hAnsi="仿宋_GB2312" w:eastAsia="仿宋_GB2312" w:cs="仿宋_GB2312"/>
          <w:color w:val="000000"/>
          <w:sz w:val="32"/>
          <w:szCs w:val="32"/>
          <w:shd w:val="clear" w:fill="FFFFFF"/>
          <w:lang w:eastAsia="zh-CN"/>
        </w:rPr>
        <w:t>）走私松脂部分，追缴陈旻昆、陈旻武、肖永福的违法所得数额人民币四百三十六万三千二百八十一元；（</w:t>
      </w:r>
      <w:r>
        <w:rPr>
          <w:rFonts w:hint="eastAsia" w:ascii="仿宋_GB2312" w:hAnsi="仿宋_GB2312" w:eastAsia="仿宋_GB2312" w:cs="仿宋_GB2312"/>
          <w:color w:val="000000"/>
          <w:sz w:val="32"/>
          <w:szCs w:val="32"/>
          <w:shd w:val="clear" w:fill="FFFFFF"/>
          <w:lang w:val="en-US" w:eastAsia="zh-CN"/>
        </w:rPr>
        <w:t>2</w:t>
      </w:r>
      <w:r>
        <w:rPr>
          <w:rFonts w:hint="eastAsia" w:ascii="仿宋_GB2312" w:hAnsi="仿宋_GB2312" w:eastAsia="仿宋_GB2312" w:cs="仿宋_GB2312"/>
          <w:color w:val="000000"/>
          <w:sz w:val="32"/>
          <w:szCs w:val="32"/>
          <w:shd w:val="clear" w:fill="FFFFFF"/>
          <w:lang w:eastAsia="zh-CN"/>
        </w:rPr>
        <w:t>）走私茯苓部分，追缴陈旻昆、陈旻武、徐红亮的违法所得数额人民币四百五十九万零七百七十元，其中，向其追缴违法所得数额人民币八十三万三千八百一十元</w:t>
      </w:r>
      <w:r>
        <w:rPr>
          <w:rFonts w:hint="eastAsia" w:ascii="仿宋_GB2312" w:hAnsi="仿宋_GB2312" w:eastAsia="仿宋_GB2312" w:cs="仿宋_GB2312"/>
          <w:color w:val="000000"/>
          <w:sz w:val="32"/>
          <w:szCs w:val="32"/>
          <w:shd w:val="clear" w:fill="FFFFFF"/>
        </w:rPr>
        <w:t>。宣判后，被告人</w:t>
      </w:r>
      <w:r>
        <w:rPr>
          <w:rFonts w:hint="eastAsia" w:ascii="仿宋_GB2312" w:hAnsi="仿宋_GB2312" w:eastAsia="仿宋_GB2312" w:cs="仿宋_GB2312"/>
          <w:color w:val="000000"/>
          <w:sz w:val="32"/>
          <w:szCs w:val="32"/>
          <w:shd w:val="clear" w:fill="FFFFFF"/>
          <w:lang w:eastAsia="zh-CN"/>
        </w:rPr>
        <w:t>陈旻武</w:t>
      </w:r>
      <w:r>
        <w:rPr>
          <w:rFonts w:hint="eastAsia" w:ascii="仿宋_GB2312" w:hAnsi="仿宋_GB2312" w:eastAsia="仿宋_GB2312" w:cs="仿宋_GB2312"/>
          <w:color w:val="000000"/>
          <w:sz w:val="32"/>
          <w:szCs w:val="32"/>
          <w:shd w:val="clear" w:fill="FFFFFF"/>
        </w:rPr>
        <w:t>不服，提出上诉。福建省高级人民法院经过二审审理，于20</w:t>
      </w:r>
      <w:r>
        <w:rPr>
          <w:rFonts w:hint="eastAsia" w:ascii="仿宋_GB2312" w:hAnsi="仿宋_GB2312" w:eastAsia="仿宋_GB2312" w:cs="仿宋_GB2312"/>
          <w:color w:val="000000"/>
          <w:sz w:val="32"/>
          <w:szCs w:val="32"/>
          <w:shd w:val="clear" w:fill="FFFFFF"/>
          <w:lang w:val="en-US" w:eastAsia="zh-CN"/>
        </w:rPr>
        <w:t>23</w:t>
      </w:r>
      <w:r>
        <w:rPr>
          <w:rFonts w:hint="eastAsia" w:ascii="仿宋_GB2312" w:hAnsi="仿宋_GB2312" w:eastAsia="仿宋_GB2312" w:cs="仿宋_GB2312"/>
          <w:color w:val="000000"/>
          <w:sz w:val="32"/>
          <w:szCs w:val="32"/>
          <w:shd w:val="clear" w:fill="FFFFFF"/>
        </w:rPr>
        <w:t>年</w:t>
      </w:r>
      <w:r>
        <w:rPr>
          <w:rFonts w:hint="eastAsia" w:ascii="仿宋_GB2312" w:hAnsi="仿宋_GB2312" w:eastAsia="仿宋_GB2312" w:cs="仿宋_GB2312"/>
          <w:color w:val="000000"/>
          <w:sz w:val="32"/>
          <w:szCs w:val="32"/>
          <w:shd w:val="clear" w:fill="FFFFFF"/>
          <w:lang w:val="en-US" w:eastAsia="zh-CN"/>
        </w:rPr>
        <w:t>7</w:t>
      </w:r>
      <w:r>
        <w:rPr>
          <w:rFonts w:hint="eastAsia" w:ascii="仿宋_GB2312" w:hAnsi="仿宋_GB2312" w:eastAsia="仿宋_GB2312" w:cs="仿宋_GB2312"/>
          <w:color w:val="000000"/>
          <w:sz w:val="32"/>
          <w:szCs w:val="32"/>
          <w:shd w:val="clear" w:fill="FFFFFF"/>
        </w:rPr>
        <w:t>月</w:t>
      </w:r>
      <w:r>
        <w:rPr>
          <w:rFonts w:hint="eastAsia" w:ascii="仿宋_GB2312" w:hAnsi="仿宋_GB2312" w:eastAsia="仿宋_GB2312" w:cs="仿宋_GB2312"/>
          <w:color w:val="000000"/>
          <w:sz w:val="32"/>
          <w:szCs w:val="32"/>
          <w:shd w:val="clear" w:fill="FFFFFF"/>
          <w:lang w:val="en-US" w:eastAsia="zh-CN"/>
        </w:rPr>
        <w:t>31</w:t>
      </w:r>
      <w:r>
        <w:rPr>
          <w:rFonts w:hint="eastAsia" w:ascii="仿宋_GB2312" w:hAnsi="仿宋_GB2312" w:eastAsia="仿宋_GB2312" w:cs="仿宋_GB2312"/>
          <w:color w:val="000000"/>
          <w:sz w:val="32"/>
          <w:szCs w:val="32"/>
          <w:shd w:val="clear" w:fill="FFFFFF"/>
        </w:rPr>
        <w:t>号作出（20</w:t>
      </w:r>
      <w:r>
        <w:rPr>
          <w:rFonts w:hint="eastAsia" w:ascii="仿宋_GB2312" w:hAnsi="仿宋_GB2312" w:eastAsia="仿宋_GB2312" w:cs="仿宋_GB2312"/>
          <w:color w:val="000000"/>
          <w:sz w:val="32"/>
          <w:szCs w:val="32"/>
          <w:shd w:val="clear" w:fill="FFFFFF"/>
          <w:lang w:val="en-US" w:eastAsia="zh-CN"/>
        </w:rPr>
        <w:t>22</w:t>
      </w:r>
      <w:r>
        <w:rPr>
          <w:rFonts w:hint="eastAsia" w:ascii="仿宋_GB2312" w:hAnsi="仿宋_GB2312" w:eastAsia="仿宋_GB2312" w:cs="仿宋_GB2312"/>
          <w:color w:val="000000"/>
          <w:sz w:val="32"/>
          <w:szCs w:val="32"/>
          <w:shd w:val="clear" w:fill="FFFFFF"/>
        </w:rPr>
        <w:t>）闽刑终</w:t>
      </w:r>
      <w:r>
        <w:rPr>
          <w:rFonts w:hint="eastAsia" w:ascii="仿宋_GB2312" w:hAnsi="仿宋_GB2312" w:eastAsia="仿宋_GB2312" w:cs="仿宋_GB2312"/>
          <w:color w:val="000000"/>
          <w:sz w:val="32"/>
          <w:szCs w:val="32"/>
          <w:shd w:val="clear" w:fill="FFFFFF"/>
          <w:lang w:val="en-US" w:eastAsia="zh-CN"/>
        </w:rPr>
        <w:t>267</w:t>
      </w:r>
      <w:r>
        <w:rPr>
          <w:rFonts w:hint="eastAsia" w:ascii="仿宋_GB2312" w:hAnsi="仿宋_GB2312" w:eastAsia="仿宋_GB2312" w:cs="仿宋_GB2312"/>
          <w:color w:val="000000"/>
          <w:sz w:val="32"/>
          <w:szCs w:val="32"/>
          <w:shd w:val="clear" w:fill="FFFFFF"/>
        </w:rPr>
        <w:t>号刑事</w:t>
      </w:r>
      <w:r>
        <w:rPr>
          <w:rFonts w:hint="eastAsia" w:ascii="仿宋_GB2312" w:hAnsi="仿宋_GB2312" w:eastAsia="仿宋_GB2312" w:cs="仿宋_GB2312"/>
          <w:color w:val="000000"/>
          <w:sz w:val="32"/>
          <w:szCs w:val="32"/>
          <w:shd w:val="clear" w:fill="FFFFFF"/>
          <w:lang w:eastAsia="zh-CN"/>
        </w:rPr>
        <w:t>判决</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eastAsia="zh-CN"/>
        </w:rPr>
        <w:t>维持原判对其定罪量刑、对涉案财物处理的判决，撤销追缴被告人违法所得款项的判决；改判追缴各原审被告人的违法所得款项：（</w:t>
      </w:r>
      <w:r>
        <w:rPr>
          <w:rFonts w:hint="eastAsia" w:ascii="仿宋_GB2312" w:hAnsi="仿宋_GB2312" w:eastAsia="仿宋_GB2312" w:cs="仿宋_GB2312"/>
          <w:color w:val="000000"/>
          <w:sz w:val="32"/>
          <w:szCs w:val="32"/>
          <w:shd w:val="clear" w:fill="FFFFFF"/>
          <w:lang w:val="en-US" w:eastAsia="zh-CN"/>
        </w:rPr>
        <w:t>1</w:t>
      </w:r>
      <w:r>
        <w:rPr>
          <w:rFonts w:hint="eastAsia" w:ascii="仿宋_GB2312" w:hAnsi="仿宋_GB2312" w:eastAsia="仿宋_GB2312" w:cs="仿宋_GB2312"/>
          <w:color w:val="000000"/>
          <w:sz w:val="32"/>
          <w:szCs w:val="32"/>
          <w:shd w:val="clear" w:fill="FFFFFF"/>
          <w:lang w:eastAsia="zh-CN"/>
        </w:rPr>
        <w:t>）走私松脂部分，追缴上诉人陈旻昆、陈旻武违法所得人民币四百三十六万三千二百八十一元；（</w:t>
      </w:r>
      <w:r>
        <w:rPr>
          <w:rFonts w:hint="eastAsia" w:ascii="仿宋_GB2312" w:hAnsi="仿宋_GB2312" w:eastAsia="仿宋_GB2312" w:cs="仿宋_GB2312"/>
          <w:color w:val="000000"/>
          <w:sz w:val="32"/>
          <w:szCs w:val="32"/>
          <w:shd w:val="clear" w:fill="FFFFFF"/>
          <w:lang w:val="en-US" w:eastAsia="zh-CN"/>
        </w:rPr>
        <w:t>2</w:t>
      </w:r>
      <w:r>
        <w:rPr>
          <w:rFonts w:hint="eastAsia" w:ascii="仿宋_GB2312" w:hAnsi="仿宋_GB2312" w:eastAsia="仿宋_GB2312" w:cs="仿宋_GB2312"/>
          <w:color w:val="000000"/>
          <w:sz w:val="32"/>
          <w:szCs w:val="32"/>
          <w:shd w:val="clear" w:fill="FFFFFF"/>
          <w:lang w:eastAsia="zh-CN"/>
        </w:rPr>
        <w:t>）走私茯苓部分，追缴上诉人陈旻昆违法所得人民币四百五十九万</w:t>
      </w:r>
      <w:bookmarkStart w:id="0" w:name="_GoBack"/>
      <w:bookmarkEnd w:id="0"/>
      <w:r>
        <w:rPr>
          <w:rFonts w:hint="eastAsia" w:ascii="仿宋_GB2312" w:hAnsi="仿宋_GB2312" w:eastAsia="仿宋_GB2312" w:cs="仿宋_GB2312"/>
          <w:color w:val="000000"/>
          <w:sz w:val="32"/>
          <w:szCs w:val="32"/>
          <w:shd w:val="clear" w:fill="FFFFFF"/>
          <w:lang w:eastAsia="zh-CN"/>
        </w:rPr>
        <w:t>零七百七十元，上诉人陈旻武对其中的人民币八十三万三千八百一十元承担共同退缴责任，上诉人陈旻武、徐红亮对其中的人民币十七万零七十一元承担共同退缴责任</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val="en-US" w:eastAsia="zh-CN"/>
        </w:rPr>
        <w:t>刑期自2020年7月29日起至</w:t>
      </w:r>
      <w:r>
        <w:rPr>
          <w:rFonts w:hint="eastAsia" w:ascii="仿宋_GB2312" w:hAnsi="仿宋_GB2312" w:eastAsia="仿宋_GB2312" w:cs="仿宋_GB2312"/>
          <w:color w:val="000000"/>
          <w:sz w:val="32"/>
          <w:szCs w:val="32"/>
          <w:shd w:val="clear" w:fill="FFFFFF"/>
        </w:rPr>
        <w:t>20</w:t>
      </w:r>
      <w:r>
        <w:rPr>
          <w:rFonts w:hint="eastAsia" w:ascii="仿宋_GB2312" w:hAnsi="仿宋_GB2312" w:eastAsia="仿宋_GB2312" w:cs="仿宋_GB2312"/>
          <w:color w:val="000000"/>
          <w:sz w:val="32"/>
          <w:szCs w:val="32"/>
          <w:shd w:val="clear" w:fill="FFFFFF"/>
          <w:lang w:val="en-US" w:eastAsia="zh-CN"/>
        </w:rPr>
        <w:t>30</w:t>
      </w:r>
      <w:r>
        <w:rPr>
          <w:rFonts w:hint="eastAsia" w:ascii="仿宋_GB2312" w:hAnsi="仿宋_GB2312" w:eastAsia="仿宋_GB2312" w:cs="仿宋_GB2312"/>
          <w:color w:val="000000"/>
          <w:sz w:val="32"/>
          <w:szCs w:val="32"/>
          <w:shd w:val="clear" w:fill="FFFFFF"/>
        </w:rPr>
        <w:t>年</w:t>
      </w:r>
      <w:r>
        <w:rPr>
          <w:rFonts w:hint="eastAsia" w:ascii="仿宋_GB2312" w:hAnsi="仿宋_GB2312" w:eastAsia="仿宋_GB2312" w:cs="仿宋_GB2312"/>
          <w:color w:val="000000"/>
          <w:sz w:val="32"/>
          <w:szCs w:val="32"/>
          <w:shd w:val="clear" w:fill="FFFFFF"/>
          <w:lang w:val="en-US" w:eastAsia="zh-CN"/>
        </w:rPr>
        <w:t>7</w:t>
      </w:r>
      <w:r>
        <w:rPr>
          <w:rFonts w:hint="eastAsia" w:ascii="仿宋_GB2312" w:hAnsi="仿宋_GB2312" w:eastAsia="仿宋_GB2312" w:cs="仿宋_GB2312"/>
          <w:color w:val="000000"/>
          <w:sz w:val="32"/>
          <w:szCs w:val="32"/>
          <w:shd w:val="clear" w:fill="FFFFFF"/>
        </w:rPr>
        <w:t>月</w:t>
      </w:r>
      <w:r>
        <w:rPr>
          <w:rFonts w:hint="eastAsia" w:ascii="仿宋_GB2312" w:hAnsi="仿宋_GB2312" w:eastAsia="仿宋_GB2312" w:cs="仿宋_GB2312"/>
          <w:color w:val="000000"/>
          <w:sz w:val="32"/>
          <w:szCs w:val="32"/>
          <w:shd w:val="clear" w:fill="FFFFFF"/>
          <w:lang w:val="en-US" w:eastAsia="zh-CN"/>
        </w:rPr>
        <w:t>28</w:t>
      </w:r>
      <w:r>
        <w:rPr>
          <w:rFonts w:hint="eastAsia" w:ascii="仿宋_GB2312" w:hAnsi="仿宋_GB2312" w:eastAsia="仿宋_GB2312" w:cs="仿宋_GB2312"/>
          <w:color w:val="000000"/>
          <w:sz w:val="32"/>
          <w:szCs w:val="32"/>
          <w:shd w:val="clear" w:fill="FFFFFF"/>
        </w:rPr>
        <w:t>日止</w:t>
      </w:r>
      <w:r>
        <w:rPr>
          <w:rFonts w:hint="eastAsia" w:ascii="仿宋_GB2312" w:hAnsi="仿宋_GB2312" w:eastAsia="仿宋_GB2312" w:cs="仿宋_GB2312"/>
          <w:color w:val="000000"/>
          <w:sz w:val="32"/>
          <w:szCs w:val="32"/>
          <w:shd w:val="clear" w:fill="FFFFFF"/>
          <w:lang w:val="en-US" w:eastAsia="zh-CN"/>
        </w:rPr>
        <w:t>。判决生效后，于</w:t>
      </w:r>
      <w:r>
        <w:rPr>
          <w:rFonts w:hint="eastAsia" w:ascii="仿宋_GB2312" w:hAnsi="仿宋_GB2312" w:eastAsia="仿宋_GB2312" w:cs="仿宋_GB2312"/>
          <w:color w:val="000000"/>
          <w:sz w:val="32"/>
          <w:szCs w:val="32"/>
          <w:shd w:val="clear" w:fill="FFFFFF"/>
        </w:rPr>
        <w:t>2</w:t>
      </w:r>
      <w:r>
        <w:rPr>
          <w:rFonts w:hint="eastAsia" w:ascii="仿宋_GB2312" w:hAnsi="仿宋_GB2312" w:eastAsia="仿宋_GB2312" w:cs="仿宋_GB2312"/>
          <w:color w:val="000000"/>
          <w:sz w:val="32"/>
          <w:szCs w:val="32"/>
          <w:shd w:val="clear" w:fill="FFFFFF"/>
          <w:lang w:val="en-US" w:eastAsia="zh-CN"/>
        </w:rPr>
        <w:t>023</w:t>
      </w:r>
      <w:r>
        <w:rPr>
          <w:rFonts w:hint="eastAsia" w:ascii="仿宋_GB2312" w:hAnsi="仿宋_GB2312" w:eastAsia="仿宋_GB2312" w:cs="仿宋_GB2312"/>
          <w:color w:val="000000"/>
          <w:sz w:val="32"/>
          <w:szCs w:val="32"/>
          <w:shd w:val="clear" w:fill="FFFFFF"/>
        </w:rPr>
        <w:t>年</w:t>
      </w:r>
      <w:r>
        <w:rPr>
          <w:rFonts w:hint="eastAsia" w:ascii="仿宋_GB2312" w:hAnsi="仿宋_GB2312" w:eastAsia="仿宋_GB2312" w:cs="仿宋_GB2312"/>
          <w:color w:val="000000"/>
          <w:sz w:val="32"/>
          <w:szCs w:val="32"/>
          <w:shd w:val="clear" w:fill="FFFFFF"/>
          <w:lang w:val="en-US" w:eastAsia="zh-CN"/>
        </w:rPr>
        <w:t>8</w:t>
      </w:r>
      <w:r>
        <w:rPr>
          <w:rFonts w:hint="eastAsia" w:ascii="仿宋_GB2312" w:hAnsi="仿宋_GB2312" w:eastAsia="仿宋_GB2312" w:cs="仿宋_GB2312"/>
          <w:color w:val="000000"/>
          <w:sz w:val="32"/>
          <w:szCs w:val="32"/>
          <w:shd w:val="clear" w:fill="FFFFFF"/>
        </w:rPr>
        <w:t>月</w:t>
      </w:r>
      <w:r>
        <w:rPr>
          <w:rFonts w:hint="eastAsia" w:ascii="仿宋_GB2312" w:hAnsi="仿宋_GB2312" w:eastAsia="仿宋_GB2312" w:cs="仿宋_GB2312"/>
          <w:color w:val="000000"/>
          <w:sz w:val="32"/>
          <w:szCs w:val="32"/>
          <w:shd w:val="clear" w:fill="FFFFFF"/>
          <w:lang w:val="en-US" w:eastAsia="zh-CN"/>
        </w:rPr>
        <w:t>31</w:t>
      </w:r>
      <w:r>
        <w:rPr>
          <w:rFonts w:hint="eastAsia" w:ascii="仿宋_GB2312" w:hAnsi="仿宋_GB2312" w:eastAsia="仿宋_GB2312" w:cs="仿宋_GB2312"/>
          <w:color w:val="000000"/>
          <w:sz w:val="32"/>
          <w:szCs w:val="32"/>
          <w:shd w:val="clear" w:fill="FFFFFF"/>
        </w:rPr>
        <w:t>日交付龙岩监狱执行刑罚。属普管级罪犯。</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该犯自</w:t>
      </w:r>
      <w:r>
        <w:rPr>
          <w:rFonts w:hint="eastAsia" w:ascii="仿宋_GB2312" w:hAnsi="仿宋_GB2312" w:eastAsia="仿宋_GB2312" w:cs="仿宋_GB2312"/>
          <w:color w:val="000000"/>
          <w:sz w:val="32"/>
          <w:szCs w:val="32"/>
          <w:shd w:val="clear" w:fill="FFFFFF"/>
          <w:lang w:eastAsia="zh-CN"/>
        </w:rPr>
        <w:t>入监</w:t>
      </w:r>
      <w:r>
        <w:rPr>
          <w:rFonts w:hint="eastAsia" w:ascii="仿宋_GB2312" w:hAnsi="仿宋_GB2312" w:eastAsia="仿宋_GB2312" w:cs="仿宋_GB2312"/>
          <w:color w:val="000000"/>
          <w:sz w:val="32"/>
          <w:szCs w:val="32"/>
          <w:shd w:val="clear" w:fill="FFFFFF"/>
        </w:rPr>
        <w:t>以来确有悔改表现，具体事实如下：</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认罪悔罪：能服从法院判决，自书认罪悔罪书。</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遵守监规：能基本遵守监规纪律及法律法规，能接受教育改造。</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学习情况：能参加思想、文化、职业技术教育。</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劳动改造：能参加劳动，努力完成劳动任务。</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奖惩情况：该犯考核期2023年8月31日至2025年</w:t>
      </w:r>
      <w:r>
        <w:rPr>
          <w:rFonts w:hint="eastAsia" w:ascii="仿宋_GB2312" w:hAnsi="仿宋_GB2312" w:eastAsia="仿宋_GB2312" w:cs="仿宋_GB2312"/>
          <w:color w:val="000000"/>
          <w:sz w:val="32"/>
          <w:szCs w:val="32"/>
          <w:shd w:val="clear" w:fill="FFFFFF"/>
          <w:lang w:val="en-US" w:eastAsia="zh-CN"/>
        </w:rPr>
        <w:t>12</w:t>
      </w:r>
      <w:r>
        <w:rPr>
          <w:rFonts w:hint="eastAsia" w:ascii="仿宋_GB2312" w:hAnsi="仿宋_GB2312" w:eastAsia="仿宋_GB2312" w:cs="仿宋_GB2312"/>
          <w:color w:val="000000"/>
          <w:sz w:val="32"/>
          <w:szCs w:val="32"/>
          <w:shd w:val="clear" w:fill="FFFFFF"/>
        </w:rPr>
        <w:t>月累计获考核分</w:t>
      </w:r>
      <w:r>
        <w:rPr>
          <w:rFonts w:hint="eastAsia" w:ascii="仿宋_GB2312" w:hAnsi="仿宋_GB2312" w:eastAsia="仿宋_GB2312" w:cs="仿宋_GB2312"/>
          <w:color w:val="000000"/>
          <w:sz w:val="32"/>
          <w:szCs w:val="32"/>
          <w:shd w:val="clear" w:fill="FFFFFF"/>
          <w:lang w:val="en-US" w:eastAsia="zh-CN"/>
        </w:rPr>
        <w:t>2619.1</w:t>
      </w:r>
      <w:r>
        <w:rPr>
          <w:rFonts w:hint="eastAsia" w:ascii="仿宋_GB2312" w:hAnsi="仿宋_GB2312" w:eastAsia="仿宋_GB2312" w:cs="仿宋_GB2312"/>
          <w:color w:val="000000"/>
          <w:sz w:val="32"/>
          <w:szCs w:val="32"/>
          <w:shd w:val="clear" w:fill="FFFFFF"/>
        </w:rPr>
        <w:t>分，</w:t>
      </w:r>
      <w:r>
        <w:rPr>
          <w:rFonts w:hint="eastAsia" w:ascii="仿宋_GB2312" w:hAnsi="仿宋_GB2312" w:eastAsia="仿宋_GB2312" w:cs="仿宋_GB2312"/>
          <w:color w:val="000000"/>
          <w:sz w:val="32"/>
          <w:szCs w:val="32"/>
          <w:shd w:val="clear" w:fill="FFFFFF"/>
          <w:lang w:eastAsia="zh-CN"/>
        </w:rPr>
        <w:t>三</w:t>
      </w:r>
      <w:r>
        <w:rPr>
          <w:rFonts w:hint="eastAsia" w:ascii="仿宋_GB2312" w:hAnsi="仿宋_GB2312" w:eastAsia="仿宋_GB2312" w:cs="仿宋_GB2312"/>
          <w:color w:val="000000"/>
          <w:sz w:val="32"/>
          <w:szCs w:val="32"/>
          <w:shd w:val="clear" w:fill="FFFFFF"/>
        </w:rPr>
        <w:t xml:space="preserve">次表扬，一次物质奖励。考核期内共违规扣分1次，扣考核分1分。 </w:t>
      </w:r>
    </w:p>
    <w:p>
      <w:pPr>
        <w:pStyle w:val="27"/>
        <w:keepNext w:val="0"/>
        <w:keepLines w:val="0"/>
        <w:pageBreakBefore w:val="0"/>
        <w:widowControl/>
        <w:shd w:val="clear" w:color="auto" w:fill="FFFFFF"/>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福建省漳州市中级人民法院于2025年8月25日</w:t>
      </w:r>
      <w:r>
        <w:rPr>
          <w:rFonts w:hint="eastAsia" w:ascii="仿宋_GB2312" w:hAnsi="仿宋_GB2312" w:eastAsia="仿宋_GB2312" w:cs="仿宋_GB2312"/>
          <w:color w:val="000000"/>
          <w:sz w:val="32"/>
          <w:szCs w:val="32"/>
          <w:shd w:val="clear" w:fill="FFFFFF"/>
          <w:lang w:eastAsia="zh-CN"/>
        </w:rPr>
        <w:t>出具（</w:t>
      </w:r>
      <w:r>
        <w:rPr>
          <w:rFonts w:hint="eastAsia" w:ascii="仿宋_GB2312" w:hAnsi="仿宋_GB2312" w:eastAsia="仿宋_GB2312" w:cs="仿宋_GB2312"/>
          <w:color w:val="000000"/>
          <w:sz w:val="32"/>
          <w:szCs w:val="32"/>
          <w:shd w:val="clear" w:fill="FFFFFF"/>
          <w:lang w:val="en-US" w:eastAsia="zh-CN"/>
        </w:rPr>
        <w:t>2023</w:t>
      </w:r>
      <w:r>
        <w:rPr>
          <w:rFonts w:hint="eastAsia" w:ascii="仿宋_GB2312" w:hAnsi="仿宋_GB2312" w:eastAsia="仿宋_GB2312" w:cs="仿宋_GB2312"/>
          <w:color w:val="000000"/>
          <w:sz w:val="32"/>
          <w:szCs w:val="32"/>
          <w:shd w:val="clear" w:fill="FFFFFF"/>
          <w:lang w:eastAsia="zh-CN"/>
        </w:rPr>
        <w:t>）闽</w:t>
      </w:r>
      <w:r>
        <w:rPr>
          <w:rFonts w:hint="eastAsia" w:ascii="仿宋_GB2312" w:hAnsi="仿宋_GB2312" w:eastAsia="仿宋_GB2312" w:cs="仿宋_GB2312"/>
          <w:color w:val="000000"/>
          <w:sz w:val="32"/>
          <w:szCs w:val="32"/>
          <w:shd w:val="clear" w:fill="FFFFFF"/>
          <w:lang w:val="en-US" w:eastAsia="zh-CN"/>
        </w:rPr>
        <w:t>06执350号《</w:t>
      </w:r>
      <w:r>
        <w:rPr>
          <w:rFonts w:hint="eastAsia" w:ascii="仿宋_GB2312" w:hAnsi="仿宋_GB2312" w:eastAsia="仿宋_GB2312" w:cs="仿宋_GB2312"/>
          <w:color w:val="000000"/>
          <w:sz w:val="32"/>
          <w:szCs w:val="32"/>
          <w:shd w:val="clear" w:fill="FFFFFF"/>
        </w:rPr>
        <w:t>结案通知书</w:t>
      </w:r>
      <w:r>
        <w:rPr>
          <w:rFonts w:hint="eastAsia" w:ascii="仿宋_GB2312" w:hAnsi="仿宋_GB2312" w:eastAsia="仿宋_GB2312" w:cs="仿宋_GB2312"/>
          <w:color w:val="000000"/>
          <w:sz w:val="32"/>
          <w:szCs w:val="32"/>
          <w:shd w:val="clear" w:fill="FFFFFF"/>
          <w:lang w:val="en-US" w:eastAsia="zh-CN"/>
        </w:rPr>
        <w:t>》</w:t>
      </w:r>
      <w:r>
        <w:rPr>
          <w:rFonts w:hint="eastAsia" w:ascii="仿宋_GB2312" w:hAnsi="仿宋_GB2312" w:eastAsia="仿宋_GB2312" w:cs="仿宋_GB2312"/>
          <w:color w:val="000000"/>
          <w:sz w:val="32"/>
          <w:szCs w:val="32"/>
          <w:shd w:val="clear" w:fill="FFFFFF"/>
          <w:lang w:eastAsia="zh-CN"/>
        </w:rPr>
        <w:t>载明</w:t>
      </w:r>
      <w:r>
        <w:rPr>
          <w:rFonts w:hint="eastAsia" w:ascii="仿宋_GB2312" w:hAnsi="仿宋_GB2312" w:eastAsia="仿宋_GB2312" w:cs="仿宋_GB2312"/>
          <w:color w:val="000000"/>
          <w:sz w:val="32"/>
          <w:szCs w:val="32"/>
          <w:shd w:val="clear" w:fill="FFFFFF"/>
        </w:rPr>
        <w:t>：</w:t>
      </w:r>
      <w:r>
        <w:rPr>
          <w:rFonts w:hint="eastAsia" w:ascii="仿宋_GB2312" w:hAnsi="仿宋_GB2312" w:eastAsia="仿宋_GB2312" w:cs="仿宋_GB2312"/>
          <w:color w:val="000000"/>
          <w:sz w:val="32"/>
          <w:szCs w:val="32"/>
          <w:shd w:val="clear" w:fill="FFFFFF"/>
          <w:lang w:eastAsia="zh-CN"/>
        </w:rPr>
        <w:t>经本院执行，陈旻武应缴交的罚金</w:t>
      </w:r>
      <w:r>
        <w:rPr>
          <w:rFonts w:hint="eastAsia" w:ascii="仿宋_GB2312" w:hAnsi="仿宋_GB2312" w:eastAsia="仿宋_GB2312" w:cs="仿宋_GB2312"/>
          <w:color w:val="000000"/>
          <w:sz w:val="32"/>
          <w:szCs w:val="32"/>
          <w:shd w:val="clear" w:fill="FFFFFF"/>
          <w:lang w:val="en-US" w:eastAsia="zh-CN"/>
        </w:rPr>
        <w:t>2000000元已执行到位；应缴的违法所得5197091元，已执行到位（其中肖永福共同退缴1993339元，陈旻武单独退缴3203752元）。现陈旻武罚金及追缴违法所得的执行已全部执行完</w:t>
      </w:r>
      <w:r>
        <w:rPr>
          <w:rFonts w:hint="eastAsia" w:ascii="仿宋_GB2312" w:hAnsi="仿宋_GB2312" w:eastAsia="仿宋_GB2312" w:cs="仿宋_GB2312"/>
          <w:color w:val="000000"/>
          <w:sz w:val="32"/>
          <w:szCs w:val="32"/>
          <w:shd w:val="clear" w:fill="FFFFFF"/>
        </w:rPr>
        <w:t>。</w:t>
      </w:r>
    </w:p>
    <w:p>
      <w:pPr>
        <w:pStyle w:val="27"/>
        <w:keepNext w:val="0"/>
        <w:keepLines w:val="0"/>
        <w:pageBreakBefore w:val="0"/>
        <w:widowControl/>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auto"/>
          <w:kern w:val="32"/>
          <w:sz w:val="32"/>
          <w:szCs w:val="32"/>
          <w:lang w:val="en-US" w:eastAsia="zh-CN"/>
        </w:rPr>
        <w:t>本案于2026年4月2日至2026年4月9日在狱内公示未收到不同意见</w:t>
      </w:r>
      <w:r>
        <w:rPr>
          <w:rFonts w:hint="eastAsia" w:ascii="仿宋_GB2312" w:hAnsi="仿宋_GB2312" w:eastAsia="仿宋_GB2312" w:cs="仿宋_GB2312"/>
          <w:color w:val="000000"/>
          <w:sz w:val="32"/>
          <w:szCs w:val="32"/>
          <w:shd w:val="clear" w:fill="FFFFFF"/>
        </w:rPr>
        <w:t>。</w:t>
      </w:r>
    </w:p>
    <w:p>
      <w:pPr>
        <w:pStyle w:val="27"/>
        <w:keepNext w:val="0"/>
        <w:keepLines w:val="0"/>
        <w:pageBreakBefore w:val="0"/>
        <w:widowControl/>
        <w:tabs>
          <w:tab w:val="left" w:pos="4650"/>
        </w:tabs>
        <w:kinsoku/>
        <w:wordWrap/>
        <w:overflowPunct/>
        <w:topLinePunct w:val="0"/>
        <w:autoSpaceDE/>
        <w:autoSpaceDN/>
        <w:bidi w:val="0"/>
        <w:adjustRightInd/>
        <w:snapToGrid/>
        <w:spacing w:beforeAutospacing="0" w:afterAutospacing="0" w:line="480" w:lineRule="exact"/>
        <w:ind w:firstLine="640" w:firstLineChars="200"/>
        <w:jc w:val="left"/>
        <w:textAlignment w:val="auto"/>
        <w:outlineLvl w:val="9"/>
        <w:rPr>
          <w:rFonts w:hint="eastAsia" w:ascii="仿宋_GB2312" w:hAnsi="仿宋_GB2312" w:eastAsia="仿宋_GB2312" w:cs="仿宋_GB2312"/>
          <w:color w:val="000000"/>
          <w:sz w:val="32"/>
          <w:szCs w:val="32"/>
          <w:shd w:val="clear" w:fill="FFFFFF"/>
        </w:rPr>
      </w:pPr>
      <w:r>
        <w:rPr>
          <w:rFonts w:hint="eastAsia" w:ascii="仿宋_GB2312" w:hAnsi="仿宋_GB2312" w:eastAsia="仿宋_GB2312" w:cs="仿宋_GB2312"/>
          <w:color w:val="000000"/>
          <w:sz w:val="32"/>
          <w:szCs w:val="32"/>
          <w:shd w:val="clear" w:fill="FFFFFF"/>
        </w:rPr>
        <w:t>因此，依照《中华人民共和国刑法》第七十八条、第七十九条、《中华人民共和国刑事诉讼法》第二百七十三条第二款、《中华人民共和国监狱法》第二十九条之规定，建议对罪犯</w:t>
      </w:r>
      <w:r>
        <w:rPr>
          <w:rFonts w:hint="eastAsia" w:ascii="仿宋_GB2312" w:hAnsi="仿宋_GB2312" w:eastAsia="仿宋_GB2312" w:cs="仿宋_GB2312"/>
          <w:color w:val="000000"/>
          <w:sz w:val="32"/>
          <w:szCs w:val="32"/>
          <w:shd w:val="clear" w:fill="FFFFFF"/>
          <w:lang w:eastAsia="zh-CN"/>
        </w:rPr>
        <w:t>陈旻武</w:t>
      </w:r>
      <w:r>
        <w:rPr>
          <w:rFonts w:hint="eastAsia" w:ascii="仿宋_GB2312" w:hAnsi="仿宋_GB2312" w:eastAsia="仿宋_GB2312" w:cs="仿宋_GB2312"/>
          <w:color w:val="000000"/>
          <w:sz w:val="32"/>
          <w:szCs w:val="32"/>
          <w:shd w:val="clear" w:fill="FFFFFF"/>
        </w:rPr>
        <w:t>予以减刑</w:t>
      </w:r>
      <w:r>
        <w:rPr>
          <w:rFonts w:hint="eastAsia" w:ascii="仿宋_GB2312" w:hAnsi="仿宋_GB2312" w:eastAsia="仿宋_GB2312" w:cs="仿宋_GB2312"/>
          <w:color w:val="000000"/>
          <w:sz w:val="32"/>
          <w:szCs w:val="32"/>
          <w:shd w:val="clear" w:fill="FFFFFF"/>
          <w:lang w:eastAsia="zh-CN"/>
        </w:rPr>
        <w:t>六个月</w:t>
      </w:r>
      <w:r>
        <w:rPr>
          <w:rFonts w:hint="eastAsia" w:ascii="仿宋_GB2312" w:hAnsi="仿宋_GB2312" w:eastAsia="仿宋_GB2312" w:cs="仿宋_GB2312"/>
          <w:color w:val="000000"/>
          <w:sz w:val="32"/>
          <w:szCs w:val="32"/>
          <w:shd w:val="clear" w:fill="FFFFFF"/>
        </w:rPr>
        <w:t>，特提请你院审理裁定。</w:t>
      </w:r>
    </w:p>
    <w:p>
      <w:pPr>
        <w:pStyle w:val="27"/>
        <w:keepNext w:val="0"/>
        <w:keepLines w:val="0"/>
        <w:pageBreakBefore w:val="0"/>
        <w:widowControl/>
        <w:tabs>
          <w:tab w:val="left" w:pos="4650"/>
        </w:tabs>
        <w:kinsoku/>
        <w:wordWrap/>
        <w:overflowPunct/>
        <w:topLinePunct w:val="0"/>
        <w:autoSpaceDE/>
        <w:autoSpaceDN/>
        <w:bidi w:val="0"/>
        <w:adjustRightInd/>
        <w:snapToGrid/>
        <w:spacing w:beforeAutospacing="0" w:afterAutospacing="0" w:line="500" w:lineRule="atLeast"/>
        <w:ind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此致</w:t>
      </w:r>
    </w:p>
    <w:p>
      <w:pPr>
        <w:pStyle w:val="27"/>
        <w:keepNext w:val="0"/>
        <w:keepLines w:val="0"/>
        <w:pageBreakBefore w:val="0"/>
        <w:kinsoku/>
        <w:wordWrap/>
        <w:overflowPunct/>
        <w:topLinePunct w:val="0"/>
        <w:autoSpaceDE/>
        <w:autoSpaceDN/>
        <w:bidi w:val="0"/>
        <w:adjustRightInd/>
        <w:snapToGrid/>
        <w:spacing w:beforeAutospacing="0" w:afterAutospacing="0" w:line="500" w:lineRule="atLeas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 xml:space="preserve">福建省龙岩市中级人民法院　　　　   </w:t>
      </w:r>
    </w:p>
    <w:p>
      <w:pPr>
        <w:pStyle w:val="27"/>
        <w:keepNext w:val="0"/>
        <w:keepLines w:val="0"/>
        <w:pageBreakBefore w:val="0"/>
        <w:kinsoku/>
        <w:wordWrap/>
        <w:overflowPunct/>
        <w:topLinePunct w:val="0"/>
        <w:autoSpaceDE/>
        <w:autoSpaceDN/>
        <w:bidi w:val="0"/>
        <w:adjustRightInd/>
        <w:snapToGrid/>
        <w:spacing w:beforeAutospacing="0" w:afterAutospacing="0" w:line="500" w:lineRule="atLeast"/>
        <w:ind w:right="-94"/>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lang w:val="en-US" w:eastAsia="zh-CN"/>
        </w:rPr>
        <w:t xml:space="preserve">                                    </w:t>
      </w:r>
      <w:r>
        <w:rPr>
          <w:rFonts w:hint="eastAsia" w:ascii="仿宋_GB2312" w:hAnsi="仿宋_GB2312" w:eastAsia="仿宋_GB2312" w:cs="仿宋_GB2312"/>
          <w:color w:val="000000"/>
          <w:sz w:val="32"/>
          <w:szCs w:val="32"/>
          <w:shd w:val="clear" w:color="auto" w:fill="FFFFFF"/>
        </w:rPr>
        <w:t>福建省龙岩监狱</w:t>
      </w:r>
    </w:p>
    <w:p>
      <w:pPr>
        <w:pStyle w:val="27"/>
        <w:keepNext w:val="0"/>
        <w:keepLines w:val="0"/>
        <w:pageBreakBefore w:val="0"/>
        <w:kinsoku/>
        <w:wordWrap/>
        <w:overflowPunct/>
        <w:topLinePunct w:val="0"/>
        <w:autoSpaceDE/>
        <w:autoSpaceDN/>
        <w:bidi w:val="0"/>
        <w:adjustRightInd/>
        <w:snapToGrid/>
        <w:spacing w:beforeAutospacing="0" w:afterAutospacing="0" w:line="500" w:lineRule="atLeast"/>
        <w:ind w:right="-94"/>
        <w:jc w:val="left"/>
        <w:textAlignment w:val="auto"/>
        <w:rPr>
          <w:rFonts w:hint="eastAsia" w:ascii="仿宋_GB2312" w:hAnsi="仿宋_GB2312" w:eastAsia="仿宋_GB2312" w:cs="仿宋_GB2312"/>
          <w:color w:val="FFFFFF"/>
          <w:sz w:val="32"/>
          <w:szCs w:val="32"/>
        </w:rPr>
      </w:pPr>
      <w:r>
        <w:rPr>
          <w:rFonts w:hint="eastAsia" w:ascii="仿宋_GB2312" w:hAnsi="仿宋_GB2312" w:eastAsia="仿宋_GB2312" w:cs="仿宋_GB2312"/>
          <w:sz w:val="32"/>
          <w:szCs w:val="32"/>
          <w:lang w:val="en-US" w:eastAsia="zh-CN"/>
        </w:rPr>
        <w:t xml:space="preserve">                                 二O二六</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rPr>
        <w:t>日</w:t>
      </w:r>
    </w:p>
    <w:sectPr>
      <w:pgSz w:w="11906" w:h="16838"/>
      <w:pgMar w:top="1871" w:right="1304" w:bottom="1871" w:left="1587" w:header="851" w:footer="992"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yMjNiMmFiYzg5MzIxOGNmNTNlZjg1Y2QxODQ0YmYifQ=="/>
  </w:docVars>
  <w:rsids>
    <w:rsidRoot w:val="00DB2A62"/>
    <w:rsid w:val="000446C7"/>
    <w:rsid w:val="0030428B"/>
    <w:rsid w:val="00533C62"/>
    <w:rsid w:val="00A974FB"/>
    <w:rsid w:val="00B71CDB"/>
    <w:rsid w:val="00DB2A62"/>
    <w:rsid w:val="00E3206B"/>
    <w:rsid w:val="019D5092"/>
    <w:rsid w:val="03326072"/>
    <w:rsid w:val="03993EF8"/>
    <w:rsid w:val="048A1C94"/>
    <w:rsid w:val="05866B9E"/>
    <w:rsid w:val="06A948CD"/>
    <w:rsid w:val="07871C90"/>
    <w:rsid w:val="096E07E5"/>
    <w:rsid w:val="09B0378B"/>
    <w:rsid w:val="0A341433"/>
    <w:rsid w:val="0AC00F12"/>
    <w:rsid w:val="0B6C7375"/>
    <w:rsid w:val="0BB101A7"/>
    <w:rsid w:val="0C0E5123"/>
    <w:rsid w:val="0C662B93"/>
    <w:rsid w:val="0C6A4D5D"/>
    <w:rsid w:val="0C7545AF"/>
    <w:rsid w:val="0CFD6D20"/>
    <w:rsid w:val="0D577DE9"/>
    <w:rsid w:val="0E1377ED"/>
    <w:rsid w:val="0E227354"/>
    <w:rsid w:val="0E911F56"/>
    <w:rsid w:val="0EB034BA"/>
    <w:rsid w:val="0EC32CF8"/>
    <w:rsid w:val="0EF63807"/>
    <w:rsid w:val="102340C3"/>
    <w:rsid w:val="107D302A"/>
    <w:rsid w:val="10CD5611"/>
    <w:rsid w:val="11102C52"/>
    <w:rsid w:val="128F2C84"/>
    <w:rsid w:val="130154ED"/>
    <w:rsid w:val="134B3FBD"/>
    <w:rsid w:val="13660365"/>
    <w:rsid w:val="137E6E0D"/>
    <w:rsid w:val="153E48A4"/>
    <w:rsid w:val="15C93A9F"/>
    <w:rsid w:val="16101013"/>
    <w:rsid w:val="161C5E8F"/>
    <w:rsid w:val="16480F24"/>
    <w:rsid w:val="174C7C13"/>
    <w:rsid w:val="17DF241E"/>
    <w:rsid w:val="181A3969"/>
    <w:rsid w:val="18C36098"/>
    <w:rsid w:val="19141554"/>
    <w:rsid w:val="194D3642"/>
    <w:rsid w:val="1ADF33B8"/>
    <w:rsid w:val="1AE722B6"/>
    <w:rsid w:val="1B0A31F4"/>
    <w:rsid w:val="1B351565"/>
    <w:rsid w:val="1C5766FF"/>
    <w:rsid w:val="1C8D0297"/>
    <w:rsid w:val="1D916797"/>
    <w:rsid w:val="1E1F01F7"/>
    <w:rsid w:val="1E977034"/>
    <w:rsid w:val="1F027215"/>
    <w:rsid w:val="1FB3B488"/>
    <w:rsid w:val="1FB65BDF"/>
    <w:rsid w:val="201B46E0"/>
    <w:rsid w:val="208C617A"/>
    <w:rsid w:val="21E47400"/>
    <w:rsid w:val="22757B57"/>
    <w:rsid w:val="233E0F41"/>
    <w:rsid w:val="23D7477A"/>
    <w:rsid w:val="24305A91"/>
    <w:rsid w:val="247B09F3"/>
    <w:rsid w:val="25891B10"/>
    <w:rsid w:val="25FF47A4"/>
    <w:rsid w:val="26B04F31"/>
    <w:rsid w:val="27890F70"/>
    <w:rsid w:val="279B76AA"/>
    <w:rsid w:val="2A4669D2"/>
    <w:rsid w:val="2A481928"/>
    <w:rsid w:val="2ABF6C4F"/>
    <w:rsid w:val="2B384FC0"/>
    <w:rsid w:val="2CDC58AB"/>
    <w:rsid w:val="2DAA784F"/>
    <w:rsid w:val="2DB20194"/>
    <w:rsid w:val="2DE242F1"/>
    <w:rsid w:val="2E4D7DEA"/>
    <w:rsid w:val="2EFC1A8F"/>
    <w:rsid w:val="303C2AA1"/>
    <w:rsid w:val="313867CF"/>
    <w:rsid w:val="31AE6022"/>
    <w:rsid w:val="3203014A"/>
    <w:rsid w:val="3289738B"/>
    <w:rsid w:val="32951A01"/>
    <w:rsid w:val="32B83855"/>
    <w:rsid w:val="33987E8B"/>
    <w:rsid w:val="33A86A6A"/>
    <w:rsid w:val="3541397F"/>
    <w:rsid w:val="36215BBA"/>
    <w:rsid w:val="364235B4"/>
    <w:rsid w:val="364A4E67"/>
    <w:rsid w:val="367D44C5"/>
    <w:rsid w:val="37A23FB0"/>
    <w:rsid w:val="384924AD"/>
    <w:rsid w:val="38BB2708"/>
    <w:rsid w:val="38D050FA"/>
    <w:rsid w:val="3A585C34"/>
    <w:rsid w:val="3B342CD0"/>
    <w:rsid w:val="3CBA4AD8"/>
    <w:rsid w:val="3CBB717C"/>
    <w:rsid w:val="3D943F53"/>
    <w:rsid w:val="40053F81"/>
    <w:rsid w:val="40B1009D"/>
    <w:rsid w:val="410B7382"/>
    <w:rsid w:val="413217DB"/>
    <w:rsid w:val="41897661"/>
    <w:rsid w:val="42073EA5"/>
    <w:rsid w:val="42A7708C"/>
    <w:rsid w:val="44002149"/>
    <w:rsid w:val="44CA0C35"/>
    <w:rsid w:val="46457F72"/>
    <w:rsid w:val="46C9566A"/>
    <w:rsid w:val="46EA5320"/>
    <w:rsid w:val="47BC3652"/>
    <w:rsid w:val="48453DA4"/>
    <w:rsid w:val="49176CFA"/>
    <w:rsid w:val="494D42B5"/>
    <w:rsid w:val="4A246885"/>
    <w:rsid w:val="4AD152F6"/>
    <w:rsid w:val="4D1B7127"/>
    <w:rsid w:val="4D6C67C6"/>
    <w:rsid w:val="4D966AD8"/>
    <w:rsid w:val="4DCE537B"/>
    <w:rsid w:val="4DFB3F84"/>
    <w:rsid w:val="4E0E730E"/>
    <w:rsid w:val="4F314B84"/>
    <w:rsid w:val="5037205F"/>
    <w:rsid w:val="511A0C73"/>
    <w:rsid w:val="51496B14"/>
    <w:rsid w:val="522F4D5F"/>
    <w:rsid w:val="526F23D5"/>
    <w:rsid w:val="529D29DC"/>
    <w:rsid w:val="52AE70A2"/>
    <w:rsid w:val="52C400DF"/>
    <w:rsid w:val="54135DB0"/>
    <w:rsid w:val="54172DDC"/>
    <w:rsid w:val="5605195E"/>
    <w:rsid w:val="565A57EA"/>
    <w:rsid w:val="56C25656"/>
    <w:rsid w:val="5A0D2EDC"/>
    <w:rsid w:val="5A880A0E"/>
    <w:rsid w:val="5AC623EB"/>
    <w:rsid w:val="5AED6A09"/>
    <w:rsid w:val="5B255096"/>
    <w:rsid w:val="5BF96B00"/>
    <w:rsid w:val="5BFD2795"/>
    <w:rsid w:val="5D0B68C5"/>
    <w:rsid w:val="5D167F3F"/>
    <w:rsid w:val="5D2C1883"/>
    <w:rsid w:val="5DB4456E"/>
    <w:rsid w:val="5DC63355"/>
    <w:rsid w:val="5EAF12AF"/>
    <w:rsid w:val="5FD3653A"/>
    <w:rsid w:val="601E7AE9"/>
    <w:rsid w:val="617F19AC"/>
    <w:rsid w:val="62B433DE"/>
    <w:rsid w:val="63AE001D"/>
    <w:rsid w:val="63BA05A1"/>
    <w:rsid w:val="6479189C"/>
    <w:rsid w:val="66AB61D0"/>
    <w:rsid w:val="66B01D8A"/>
    <w:rsid w:val="698F7F24"/>
    <w:rsid w:val="69B30E4A"/>
    <w:rsid w:val="6A182E8C"/>
    <w:rsid w:val="6A3311B2"/>
    <w:rsid w:val="6A481775"/>
    <w:rsid w:val="6AB875D6"/>
    <w:rsid w:val="6B281BC3"/>
    <w:rsid w:val="6C0E7B51"/>
    <w:rsid w:val="6C7D19D4"/>
    <w:rsid w:val="6C8D4D81"/>
    <w:rsid w:val="6CBC1C78"/>
    <w:rsid w:val="6DBE0914"/>
    <w:rsid w:val="6E5651CA"/>
    <w:rsid w:val="6F3D677B"/>
    <w:rsid w:val="70700486"/>
    <w:rsid w:val="71B61D32"/>
    <w:rsid w:val="720078AB"/>
    <w:rsid w:val="724E548A"/>
    <w:rsid w:val="72772353"/>
    <w:rsid w:val="72E51616"/>
    <w:rsid w:val="732F0BB5"/>
    <w:rsid w:val="741F4989"/>
    <w:rsid w:val="74452B31"/>
    <w:rsid w:val="750A71E8"/>
    <w:rsid w:val="75AE1936"/>
    <w:rsid w:val="75CE3188"/>
    <w:rsid w:val="75D7327C"/>
    <w:rsid w:val="75E66E55"/>
    <w:rsid w:val="75F27DC5"/>
    <w:rsid w:val="766C12BE"/>
    <w:rsid w:val="774C6B47"/>
    <w:rsid w:val="7B0F7699"/>
    <w:rsid w:val="7B101503"/>
    <w:rsid w:val="7B20226A"/>
    <w:rsid w:val="7C8230BA"/>
    <w:rsid w:val="7D0455AB"/>
    <w:rsid w:val="7DFE17E4"/>
    <w:rsid w:val="7E1163B1"/>
    <w:rsid w:val="7E5120FC"/>
    <w:rsid w:val="7E6028A8"/>
    <w:rsid w:val="7E795699"/>
    <w:rsid w:val="7EA0317C"/>
    <w:rsid w:val="7F5530DB"/>
    <w:rsid w:val="DFF3F041"/>
    <w:rsid w:val="EAFE1D62"/>
    <w:rsid w:val="FE797A36"/>
    <w:rsid w:val="FFF7D72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qFormat="1" w:unhideWhenUsed="0" w:uiPriority="99" w:semiHidden="0" w:name="Closing"/>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qFormat="1" w:unhideWhenUsed="0" w:uiPriority="99" w:semiHidden="0" w:name="Salutation"/>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hd w:val="clear" w:color="auto" w:fill="FFFFFF"/>
      <w:jc w:val="both"/>
    </w:pPr>
    <w:rPr>
      <w:rFonts w:ascii="Calibri" w:hAnsi="Calibri" w:eastAsia="宋体" w:cs="Times New Roman"/>
      <w:kern w:val="0"/>
      <w:sz w:val="21"/>
      <w:szCs w:val="21"/>
      <w:lang w:val="en-US" w:eastAsia="zh-CN" w:bidi="ar-SA"/>
    </w:rPr>
  </w:style>
  <w:style w:type="paragraph" w:styleId="2">
    <w:name w:val="heading 1"/>
    <w:basedOn w:val="1"/>
    <w:next w:val="1"/>
    <w:link w:val="34"/>
    <w:qFormat/>
    <w:uiPriority w:val="99"/>
    <w:pPr>
      <w:keepNext/>
      <w:keepLines/>
      <w:spacing w:before="480"/>
      <w:outlineLvl w:val="0"/>
    </w:pPr>
    <w:rPr>
      <w:rFonts w:ascii="Arial" w:hAnsi="Arial" w:cs="Arial"/>
      <w:b/>
      <w:bCs/>
      <w:color w:val="000000"/>
      <w:sz w:val="48"/>
      <w:szCs w:val="48"/>
    </w:rPr>
  </w:style>
  <w:style w:type="paragraph" w:styleId="3">
    <w:name w:val="heading 2"/>
    <w:basedOn w:val="1"/>
    <w:next w:val="1"/>
    <w:link w:val="35"/>
    <w:qFormat/>
    <w:uiPriority w:val="99"/>
    <w:pPr>
      <w:keepNext/>
      <w:keepLines/>
      <w:spacing w:before="200"/>
      <w:outlineLvl w:val="1"/>
    </w:pPr>
    <w:rPr>
      <w:rFonts w:ascii="Arial" w:hAnsi="Arial" w:cs="Arial"/>
      <w:b/>
      <w:bCs/>
      <w:color w:val="000000"/>
      <w:sz w:val="40"/>
    </w:rPr>
  </w:style>
  <w:style w:type="paragraph" w:styleId="4">
    <w:name w:val="heading 3"/>
    <w:basedOn w:val="1"/>
    <w:next w:val="1"/>
    <w:link w:val="36"/>
    <w:qFormat/>
    <w:uiPriority w:val="99"/>
    <w:pPr>
      <w:keepNext/>
      <w:keepLines/>
      <w:spacing w:before="200"/>
      <w:outlineLvl w:val="2"/>
    </w:pPr>
    <w:rPr>
      <w:rFonts w:ascii="Arial" w:hAnsi="Arial" w:cs="Arial"/>
      <w:b/>
      <w:bCs/>
      <w:i/>
      <w:iCs/>
      <w:color w:val="000000"/>
      <w:sz w:val="36"/>
      <w:szCs w:val="36"/>
    </w:rPr>
  </w:style>
  <w:style w:type="paragraph" w:styleId="5">
    <w:name w:val="heading 4"/>
    <w:basedOn w:val="1"/>
    <w:next w:val="1"/>
    <w:link w:val="37"/>
    <w:qFormat/>
    <w:uiPriority w:val="99"/>
    <w:pPr>
      <w:keepNext/>
      <w:keepLines/>
      <w:spacing w:before="200"/>
      <w:outlineLvl w:val="3"/>
    </w:pPr>
    <w:rPr>
      <w:rFonts w:ascii="Arial" w:hAnsi="Arial" w:cs="Arial"/>
      <w:color w:val="232323"/>
      <w:sz w:val="32"/>
      <w:szCs w:val="32"/>
    </w:rPr>
  </w:style>
  <w:style w:type="paragraph" w:styleId="6">
    <w:name w:val="heading 5"/>
    <w:basedOn w:val="1"/>
    <w:next w:val="1"/>
    <w:link w:val="38"/>
    <w:qFormat/>
    <w:uiPriority w:val="99"/>
    <w:pPr>
      <w:keepNext/>
      <w:keepLines/>
      <w:spacing w:before="200"/>
      <w:outlineLvl w:val="4"/>
    </w:pPr>
    <w:rPr>
      <w:rFonts w:ascii="Arial" w:hAnsi="Arial" w:cs="Arial"/>
      <w:b/>
      <w:bCs/>
      <w:color w:val="444444"/>
      <w:sz w:val="28"/>
      <w:szCs w:val="28"/>
    </w:rPr>
  </w:style>
  <w:style w:type="paragraph" w:styleId="7">
    <w:name w:val="heading 6"/>
    <w:basedOn w:val="1"/>
    <w:next w:val="1"/>
    <w:link w:val="39"/>
    <w:qFormat/>
    <w:uiPriority w:val="99"/>
    <w:pPr>
      <w:keepNext/>
      <w:keepLines/>
      <w:spacing w:before="200"/>
      <w:outlineLvl w:val="5"/>
    </w:pPr>
    <w:rPr>
      <w:rFonts w:ascii="Arial" w:hAnsi="Arial" w:cs="Arial"/>
      <w:i/>
      <w:iCs/>
      <w:color w:val="232323"/>
      <w:sz w:val="28"/>
      <w:szCs w:val="28"/>
    </w:rPr>
  </w:style>
  <w:style w:type="paragraph" w:styleId="8">
    <w:name w:val="heading 7"/>
    <w:basedOn w:val="1"/>
    <w:next w:val="1"/>
    <w:link w:val="40"/>
    <w:qFormat/>
    <w:uiPriority w:val="99"/>
    <w:pPr>
      <w:keepNext/>
      <w:keepLines/>
      <w:spacing w:before="200"/>
      <w:outlineLvl w:val="6"/>
    </w:pPr>
    <w:rPr>
      <w:rFonts w:ascii="Arial" w:hAnsi="Arial" w:cs="Arial"/>
      <w:b/>
      <w:bCs/>
      <w:color w:val="606060"/>
      <w:sz w:val="24"/>
      <w:szCs w:val="24"/>
    </w:rPr>
  </w:style>
  <w:style w:type="paragraph" w:styleId="9">
    <w:name w:val="heading 8"/>
    <w:basedOn w:val="1"/>
    <w:next w:val="1"/>
    <w:link w:val="41"/>
    <w:qFormat/>
    <w:uiPriority w:val="99"/>
    <w:pPr>
      <w:keepNext/>
      <w:keepLines/>
      <w:spacing w:before="200"/>
      <w:outlineLvl w:val="7"/>
    </w:pPr>
    <w:rPr>
      <w:rFonts w:ascii="Arial" w:hAnsi="Arial" w:cs="Arial"/>
      <w:color w:val="444444"/>
      <w:sz w:val="24"/>
      <w:szCs w:val="24"/>
    </w:rPr>
  </w:style>
  <w:style w:type="paragraph" w:styleId="10">
    <w:name w:val="heading 9"/>
    <w:basedOn w:val="1"/>
    <w:next w:val="1"/>
    <w:link w:val="42"/>
    <w:qFormat/>
    <w:uiPriority w:val="99"/>
    <w:pPr>
      <w:keepNext/>
      <w:keepLines/>
      <w:spacing w:before="200"/>
      <w:outlineLvl w:val="8"/>
    </w:pPr>
    <w:rPr>
      <w:rFonts w:ascii="Arial" w:hAnsi="Arial" w:cs="Arial"/>
      <w:i/>
      <w:iCs/>
      <w:color w:val="444444"/>
      <w:sz w:val="23"/>
      <w:szCs w:val="23"/>
    </w:rPr>
  </w:style>
  <w:style w:type="character" w:default="1" w:styleId="31">
    <w:name w:val="Default Paragraph Font"/>
    <w:semiHidden/>
    <w:qFormat/>
    <w:uiPriority w:val="99"/>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spacing w:after="57"/>
      <w:ind w:left="1701"/>
    </w:pPr>
  </w:style>
  <w:style w:type="paragraph" w:styleId="12">
    <w:name w:val="annotation text"/>
    <w:basedOn w:val="1"/>
    <w:link w:val="43"/>
    <w:qFormat/>
    <w:uiPriority w:val="99"/>
    <w:pPr>
      <w:jc w:val="left"/>
    </w:pPr>
  </w:style>
  <w:style w:type="paragraph" w:styleId="13">
    <w:name w:val="Salutation"/>
    <w:basedOn w:val="1"/>
    <w:next w:val="1"/>
    <w:link w:val="44"/>
    <w:qFormat/>
    <w:uiPriority w:val="99"/>
    <w:rPr>
      <w:sz w:val="28"/>
      <w:szCs w:val="28"/>
    </w:rPr>
  </w:style>
  <w:style w:type="paragraph" w:styleId="14">
    <w:name w:val="Closing"/>
    <w:basedOn w:val="1"/>
    <w:link w:val="45"/>
    <w:qFormat/>
    <w:uiPriority w:val="99"/>
    <w:pPr>
      <w:ind w:left="100"/>
    </w:pPr>
    <w:rPr>
      <w:sz w:val="28"/>
      <w:szCs w:val="28"/>
    </w:rPr>
  </w:style>
  <w:style w:type="paragraph" w:styleId="15">
    <w:name w:val="toc 5"/>
    <w:basedOn w:val="1"/>
    <w:next w:val="1"/>
    <w:qFormat/>
    <w:uiPriority w:val="99"/>
    <w:pPr>
      <w:spacing w:after="57"/>
      <w:ind w:left="1134"/>
    </w:pPr>
  </w:style>
  <w:style w:type="paragraph" w:styleId="16">
    <w:name w:val="toc 3"/>
    <w:basedOn w:val="1"/>
    <w:next w:val="1"/>
    <w:qFormat/>
    <w:uiPriority w:val="99"/>
    <w:pPr>
      <w:spacing w:after="57"/>
      <w:ind w:left="567"/>
    </w:pPr>
  </w:style>
  <w:style w:type="paragraph" w:styleId="17">
    <w:name w:val="toc 8"/>
    <w:basedOn w:val="1"/>
    <w:next w:val="1"/>
    <w:qFormat/>
    <w:uiPriority w:val="99"/>
    <w:pPr>
      <w:spacing w:after="57"/>
      <w:ind w:left="1984"/>
    </w:pPr>
  </w:style>
  <w:style w:type="paragraph" w:styleId="18">
    <w:name w:val="footer"/>
    <w:basedOn w:val="1"/>
    <w:link w:val="46"/>
    <w:qFormat/>
    <w:uiPriority w:val="99"/>
    <w:pPr>
      <w:tabs>
        <w:tab w:val="center" w:pos="7143"/>
        <w:tab w:val="right" w:pos="14287"/>
      </w:tabs>
    </w:pPr>
    <w:rPr>
      <w:color w:val="000000"/>
      <w:sz w:val="22"/>
    </w:rPr>
  </w:style>
  <w:style w:type="paragraph" w:styleId="19">
    <w:name w:val="header"/>
    <w:basedOn w:val="1"/>
    <w:link w:val="47"/>
    <w:qFormat/>
    <w:uiPriority w:val="99"/>
    <w:pPr>
      <w:tabs>
        <w:tab w:val="center" w:pos="7143"/>
        <w:tab w:val="right" w:pos="14287"/>
      </w:tabs>
    </w:pPr>
    <w:rPr>
      <w:color w:val="000000"/>
      <w:sz w:val="22"/>
    </w:rPr>
  </w:style>
  <w:style w:type="paragraph" w:styleId="20">
    <w:name w:val="toc 1"/>
    <w:basedOn w:val="1"/>
    <w:next w:val="1"/>
    <w:qFormat/>
    <w:uiPriority w:val="99"/>
    <w:pPr>
      <w:spacing w:after="57"/>
    </w:pPr>
  </w:style>
  <w:style w:type="paragraph" w:styleId="21">
    <w:name w:val="toc 4"/>
    <w:basedOn w:val="1"/>
    <w:next w:val="1"/>
    <w:qFormat/>
    <w:uiPriority w:val="99"/>
    <w:pPr>
      <w:spacing w:after="57"/>
      <w:ind w:left="850"/>
    </w:pPr>
  </w:style>
  <w:style w:type="paragraph" w:styleId="22">
    <w:name w:val="Subtitle"/>
    <w:basedOn w:val="1"/>
    <w:next w:val="1"/>
    <w:link w:val="48"/>
    <w:qFormat/>
    <w:uiPriority w:val="99"/>
    <w:pPr>
      <w:outlineLvl w:val="0"/>
    </w:pPr>
    <w:rPr>
      <w:i/>
      <w:color w:val="444444"/>
      <w:sz w:val="52"/>
    </w:rPr>
  </w:style>
  <w:style w:type="paragraph" w:styleId="23">
    <w:name w:val="footnote text"/>
    <w:basedOn w:val="1"/>
    <w:link w:val="49"/>
    <w:semiHidden/>
    <w:qFormat/>
    <w:uiPriority w:val="99"/>
    <w:rPr>
      <w:sz w:val="20"/>
    </w:rPr>
  </w:style>
  <w:style w:type="paragraph" w:styleId="24">
    <w:name w:val="toc 6"/>
    <w:basedOn w:val="1"/>
    <w:next w:val="1"/>
    <w:qFormat/>
    <w:uiPriority w:val="99"/>
    <w:pPr>
      <w:spacing w:after="57"/>
      <w:ind w:left="1417"/>
    </w:pPr>
  </w:style>
  <w:style w:type="paragraph" w:styleId="25">
    <w:name w:val="toc 2"/>
    <w:basedOn w:val="1"/>
    <w:next w:val="1"/>
    <w:qFormat/>
    <w:uiPriority w:val="99"/>
    <w:pPr>
      <w:spacing w:after="57"/>
      <w:ind w:left="283"/>
    </w:pPr>
  </w:style>
  <w:style w:type="paragraph" w:styleId="26">
    <w:name w:val="toc 9"/>
    <w:basedOn w:val="1"/>
    <w:next w:val="1"/>
    <w:qFormat/>
    <w:uiPriority w:val="99"/>
    <w:pPr>
      <w:spacing w:after="57"/>
      <w:ind w:left="2268"/>
    </w:pPr>
  </w:style>
  <w:style w:type="paragraph" w:styleId="27">
    <w:name w:val="Normal (Web)"/>
    <w:basedOn w:val="1"/>
    <w:semiHidden/>
    <w:qFormat/>
    <w:uiPriority w:val="99"/>
    <w:pPr>
      <w:spacing w:beforeAutospacing="1" w:afterAutospacing="1"/>
      <w:jc w:val="left"/>
    </w:pPr>
    <w:rPr>
      <w:sz w:val="24"/>
    </w:rPr>
  </w:style>
  <w:style w:type="paragraph" w:styleId="28">
    <w:name w:val="Title"/>
    <w:basedOn w:val="1"/>
    <w:next w:val="1"/>
    <w:link w:val="50"/>
    <w:qFormat/>
    <w:uiPriority w:val="99"/>
    <w:pPr>
      <w:pBdr>
        <w:bottom w:val="single" w:color="000000" w:sz="24" w:space="0"/>
      </w:pBdr>
      <w:spacing w:before="300" w:after="80"/>
      <w:outlineLvl w:val="0"/>
    </w:pPr>
    <w:rPr>
      <w:b/>
      <w:color w:val="000000"/>
      <w:sz w:val="72"/>
    </w:rPr>
  </w:style>
  <w:style w:type="table" w:styleId="30">
    <w:name w:val="Table Grid"/>
    <w:basedOn w:val="29"/>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Hyperlink"/>
    <w:basedOn w:val="31"/>
    <w:qFormat/>
    <w:uiPriority w:val="99"/>
    <w:rPr>
      <w:rFonts w:cs="Times New Roman"/>
      <w:color w:val="0563C1"/>
      <w:u w:val="single"/>
    </w:rPr>
  </w:style>
  <w:style w:type="character" w:styleId="33">
    <w:name w:val="footnote reference"/>
    <w:basedOn w:val="31"/>
    <w:semiHidden/>
    <w:qFormat/>
    <w:uiPriority w:val="99"/>
    <w:rPr>
      <w:rFonts w:cs="Times New Roman"/>
      <w:vertAlign w:val="superscript"/>
    </w:rPr>
  </w:style>
  <w:style w:type="character" w:customStyle="1" w:styleId="34">
    <w:name w:val="Heading 1 Char"/>
    <w:basedOn w:val="31"/>
    <w:link w:val="2"/>
    <w:qFormat/>
    <w:uiPriority w:val="99"/>
    <w:rPr>
      <w:rFonts w:ascii="Arial" w:hAnsi="Arial" w:eastAsia="Times New Roman" w:cs="Arial"/>
      <w:b/>
      <w:bCs/>
      <w:color w:val="000000"/>
      <w:sz w:val="48"/>
      <w:szCs w:val="48"/>
    </w:rPr>
  </w:style>
  <w:style w:type="character" w:customStyle="1" w:styleId="35">
    <w:name w:val="Heading 2 Char"/>
    <w:basedOn w:val="31"/>
    <w:link w:val="3"/>
    <w:qFormat/>
    <w:uiPriority w:val="99"/>
    <w:rPr>
      <w:rFonts w:ascii="Arial" w:hAnsi="Arial" w:eastAsia="Times New Roman" w:cs="Arial"/>
      <w:b/>
      <w:bCs/>
      <w:color w:val="000000"/>
      <w:sz w:val="40"/>
      <w:szCs w:val="40"/>
    </w:rPr>
  </w:style>
  <w:style w:type="character" w:customStyle="1" w:styleId="36">
    <w:name w:val="Heading 3 Char"/>
    <w:basedOn w:val="31"/>
    <w:link w:val="4"/>
    <w:qFormat/>
    <w:uiPriority w:val="99"/>
    <w:rPr>
      <w:rFonts w:ascii="Arial" w:hAnsi="Arial" w:eastAsia="Times New Roman" w:cs="Arial"/>
      <w:b/>
      <w:bCs/>
      <w:i/>
      <w:iCs/>
      <w:color w:val="000000"/>
      <w:sz w:val="40"/>
      <w:szCs w:val="40"/>
    </w:rPr>
  </w:style>
  <w:style w:type="character" w:customStyle="1" w:styleId="37">
    <w:name w:val="Heading 4 Char"/>
    <w:basedOn w:val="31"/>
    <w:link w:val="5"/>
    <w:qFormat/>
    <w:uiPriority w:val="99"/>
    <w:rPr>
      <w:rFonts w:ascii="Arial" w:hAnsi="Arial" w:eastAsia="Times New Roman" w:cs="Arial"/>
      <w:color w:val="232323"/>
      <w:sz w:val="32"/>
      <w:szCs w:val="32"/>
    </w:rPr>
  </w:style>
  <w:style w:type="character" w:customStyle="1" w:styleId="38">
    <w:name w:val="Heading 5 Char"/>
    <w:basedOn w:val="31"/>
    <w:link w:val="6"/>
    <w:qFormat/>
    <w:uiPriority w:val="99"/>
    <w:rPr>
      <w:rFonts w:ascii="Arial" w:hAnsi="Arial" w:eastAsia="Times New Roman" w:cs="Arial"/>
      <w:b/>
      <w:bCs/>
      <w:color w:val="444444"/>
      <w:sz w:val="28"/>
      <w:szCs w:val="28"/>
    </w:rPr>
  </w:style>
  <w:style w:type="character" w:customStyle="1" w:styleId="39">
    <w:name w:val="Heading 6 Char"/>
    <w:basedOn w:val="31"/>
    <w:link w:val="7"/>
    <w:qFormat/>
    <w:uiPriority w:val="99"/>
    <w:rPr>
      <w:rFonts w:ascii="Arial" w:hAnsi="Arial" w:eastAsia="Times New Roman" w:cs="Arial"/>
      <w:i/>
      <w:iCs/>
      <w:color w:val="232323"/>
      <w:sz w:val="28"/>
      <w:szCs w:val="28"/>
    </w:rPr>
  </w:style>
  <w:style w:type="character" w:customStyle="1" w:styleId="40">
    <w:name w:val="Heading 7 Char"/>
    <w:basedOn w:val="31"/>
    <w:link w:val="8"/>
    <w:qFormat/>
    <w:uiPriority w:val="99"/>
    <w:rPr>
      <w:rFonts w:ascii="Arial" w:hAnsi="Arial" w:eastAsia="Times New Roman" w:cs="Arial"/>
      <w:b/>
      <w:bCs/>
      <w:color w:val="606060"/>
      <w:sz w:val="28"/>
      <w:szCs w:val="28"/>
    </w:rPr>
  </w:style>
  <w:style w:type="character" w:customStyle="1" w:styleId="41">
    <w:name w:val="Heading 8 Char"/>
    <w:basedOn w:val="31"/>
    <w:link w:val="9"/>
    <w:qFormat/>
    <w:uiPriority w:val="99"/>
    <w:rPr>
      <w:rFonts w:ascii="Arial" w:hAnsi="Arial" w:eastAsia="Times New Roman" w:cs="Arial"/>
      <w:color w:val="444444"/>
      <w:sz w:val="24"/>
      <w:szCs w:val="24"/>
    </w:rPr>
  </w:style>
  <w:style w:type="character" w:customStyle="1" w:styleId="42">
    <w:name w:val="Heading 9 Char"/>
    <w:basedOn w:val="31"/>
    <w:link w:val="10"/>
    <w:qFormat/>
    <w:uiPriority w:val="99"/>
    <w:rPr>
      <w:rFonts w:ascii="Arial" w:hAnsi="Arial" w:eastAsia="Times New Roman" w:cs="Arial"/>
      <w:i/>
      <w:iCs/>
      <w:color w:val="444444"/>
      <w:sz w:val="23"/>
      <w:szCs w:val="23"/>
    </w:rPr>
  </w:style>
  <w:style w:type="character" w:customStyle="1" w:styleId="43">
    <w:name w:val="Comment Text Char"/>
    <w:basedOn w:val="31"/>
    <w:link w:val="12"/>
    <w:semiHidden/>
    <w:qFormat/>
    <w:uiPriority w:val="99"/>
    <w:rPr>
      <w:rFonts w:ascii="Calibri" w:hAnsi="Calibri"/>
      <w:kern w:val="0"/>
      <w:szCs w:val="21"/>
      <w:shd w:val="clear" w:color="auto" w:fill="FFFFFF"/>
    </w:rPr>
  </w:style>
  <w:style w:type="character" w:customStyle="1" w:styleId="44">
    <w:name w:val="Salutation Char"/>
    <w:basedOn w:val="31"/>
    <w:link w:val="13"/>
    <w:semiHidden/>
    <w:qFormat/>
    <w:uiPriority w:val="99"/>
    <w:rPr>
      <w:rFonts w:ascii="Calibri" w:hAnsi="Calibri"/>
      <w:kern w:val="0"/>
      <w:szCs w:val="21"/>
      <w:shd w:val="clear" w:color="auto" w:fill="FFFFFF"/>
    </w:rPr>
  </w:style>
  <w:style w:type="character" w:customStyle="1" w:styleId="45">
    <w:name w:val="Closing Char"/>
    <w:basedOn w:val="31"/>
    <w:link w:val="14"/>
    <w:semiHidden/>
    <w:qFormat/>
    <w:uiPriority w:val="99"/>
    <w:rPr>
      <w:rFonts w:ascii="Calibri" w:hAnsi="Calibri"/>
      <w:kern w:val="0"/>
      <w:szCs w:val="21"/>
      <w:shd w:val="clear" w:color="auto" w:fill="FFFFFF"/>
    </w:rPr>
  </w:style>
  <w:style w:type="character" w:customStyle="1" w:styleId="46">
    <w:name w:val="Footer Char"/>
    <w:basedOn w:val="31"/>
    <w:link w:val="18"/>
    <w:semiHidden/>
    <w:qFormat/>
    <w:uiPriority w:val="99"/>
    <w:rPr>
      <w:rFonts w:ascii="Calibri" w:hAnsi="Calibri"/>
      <w:kern w:val="0"/>
      <w:sz w:val="18"/>
      <w:szCs w:val="18"/>
      <w:shd w:val="clear" w:color="auto" w:fill="FFFFFF"/>
    </w:rPr>
  </w:style>
  <w:style w:type="character" w:customStyle="1" w:styleId="47">
    <w:name w:val="Header Char"/>
    <w:basedOn w:val="31"/>
    <w:link w:val="19"/>
    <w:semiHidden/>
    <w:qFormat/>
    <w:uiPriority w:val="99"/>
    <w:rPr>
      <w:rFonts w:ascii="Calibri" w:hAnsi="Calibri"/>
      <w:kern w:val="0"/>
      <w:sz w:val="18"/>
      <w:szCs w:val="18"/>
      <w:shd w:val="clear" w:color="auto" w:fill="FFFFFF"/>
    </w:rPr>
  </w:style>
  <w:style w:type="character" w:customStyle="1" w:styleId="48">
    <w:name w:val="Subtitle Char"/>
    <w:basedOn w:val="31"/>
    <w:link w:val="22"/>
    <w:qFormat/>
    <w:uiPriority w:val="11"/>
    <w:rPr>
      <w:rFonts w:asciiTheme="majorHAnsi" w:hAnsiTheme="majorHAnsi" w:cstheme="majorBidi"/>
      <w:b/>
      <w:bCs/>
      <w:kern w:val="28"/>
      <w:sz w:val="32"/>
      <w:szCs w:val="32"/>
      <w:shd w:val="clear" w:color="auto" w:fill="FFFFFF"/>
    </w:rPr>
  </w:style>
  <w:style w:type="character" w:customStyle="1" w:styleId="49">
    <w:name w:val="Footnote Text Char"/>
    <w:basedOn w:val="31"/>
    <w:link w:val="23"/>
    <w:semiHidden/>
    <w:qFormat/>
    <w:uiPriority w:val="99"/>
    <w:rPr>
      <w:rFonts w:cs="Times New Roman"/>
      <w:sz w:val="20"/>
    </w:rPr>
  </w:style>
  <w:style w:type="character" w:customStyle="1" w:styleId="50">
    <w:name w:val="Title Char"/>
    <w:basedOn w:val="31"/>
    <w:link w:val="28"/>
    <w:qFormat/>
    <w:uiPriority w:val="10"/>
    <w:rPr>
      <w:rFonts w:asciiTheme="majorHAnsi" w:hAnsiTheme="majorHAnsi" w:cstheme="majorBidi"/>
      <w:b/>
      <w:bCs/>
      <w:kern w:val="0"/>
      <w:sz w:val="32"/>
      <w:szCs w:val="32"/>
      <w:shd w:val="clear" w:color="auto" w:fill="FFFFFF"/>
    </w:rPr>
  </w:style>
  <w:style w:type="paragraph" w:styleId="51">
    <w:name w:val="List Paragraph"/>
    <w:basedOn w:val="1"/>
    <w:qFormat/>
    <w:uiPriority w:val="99"/>
    <w:pPr>
      <w:ind w:left="720"/>
      <w:contextualSpacing/>
    </w:pPr>
  </w:style>
  <w:style w:type="paragraph" w:styleId="52">
    <w:name w:val="No Spacing"/>
    <w:basedOn w:val="1"/>
    <w:qFormat/>
    <w:uiPriority w:val="99"/>
    <w:rPr>
      <w:color w:val="000000"/>
    </w:rPr>
  </w:style>
  <w:style w:type="paragraph" w:styleId="53">
    <w:name w:val="Quote"/>
    <w:basedOn w:val="1"/>
    <w:next w:val="1"/>
    <w:link w:val="54"/>
    <w:qFormat/>
    <w:uiPriority w:val="99"/>
    <w:pPr>
      <w:pBdr>
        <w:left w:val="single" w:color="A6A6A6" w:sz="12" w:space="11"/>
        <w:bottom w:val="single" w:color="A6A6A6" w:sz="12" w:space="3"/>
      </w:pBdr>
      <w:ind w:left="3402"/>
    </w:pPr>
    <w:rPr>
      <w:i/>
      <w:color w:val="373737"/>
      <w:sz w:val="18"/>
    </w:rPr>
  </w:style>
  <w:style w:type="character" w:customStyle="1" w:styleId="54">
    <w:name w:val="Quote Char"/>
    <w:basedOn w:val="31"/>
    <w:link w:val="53"/>
    <w:qFormat/>
    <w:uiPriority w:val="29"/>
    <w:rPr>
      <w:rFonts w:ascii="Calibri" w:hAnsi="Calibri"/>
      <w:i/>
      <w:iCs/>
      <w:color w:val="000000" w:themeColor="text1"/>
      <w:kern w:val="0"/>
      <w:szCs w:val="21"/>
      <w:shd w:val="clear" w:color="auto" w:fill="FFFFFF"/>
      <w14:textFill>
        <w14:solidFill>
          <w14:schemeClr w14:val="tx1"/>
        </w14:solidFill>
      </w14:textFill>
    </w:rPr>
  </w:style>
  <w:style w:type="paragraph" w:styleId="55">
    <w:name w:val="Intense Quote"/>
    <w:basedOn w:val="1"/>
    <w:next w:val="1"/>
    <w:link w:val="56"/>
    <w:qFormat/>
    <w:uiPriority w:val="99"/>
    <w:pPr>
      <w:pBdr>
        <w:top w:val="single" w:color="808080" w:sz="4" w:space="3"/>
        <w:left w:val="single" w:color="808080" w:sz="4" w:space="11"/>
        <w:bottom w:val="single" w:color="808080" w:sz="4" w:space="3"/>
        <w:right w:val="single" w:color="808080" w:sz="4" w:space="11"/>
      </w:pBdr>
      <w:shd w:val="clear" w:color="auto" w:fill="D9D9D9"/>
      <w:ind w:left="567" w:right="567"/>
    </w:pPr>
    <w:rPr>
      <w:i/>
      <w:color w:val="606060"/>
      <w:sz w:val="19"/>
    </w:rPr>
  </w:style>
  <w:style w:type="character" w:customStyle="1" w:styleId="56">
    <w:name w:val="Intense Quote Char"/>
    <w:basedOn w:val="31"/>
    <w:link w:val="55"/>
    <w:qFormat/>
    <w:uiPriority w:val="30"/>
    <w:rPr>
      <w:rFonts w:ascii="Calibri" w:hAnsi="Calibri"/>
      <w:b/>
      <w:bCs/>
      <w:i/>
      <w:iCs/>
      <w:color w:val="4F81BD" w:themeColor="accent1"/>
      <w:kern w:val="0"/>
      <w:szCs w:val="21"/>
      <w:shd w:val="clear" w:color="auto" w:fill="FFFFFF"/>
      <w14:textFill>
        <w14:solidFill>
          <w14:schemeClr w14:val="accent1"/>
        </w14:solidFill>
      </w14:textFill>
    </w:rPr>
  </w:style>
  <w:style w:type="table" w:customStyle="1" w:styleId="57">
    <w:name w:val="Lined"/>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7F7F7F"/>
      </w:tcPr>
    </w:tblStylePr>
    <w:tblStylePr w:type="lastRow">
      <w:rPr>
        <w:rFonts w:ascii="Arial" w:hAnsi="Arial" w:cs="Times New Roman"/>
        <w:color w:val="F2F2F2"/>
        <w:sz w:val="22"/>
      </w:rPr>
      <w:tcPr>
        <w:shd w:val="clear" w:color="auto" w:fill="7F7F7F"/>
      </w:tcPr>
    </w:tblStylePr>
    <w:tblStylePr w:type="firstCol">
      <w:rPr>
        <w:rFonts w:ascii="Arial" w:hAnsi="Arial" w:cs="Times New Roman"/>
        <w:color w:val="F2F2F2"/>
        <w:sz w:val="22"/>
      </w:rPr>
      <w:tcPr>
        <w:shd w:val="clear" w:color="auto" w:fill="7F7F7F"/>
      </w:tcPr>
    </w:tblStylePr>
    <w:tblStylePr w:type="lastCol">
      <w:rPr>
        <w:rFonts w:ascii="Arial" w:hAnsi="Arial" w:cs="Times New Roman"/>
        <w:color w:val="F2F2F2"/>
        <w:sz w:val="22"/>
      </w:rPr>
      <w:tcPr>
        <w:shd w:val="clear" w:color="auto" w:fill="7F7F7F"/>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F2F2F2"/>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2F2F2"/>
      </w:tcPr>
    </w:tblStylePr>
  </w:style>
  <w:style w:type="table" w:customStyle="1" w:styleId="58">
    <w:name w:val="Lined - Accent 1"/>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548DD4"/>
      </w:tcPr>
    </w:tblStylePr>
    <w:tblStylePr w:type="lastRow">
      <w:rPr>
        <w:rFonts w:ascii="Arial" w:hAnsi="Arial" w:cs="Times New Roman"/>
        <w:color w:val="F2F2F2"/>
        <w:sz w:val="22"/>
      </w:rPr>
      <w:tcPr>
        <w:shd w:val="clear" w:color="auto" w:fill="548DD4"/>
      </w:tcPr>
    </w:tblStylePr>
    <w:tblStylePr w:type="firstCol">
      <w:rPr>
        <w:rFonts w:ascii="Arial" w:hAnsi="Arial" w:cs="Times New Roman"/>
        <w:color w:val="F2F2F2"/>
        <w:sz w:val="22"/>
      </w:rPr>
      <w:tcPr>
        <w:shd w:val="clear" w:color="auto" w:fill="548DD4"/>
      </w:tcPr>
    </w:tblStylePr>
    <w:tblStylePr w:type="lastCol">
      <w:rPr>
        <w:rFonts w:ascii="Arial" w:hAnsi="Arial" w:cs="Times New Roman"/>
        <w:color w:val="F2F2F2"/>
        <w:sz w:val="22"/>
      </w:rPr>
      <w:tcPr>
        <w:shd w:val="clear" w:color="auto" w:fill="548DD4"/>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C6D9F1"/>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C6D9F1"/>
      </w:tcPr>
    </w:tblStylePr>
  </w:style>
  <w:style w:type="table" w:customStyle="1" w:styleId="59">
    <w:name w:val="Lined - Accent 2"/>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D99594"/>
      </w:tcPr>
    </w:tblStylePr>
    <w:tblStylePr w:type="lastRow">
      <w:rPr>
        <w:rFonts w:ascii="Arial" w:hAnsi="Arial" w:cs="Times New Roman"/>
        <w:color w:val="F2F2F2"/>
        <w:sz w:val="22"/>
      </w:rPr>
      <w:tcPr>
        <w:shd w:val="clear" w:color="auto" w:fill="D99594"/>
      </w:tcPr>
    </w:tblStylePr>
    <w:tblStylePr w:type="firstCol">
      <w:rPr>
        <w:rFonts w:ascii="Arial" w:hAnsi="Arial" w:cs="Times New Roman"/>
        <w:color w:val="F2F2F2"/>
        <w:sz w:val="22"/>
      </w:rPr>
      <w:tcPr>
        <w:shd w:val="clear" w:color="auto" w:fill="D99594"/>
      </w:tcPr>
    </w:tblStylePr>
    <w:tblStylePr w:type="lastCol">
      <w:rPr>
        <w:rFonts w:ascii="Arial" w:hAnsi="Arial" w:cs="Times New Roman"/>
        <w:color w:val="F2F2F2"/>
        <w:sz w:val="22"/>
      </w:rPr>
      <w:tcPr>
        <w:shd w:val="clear" w:color="auto" w:fill="D99594"/>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F2DBDB"/>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2DBDB"/>
      </w:tcPr>
    </w:tblStylePr>
  </w:style>
  <w:style w:type="table" w:customStyle="1" w:styleId="60">
    <w:name w:val="Lined - Accent 3"/>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9BB559"/>
      </w:tcPr>
    </w:tblStylePr>
    <w:tblStylePr w:type="lastRow">
      <w:rPr>
        <w:rFonts w:ascii="Arial" w:hAnsi="Arial" w:cs="Times New Roman"/>
        <w:color w:val="F2F2F2"/>
        <w:sz w:val="22"/>
      </w:rPr>
      <w:tcPr>
        <w:shd w:val="clear" w:color="auto" w:fill="9BB559"/>
      </w:tcPr>
    </w:tblStylePr>
    <w:tblStylePr w:type="firstCol">
      <w:rPr>
        <w:rFonts w:ascii="Arial" w:hAnsi="Arial" w:cs="Times New Roman"/>
        <w:color w:val="F2F2F2"/>
        <w:sz w:val="22"/>
      </w:rPr>
      <w:tcPr>
        <w:shd w:val="clear" w:color="auto" w:fill="9BB559"/>
      </w:tcPr>
    </w:tblStylePr>
    <w:tblStylePr w:type="lastCol">
      <w:rPr>
        <w:rFonts w:ascii="Arial" w:hAnsi="Arial" w:cs="Times New Roman"/>
        <w:color w:val="F2F2F2"/>
        <w:sz w:val="22"/>
      </w:rPr>
      <w:tcPr>
        <w:shd w:val="clear" w:color="auto" w:fill="9BB559"/>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EAF1DD"/>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EAF1DD"/>
      </w:tcPr>
    </w:tblStylePr>
  </w:style>
  <w:style w:type="table" w:customStyle="1" w:styleId="61">
    <w:name w:val="Lined - Accent 4"/>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B2A1C7"/>
      </w:tcPr>
    </w:tblStylePr>
    <w:tblStylePr w:type="lastRow">
      <w:rPr>
        <w:rFonts w:ascii="Arial" w:hAnsi="Arial" w:cs="Times New Roman"/>
        <w:color w:val="F2F2F2"/>
        <w:sz w:val="22"/>
      </w:rPr>
      <w:tcPr>
        <w:shd w:val="clear" w:color="auto" w:fill="B2A1C7"/>
      </w:tcPr>
    </w:tblStylePr>
    <w:tblStylePr w:type="firstCol">
      <w:rPr>
        <w:rFonts w:ascii="Arial" w:hAnsi="Arial" w:cs="Times New Roman"/>
        <w:color w:val="F2F2F2"/>
        <w:sz w:val="22"/>
      </w:rPr>
      <w:tcPr>
        <w:shd w:val="clear" w:color="auto" w:fill="B2A1C7"/>
      </w:tcPr>
    </w:tblStylePr>
    <w:tblStylePr w:type="lastCol">
      <w:rPr>
        <w:rFonts w:ascii="Arial" w:hAnsi="Arial" w:cs="Times New Roman"/>
        <w:color w:val="F2F2F2"/>
        <w:sz w:val="22"/>
      </w:rPr>
      <w:tcPr>
        <w:shd w:val="clear" w:color="auto" w:fill="B2A1C7"/>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E5DFEC"/>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E5DFEC"/>
      </w:tcPr>
    </w:tblStylePr>
  </w:style>
  <w:style w:type="table" w:customStyle="1" w:styleId="62">
    <w:name w:val="Lined - Accent 5"/>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4BACC6"/>
      </w:tcPr>
    </w:tblStylePr>
    <w:tblStylePr w:type="lastRow">
      <w:rPr>
        <w:rFonts w:ascii="Arial" w:hAnsi="Arial" w:cs="Times New Roman"/>
        <w:color w:val="F2F2F2"/>
        <w:sz w:val="22"/>
      </w:rPr>
      <w:tcPr>
        <w:shd w:val="clear" w:color="auto" w:fill="4BACC6"/>
      </w:tcPr>
    </w:tblStylePr>
    <w:tblStylePr w:type="firstCol">
      <w:rPr>
        <w:rFonts w:ascii="Arial" w:hAnsi="Arial" w:cs="Times New Roman"/>
        <w:color w:val="F2F2F2"/>
        <w:sz w:val="22"/>
      </w:rPr>
      <w:tcPr>
        <w:shd w:val="clear" w:color="auto" w:fill="4BACC6"/>
      </w:tcPr>
    </w:tblStylePr>
    <w:tblStylePr w:type="lastCol">
      <w:rPr>
        <w:rFonts w:ascii="Arial" w:hAnsi="Arial" w:cs="Times New Roman"/>
        <w:color w:val="F2F2F2"/>
        <w:sz w:val="22"/>
      </w:rPr>
      <w:tcPr>
        <w:shd w:val="clear" w:color="auto" w:fill="4BACC6"/>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DAEEF3"/>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DAEEF3"/>
      </w:tcPr>
    </w:tblStylePr>
  </w:style>
  <w:style w:type="table" w:customStyle="1" w:styleId="63">
    <w:name w:val="Lined - Accent 6"/>
    <w:qFormat/>
    <w:uiPriority w:val="99"/>
    <w:rPr>
      <w:color w:val="404040"/>
      <w:kern w:val="0"/>
      <w:sz w:val="20"/>
      <w:szCs w:val="20"/>
    </w:rPr>
    <w:tblPr>
      <w:tblCellMar>
        <w:top w:w="96" w:type="dxa"/>
        <w:left w:w="170" w:type="dxa"/>
        <w:bottom w:w="96" w:type="dxa"/>
        <w:right w:w="170" w:type="dxa"/>
      </w:tblCellMar>
    </w:tblPr>
    <w:tblStylePr w:type="firstRow">
      <w:rPr>
        <w:rFonts w:ascii="Arial" w:hAnsi="Arial" w:cs="Times New Roman"/>
        <w:color w:val="F2F2F2"/>
        <w:sz w:val="22"/>
      </w:rPr>
      <w:tcPr>
        <w:shd w:val="clear" w:color="auto" w:fill="F79646"/>
      </w:tcPr>
    </w:tblStylePr>
    <w:tblStylePr w:type="lastRow">
      <w:rPr>
        <w:rFonts w:ascii="Arial" w:hAnsi="Arial" w:cs="Times New Roman"/>
        <w:color w:val="F2F2F2"/>
        <w:sz w:val="22"/>
      </w:rPr>
      <w:tcPr>
        <w:shd w:val="clear" w:color="auto" w:fill="F79646"/>
      </w:tcPr>
    </w:tblStylePr>
    <w:tblStylePr w:type="firstCol">
      <w:rPr>
        <w:rFonts w:ascii="Arial" w:hAnsi="Arial" w:cs="Times New Roman"/>
        <w:color w:val="F2F2F2"/>
        <w:sz w:val="22"/>
      </w:rPr>
      <w:tcPr>
        <w:shd w:val="clear" w:color="auto" w:fill="F79646"/>
      </w:tcPr>
    </w:tblStylePr>
    <w:tblStylePr w:type="lastCol">
      <w:rPr>
        <w:rFonts w:ascii="Arial" w:hAnsi="Arial" w:cs="Times New Roman"/>
        <w:color w:val="F2F2F2"/>
        <w:sz w:val="22"/>
      </w:rPr>
      <w:tcPr>
        <w:shd w:val="clear" w:color="auto" w:fill="F79646"/>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FDE9D9"/>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DE9D9"/>
      </w:tcPr>
    </w:tblStylePr>
  </w:style>
  <w:style w:type="table" w:customStyle="1" w:styleId="64">
    <w:name w:val="Bordered"/>
    <w:qFormat/>
    <w:uiPriority w:val="99"/>
    <w:rPr>
      <w:kern w:val="0"/>
      <w:sz w:val="20"/>
      <w:szCs w:val="20"/>
    </w:r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7F7F7F" w:sz="12" w:space="0"/>
        </w:tcBorders>
      </w:tcPr>
    </w:tblStylePr>
    <w:tblStylePr w:type="lastRow">
      <w:rPr>
        <w:rFonts w:ascii="Arial" w:hAnsi="Arial" w:cs="Times New Roman"/>
        <w:color w:val="404040"/>
        <w:sz w:val="22"/>
      </w:rPr>
      <w:tcPr>
        <w:tcBorders>
          <w:top w:val="single" w:color="7F7F7F" w:sz="12" w:space="0"/>
        </w:tcBorders>
      </w:tcPr>
    </w:tblStylePr>
    <w:tblStylePr w:type="firstCol">
      <w:rPr>
        <w:rFonts w:ascii="Arial" w:hAnsi="Arial" w:cs="Times New Roman"/>
        <w:color w:val="404040"/>
        <w:sz w:val="22"/>
      </w:rPr>
      <w:tcPr>
        <w:tcBorders>
          <w:right w:val="single" w:color="7F7F7F" w:sz="12" w:space="0"/>
        </w:tcBorders>
      </w:tcPr>
    </w:tblStylePr>
    <w:tblStylePr w:type="lastCol">
      <w:rPr>
        <w:rFonts w:ascii="Arial" w:hAnsi="Arial" w:cs="Times New Roman"/>
        <w:color w:val="404040"/>
        <w:sz w:val="22"/>
      </w:rPr>
      <w:tcPr>
        <w:tcBorders>
          <w:left w:val="single" w:color="7F7F7F" w:sz="12" w:space="0"/>
        </w:tcBorders>
      </w:tcPr>
    </w:tblStylePr>
    <w:tblStylePr w:type="band1Horz">
      <w:rPr>
        <w:rFonts w:ascii="Arial" w:hAnsi="Arial" w:cs="Times New Roman"/>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65">
    <w:name w:val="Bordered - Accent 1"/>
    <w:qFormat/>
    <w:uiPriority w:val="99"/>
    <w:rPr>
      <w:kern w:val="0"/>
      <w:sz w:val="20"/>
      <w:szCs w:val="20"/>
    </w:r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4F81BD" w:sz="12" w:space="0"/>
        </w:tcBorders>
      </w:tcPr>
    </w:tblStylePr>
    <w:tblStylePr w:type="lastRow">
      <w:rPr>
        <w:rFonts w:ascii="Arial" w:hAnsi="Arial" w:cs="Times New Roman"/>
        <w:color w:val="404040"/>
        <w:sz w:val="22"/>
      </w:rPr>
      <w:tcPr>
        <w:tcBorders>
          <w:top w:val="single" w:color="4F81BD" w:sz="12" w:space="0"/>
        </w:tcBorders>
      </w:tcPr>
    </w:tblStylePr>
    <w:tblStylePr w:type="firstCol">
      <w:rPr>
        <w:rFonts w:ascii="Arial" w:hAnsi="Arial" w:cs="Times New Roman"/>
        <w:color w:val="404040"/>
        <w:sz w:val="22"/>
      </w:rPr>
      <w:tcPr>
        <w:tcBorders>
          <w:right w:val="single" w:color="4F81BD" w:sz="12" w:space="0"/>
        </w:tcBorders>
      </w:tcPr>
    </w:tblStylePr>
    <w:tblStylePr w:type="lastCol">
      <w:rPr>
        <w:rFonts w:ascii="Arial" w:hAnsi="Arial" w:cs="Times New Roman"/>
        <w:color w:val="404040"/>
        <w:sz w:val="22"/>
      </w:rPr>
      <w:tcPr>
        <w:tcBorders>
          <w:left w:val="single" w:color="4F81BD" w:sz="12" w:space="0"/>
        </w:tcBorders>
      </w:tcPr>
    </w:tblStylePr>
    <w:tblStylePr w:type="band1Horz">
      <w:rPr>
        <w:rFonts w:ascii="Arial" w:hAnsi="Arial" w:cs="Times New Roman"/>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6">
    <w:name w:val="Bordered - Accent 2"/>
    <w:qFormat/>
    <w:uiPriority w:val="99"/>
    <w:rPr>
      <w:kern w:val="0"/>
      <w:sz w:val="20"/>
      <w:szCs w:val="20"/>
    </w:r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D99594" w:sz="12" w:space="0"/>
        </w:tcBorders>
      </w:tcPr>
    </w:tblStylePr>
    <w:tblStylePr w:type="lastRow">
      <w:rPr>
        <w:rFonts w:ascii="Arial" w:hAnsi="Arial" w:cs="Times New Roman"/>
        <w:color w:val="404040"/>
        <w:sz w:val="22"/>
      </w:rPr>
      <w:tcPr>
        <w:tcBorders>
          <w:top w:val="single" w:color="D99594" w:sz="12" w:space="0"/>
        </w:tcBorders>
      </w:tcPr>
    </w:tblStylePr>
    <w:tblStylePr w:type="firstCol">
      <w:rPr>
        <w:rFonts w:ascii="Arial" w:hAnsi="Arial" w:cs="Times New Roman"/>
        <w:color w:val="404040"/>
        <w:sz w:val="22"/>
      </w:rPr>
      <w:tcPr>
        <w:tcBorders>
          <w:right w:val="single" w:color="D99594" w:sz="12" w:space="0"/>
        </w:tcBorders>
      </w:tcPr>
    </w:tblStylePr>
    <w:tblStylePr w:type="lastCol">
      <w:rPr>
        <w:rFonts w:ascii="Arial" w:hAnsi="Arial" w:cs="Times New Roman"/>
        <w:color w:val="404040"/>
        <w:sz w:val="22"/>
      </w:rPr>
      <w:tcPr>
        <w:tcBorders>
          <w:left w:val="single" w:color="D99594" w:sz="12" w:space="0"/>
        </w:tcBorders>
      </w:tcPr>
    </w:tblStylePr>
    <w:tblStylePr w:type="band1Horz">
      <w:rPr>
        <w:rFonts w:ascii="Arial" w:hAnsi="Arial" w:cs="Times New Roman"/>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7">
    <w:name w:val="Bordered - Accent 3"/>
    <w:qFormat/>
    <w:uiPriority w:val="99"/>
    <w:rPr>
      <w:kern w:val="0"/>
      <w:sz w:val="20"/>
      <w:szCs w:val="20"/>
    </w:r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C2D69B" w:sz="12" w:space="0"/>
        </w:tcBorders>
      </w:tcPr>
    </w:tblStylePr>
    <w:tblStylePr w:type="lastRow">
      <w:rPr>
        <w:rFonts w:ascii="Arial" w:hAnsi="Arial" w:cs="Times New Roman"/>
        <w:color w:val="404040"/>
        <w:sz w:val="22"/>
      </w:rPr>
      <w:tcPr>
        <w:tcBorders>
          <w:top w:val="single" w:color="C2D69B" w:sz="12" w:space="0"/>
        </w:tcBorders>
      </w:tcPr>
    </w:tblStylePr>
    <w:tblStylePr w:type="firstCol">
      <w:rPr>
        <w:rFonts w:ascii="Arial" w:hAnsi="Arial" w:cs="Times New Roman"/>
        <w:color w:val="404040"/>
        <w:sz w:val="22"/>
      </w:rPr>
      <w:tcPr>
        <w:tcBorders>
          <w:right w:val="single" w:color="C2D69B" w:sz="12" w:space="0"/>
        </w:tcBorders>
      </w:tcPr>
    </w:tblStylePr>
    <w:tblStylePr w:type="lastCol">
      <w:rPr>
        <w:rFonts w:ascii="Arial" w:hAnsi="Arial" w:cs="Times New Roman"/>
        <w:color w:val="404040"/>
        <w:sz w:val="22"/>
      </w:rPr>
      <w:tcPr>
        <w:tcBorders>
          <w:left w:val="single" w:color="C2D69B" w:sz="12" w:space="0"/>
        </w:tcBorders>
      </w:tcPr>
    </w:tblStylePr>
    <w:tblStylePr w:type="band1Horz">
      <w:rPr>
        <w:rFonts w:ascii="Arial" w:hAnsi="Arial" w:cs="Times New Roman"/>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8">
    <w:name w:val="Bordered - Accent 4"/>
    <w:qFormat/>
    <w:uiPriority w:val="99"/>
    <w:rPr>
      <w:kern w:val="0"/>
      <w:sz w:val="20"/>
      <w:szCs w:val="20"/>
    </w:r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B2A1C7" w:sz="12" w:space="0"/>
        </w:tcBorders>
      </w:tcPr>
    </w:tblStylePr>
    <w:tblStylePr w:type="lastRow">
      <w:rPr>
        <w:rFonts w:ascii="Arial" w:hAnsi="Arial" w:cs="Times New Roman"/>
        <w:color w:val="404040"/>
        <w:sz w:val="22"/>
      </w:rPr>
      <w:tcPr>
        <w:tcBorders>
          <w:top w:val="single" w:color="B2A1C7" w:sz="12" w:space="0"/>
        </w:tcBorders>
      </w:tcPr>
    </w:tblStylePr>
    <w:tblStylePr w:type="firstCol">
      <w:rPr>
        <w:rFonts w:ascii="Arial" w:hAnsi="Arial" w:cs="Times New Roman"/>
        <w:color w:val="404040"/>
        <w:sz w:val="22"/>
      </w:rPr>
      <w:tcPr>
        <w:tcBorders>
          <w:right w:val="single" w:color="B2A1C7" w:sz="12" w:space="0"/>
        </w:tcBorders>
      </w:tcPr>
    </w:tblStylePr>
    <w:tblStylePr w:type="lastCol">
      <w:rPr>
        <w:rFonts w:ascii="Arial" w:hAnsi="Arial" w:cs="Times New Roman"/>
        <w:color w:val="404040"/>
        <w:sz w:val="22"/>
      </w:rPr>
      <w:tcPr>
        <w:tcBorders>
          <w:left w:val="single" w:color="B2A1C7" w:sz="12" w:space="0"/>
        </w:tcBorders>
      </w:tcPr>
    </w:tblStylePr>
    <w:tblStylePr w:type="band1Horz">
      <w:rPr>
        <w:rFonts w:ascii="Arial" w:hAnsi="Arial" w:cs="Times New Roman"/>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9">
    <w:name w:val="Bordered - Accent 5"/>
    <w:qFormat/>
    <w:uiPriority w:val="99"/>
    <w:rPr>
      <w:kern w:val="0"/>
      <w:sz w:val="20"/>
      <w:szCs w:val="20"/>
    </w:r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92CDDC" w:sz="12" w:space="0"/>
        </w:tcBorders>
      </w:tcPr>
    </w:tblStylePr>
    <w:tblStylePr w:type="lastRow">
      <w:rPr>
        <w:rFonts w:ascii="Arial" w:hAnsi="Arial" w:cs="Times New Roman"/>
        <w:color w:val="404040"/>
        <w:sz w:val="22"/>
      </w:rPr>
      <w:tcPr>
        <w:tcBorders>
          <w:top w:val="single" w:color="92CDDC" w:sz="12" w:space="0"/>
        </w:tcBorders>
      </w:tcPr>
    </w:tblStylePr>
    <w:tblStylePr w:type="firstCol">
      <w:rPr>
        <w:rFonts w:ascii="Arial" w:hAnsi="Arial" w:cs="Times New Roman"/>
        <w:color w:val="404040"/>
        <w:sz w:val="22"/>
      </w:rPr>
      <w:tcPr>
        <w:tcBorders>
          <w:right w:val="single" w:color="92CDDC" w:sz="12" w:space="0"/>
        </w:tcBorders>
      </w:tcPr>
    </w:tblStylePr>
    <w:tblStylePr w:type="lastCol">
      <w:rPr>
        <w:rFonts w:ascii="Arial" w:hAnsi="Arial" w:cs="Times New Roman"/>
        <w:color w:val="404040"/>
        <w:sz w:val="22"/>
      </w:rPr>
      <w:tcPr>
        <w:tcBorders>
          <w:left w:val="single" w:color="92CDDC" w:sz="12" w:space="0"/>
        </w:tcBorders>
      </w:tcPr>
    </w:tblStylePr>
    <w:tblStylePr w:type="band1Horz">
      <w:rPr>
        <w:rFonts w:ascii="Arial" w:hAnsi="Arial" w:cs="Times New Roman"/>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70">
    <w:name w:val="Bordered - Accent 6"/>
    <w:qFormat/>
    <w:uiPriority w:val="99"/>
    <w:rPr>
      <w:kern w:val="0"/>
      <w:sz w:val="20"/>
      <w:szCs w:val="20"/>
    </w:r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s="Times New Roman"/>
        <w:color w:val="404040"/>
        <w:sz w:val="22"/>
      </w:rPr>
      <w:tcPr>
        <w:tcBorders>
          <w:bottom w:val="single" w:color="FABF8F" w:sz="12" w:space="0"/>
        </w:tcBorders>
      </w:tcPr>
    </w:tblStylePr>
    <w:tblStylePr w:type="lastRow">
      <w:rPr>
        <w:rFonts w:ascii="Arial" w:hAnsi="Arial" w:cs="Times New Roman"/>
        <w:color w:val="404040"/>
        <w:sz w:val="22"/>
      </w:rPr>
      <w:tcPr>
        <w:tcBorders>
          <w:top w:val="single" w:color="FABF8F" w:sz="12" w:space="0"/>
        </w:tcBorders>
      </w:tcPr>
    </w:tblStylePr>
    <w:tblStylePr w:type="firstCol">
      <w:rPr>
        <w:rFonts w:ascii="Arial" w:hAnsi="Arial" w:cs="Times New Roman"/>
        <w:color w:val="404040"/>
        <w:sz w:val="22"/>
      </w:rPr>
      <w:tcPr>
        <w:tcBorders>
          <w:right w:val="single" w:color="FABF8F" w:sz="12" w:space="0"/>
        </w:tcBorders>
      </w:tcPr>
    </w:tblStylePr>
    <w:tblStylePr w:type="lastCol">
      <w:rPr>
        <w:rFonts w:ascii="Arial" w:hAnsi="Arial" w:cs="Times New Roman"/>
        <w:color w:val="404040"/>
        <w:sz w:val="22"/>
      </w:rPr>
      <w:tcPr>
        <w:tcBorders>
          <w:left w:val="single" w:color="FABF8F" w:sz="12" w:space="0"/>
        </w:tcBorders>
      </w:tcPr>
    </w:tblStylePr>
    <w:tblStylePr w:type="band1Horz">
      <w:rPr>
        <w:rFonts w:ascii="Arial" w:hAnsi="Arial" w:cs="Times New Roman"/>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71">
    <w:name w:val="Bordered &amp; Lined"/>
    <w:qFormat/>
    <w:uiPriority w:val="99"/>
    <w:rPr>
      <w:color w:val="404040"/>
      <w:kern w:val="0"/>
      <w:sz w:val="20"/>
      <w:szCs w:val="2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7F7F7F"/>
      </w:tcPr>
    </w:tblStylePr>
    <w:tblStylePr w:type="lastRow">
      <w:rPr>
        <w:rFonts w:ascii="Arial" w:hAnsi="Arial" w:cs="Times New Roman"/>
        <w:color w:val="F2F2F2"/>
        <w:sz w:val="22"/>
      </w:rPr>
      <w:tcPr>
        <w:shd w:val="clear" w:color="auto" w:fill="7F7F7F"/>
      </w:tcPr>
    </w:tblStylePr>
    <w:tblStylePr w:type="firstCol">
      <w:rPr>
        <w:rFonts w:ascii="Arial" w:hAnsi="Arial" w:cs="Times New Roman"/>
        <w:color w:val="F2F2F2"/>
        <w:sz w:val="22"/>
      </w:rPr>
      <w:tcPr>
        <w:shd w:val="clear" w:color="auto" w:fill="7F7F7F"/>
      </w:tcPr>
    </w:tblStylePr>
    <w:tblStylePr w:type="lastCol">
      <w:rPr>
        <w:rFonts w:ascii="Arial" w:hAnsi="Arial" w:cs="Times New Roman"/>
        <w:color w:val="F2F2F2"/>
        <w:sz w:val="22"/>
      </w:rPr>
      <w:tcPr>
        <w:shd w:val="clear" w:color="auto" w:fill="7F7F7F"/>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D9D9D9"/>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2F2F2"/>
      </w:tcPr>
    </w:tblStylePr>
  </w:style>
  <w:style w:type="table" w:customStyle="1" w:styleId="72">
    <w:name w:val="Bordered &amp; Lined - Accent 1"/>
    <w:qFormat/>
    <w:uiPriority w:val="99"/>
    <w:rPr>
      <w:color w:val="404040"/>
      <w:kern w:val="0"/>
      <w:sz w:val="20"/>
      <w:szCs w:val="2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548DD4"/>
      </w:tcPr>
    </w:tblStylePr>
    <w:tblStylePr w:type="lastRow">
      <w:rPr>
        <w:rFonts w:ascii="Arial" w:hAnsi="Arial" w:cs="Times New Roman"/>
        <w:color w:val="F2F2F2"/>
        <w:sz w:val="22"/>
      </w:rPr>
      <w:tcPr>
        <w:shd w:val="clear" w:color="auto" w:fill="548DD4"/>
      </w:tcPr>
    </w:tblStylePr>
    <w:tblStylePr w:type="firstCol">
      <w:rPr>
        <w:rFonts w:ascii="Arial" w:hAnsi="Arial" w:cs="Times New Roman"/>
        <w:color w:val="F2F2F2"/>
        <w:sz w:val="22"/>
      </w:rPr>
      <w:tcPr>
        <w:shd w:val="clear" w:color="auto" w:fill="548DD4"/>
      </w:tcPr>
    </w:tblStylePr>
    <w:tblStylePr w:type="lastCol">
      <w:rPr>
        <w:rFonts w:ascii="Arial" w:hAnsi="Arial" w:cs="Times New Roman"/>
        <w:color w:val="F2F2F2"/>
        <w:sz w:val="22"/>
      </w:rPr>
      <w:tcPr>
        <w:shd w:val="clear" w:color="auto" w:fill="548DD4"/>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C6D9F1"/>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C6D9F1"/>
      </w:tcPr>
    </w:tblStylePr>
  </w:style>
  <w:style w:type="table" w:customStyle="1" w:styleId="73">
    <w:name w:val="Bordered &amp; Lined - Accent 2"/>
    <w:qFormat/>
    <w:uiPriority w:val="99"/>
    <w:rPr>
      <w:color w:val="404040"/>
      <w:kern w:val="0"/>
      <w:sz w:val="20"/>
      <w:szCs w:val="2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D99594"/>
      </w:tcPr>
    </w:tblStylePr>
    <w:tblStylePr w:type="lastRow">
      <w:rPr>
        <w:rFonts w:ascii="Arial" w:hAnsi="Arial" w:cs="Times New Roman"/>
        <w:color w:val="F2F2F2"/>
        <w:sz w:val="22"/>
      </w:rPr>
      <w:tcPr>
        <w:shd w:val="clear" w:color="auto" w:fill="D99594"/>
      </w:tcPr>
    </w:tblStylePr>
    <w:tblStylePr w:type="firstCol">
      <w:rPr>
        <w:rFonts w:ascii="Arial" w:hAnsi="Arial" w:cs="Times New Roman"/>
        <w:color w:val="F2F2F2"/>
        <w:sz w:val="22"/>
      </w:rPr>
      <w:tcPr>
        <w:shd w:val="clear" w:color="auto" w:fill="D99594"/>
      </w:tcPr>
    </w:tblStylePr>
    <w:tblStylePr w:type="lastCol">
      <w:rPr>
        <w:rFonts w:ascii="Arial" w:hAnsi="Arial" w:cs="Times New Roman"/>
        <w:color w:val="F2F2F2"/>
        <w:sz w:val="22"/>
      </w:rPr>
      <w:tcPr>
        <w:shd w:val="clear" w:color="auto" w:fill="D99594"/>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F2DBDB"/>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2DBDB"/>
      </w:tcPr>
    </w:tblStylePr>
  </w:style>
  <w:style w:type="table" w:customStyle="1" w:styleId="74">
    <w:name w:val="Bordered &amp; Lined - Accent 3"/>
    <w:qFormat/>
    <w:uiPriority w:val="99"/>
    <w:rPr>
      <w:color w:val="404040"/>
      <w:kern w:val="0"/>
      <w:sz w:val="20"/>
      <w:szCs w:val="2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9BBB59"/>
      </w:tcPr>
    </w:tblStylePr>
    <w:tblStylePr w:type="lastRow">
      <w:rPr>
        <w:rFonts w:ascii="Arial" w:hAnsi="Arial" w:cs="Times New Roman"/>
        <w:color w:val="F2F2F2"/>
        <w:sz w:val="22"/>
      </w:rPr>
      <w:tcPr>
        <w:shd w:val="clear" w:color="auto" w:fill="9BBB59"/>
      </w:tcPr>
    </w:tblStylePr>
    <w:tblStylePr w:type="firstCol">
      <w:rPr>
        <w:rFonts w:ascii="Arial" w:hAnsi="Arial" w:cs="Times New Roman"/>
        <w:color w:val="F2F2F2"/>
        <w:sz w:val="22"/>
      </w:rPr>
      <w:tcPr>
        <w:shd w:val="clear" w:color="auto" w:fill="9BBB59"/>
      </w:tcPr>
    </w:tblStylePr>
    <w:tblStylePr w:type="lastCol">
      <w:rPr>
        <w:rFonts w:ascii="Arial" w:hAnsi="Arial" w:cs="Times New Roman"/>
        <w:color w:val="F2F2F2"/>
        <w:sz w:val="22"/>
      </w:rPr>
      <w:tcPr>
        <w:shd w:val="clear" w:color="auto" w:fill="9BBB59"/>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EAF1DD"/>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EAF1DD"/>
      </w:tcPr>
    </w:tblStylePr>
  </w:style>
  <w:style w:type="table" w:customStyle="1" w:styleId="75">
    <w:name w:val="Bordered &amp; Lined - Accent 4"/>
    <w:qFormat/>
    <w:uiPriority w:val="99"/>
    <w:rPr>
      <w:color w:val="404040"/>
      <w:kern w:val="0"/>
      <w:sz w:val="20"/>
      <w:szCs w:val="2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B2A1C7"/>
      </w:tcPr>
    </w:tblStylePr>
    <w:tblStylePr w:type="lastRow">
      <w:rPr>
        <w:rFonts w:ascii="Arial" w:hAnsi="Arial" w:cs="Times New Roman"/>
        <w:color w:val="F2F2F2"/>
        <w:sz w:val="22"/>
      </w:rPr>
      <w:tcPr>
        <w:shd w:val="clear" w:color="auto" w:fill="B2A1C7"/>
      </w:tcPr>
    </w:tblStylePr>
    <w:tblStylePr w:type="firstCol">
      <w:rPr>
        <w:rFonts w:ascii="Arial" w:hAnsi="Arial" w:cs="Times New Roman"/>
        <w:color w:val="F2F2F2"/>
        <w:sz w:val="22"/>
      </w:rPr>
      <w:tcPr>
        <w:shd w:val="clear" w:color="auto" w:fill="B2A1C7"/>
      </w:tcPr>
    </w:tblStylePr>
    <w:tblStylePr w:type="lastCol">
      <w:rPr>
        <w:rFonts w:ascii="Arial" w:hAnsi="Arial" w:cs="Times New Roman"/>
        <w:color w:val="F2F2F2"/>
        <w:sz w:val="22"/>
      </w:rPr>
      <w:tcPr>
        <w:shd w:val="clear" w:color="auto" w:fill="B2A1C7"/>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E5DFEC"/>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E5DFEC"/>
      </w:tcPr>
    </w:tblStylePr>
  </w:style>
  <w:style w:type="table" w:customStyle="1" w:styleId="76">
    <w:name w:val="Bordered &amp; Lined - Accent 5"/>
    <w:qFormat/>
    <w:uiPriority w:val="99"/>
    <w:rPr>
      <w:color w:val="404040"/>
      <w:kern w:val="0"/>
      <w:sz w:val="20"/>
      <w:szCs w:val="2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4BACC6"/>
      </w:tcPr>
    </w:tblStylePr>
    <w:tblStylePr w:type="lastRow">
      <w:rPr>
        <w:rFonts w:ascii="Arial" w:hAnsi="Arial" w:cs="Times New Roman"/>
        <w:color w:val="F2F2F2"/>
        <w:sz w:val="22"/>
      </w:rPr>
      <w:tcPr>
        <w:shd w:val="clear" w:color="auto" w:fill="4BACC6"/>
      </w:tcPr>
    </w:tblStylePr>
    <w:tblStylePr w:type="firstCol">
      <w:rPr>
        <w:rFonts w:ascii="Arial" w:hAnsi="Arial" w:cs="Times New Roman"/>
        <w:color w:val="F2F2F2"/>
        <w:sz w:val="22"/>
      </w:rPr>
      <w:tcPr>
        <w:shd w:val="clear" w:color="auto" w:fill="4BACC6"/>
      </w:tcPr>
    </w:tblStylePr>
    <w:tblStylePr w:type="lastCol">
      <w:rPr>
        <w:rFonts w:ascii="Arial" w:hAnsi="Arial" w:cs="Times New Roman"/>
        <w:color w:val="F2F2F2"/>
        <w:sz w:val="22"/>
      </w:rPr>
      <w:tcPr>
        <w:shd w:val="clear" w:color="auto" w:fill="4BACC6"/>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DAEEF3"/>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DAEEF3"/>
      </w:tcPr>
    </w:tblStylePr>
  </w:style>
  <w:style w:type="table" w:customStyle="1" w:styleId="77">
    <w:name w:val="Bordered &amp; Lined - Accent 6"/>
    <w:qFormat/>
    <w:uiPriority w:val="99"/>
    <w:rPr>
      <w:color w:val="404040"/>
      <w:kern w:val="0"/>
      <w:sz w:val="20"/>
      <w:szCs w:val="2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s="Times New Roman"/>
        <w:color w:val="F2F2F2"/>
        <w:sz w:val="22"/>
      </w:rPr>
      <w:tcPr>
        <w:shd w:val="clear" w:color="auto" w:fill="F79646"/>
      </w:tcPr>
    </w:tblStylePr>
    <w:tblStylePr w:type="lastRow">
      <w:rPr>
        <w:rFonts w:ascii="Arial" w:hAnsi="Arial" w:cs="Times New Roman"/>
        <w:color w:val="F2F2F2"/>
        <w:sz w:val="22"/>
      </w:rPr>
      <w:tcPr>
        <w:shd w:val="clear" w:color="auto" w:fill="F79646"/>
      </w:tcPr>
    </w:tblStylePr>
    <w:tblStylePr w:type="firstCol">
      <w:rPr>
        <w:rFonts w:ascii="Arial" w:hAnsi="Arial" w:cs="Times New Roman"/>
        <w:color w:val="F2F2F2"/>
        <w:sz w:val="22"/>
      </w:rPr>
      <w:tcPr>
        <w:shd w:val="clear" w:color="auto" w:fill="F79646"/>
      </w:tcPr>
    </w:tblStylePr>
    <w:tblStylePr w:type="lastCol">
      <w:rPr>
        <w:rFonts w:ascii="Arial" w:hAnsi="Arial" w:cs="Times New Roman"/>
        <w:color w:val="F2F2F2"/>
        <w:sz w:val="22"/>
      </w:rPr>
      <w:tcPr>
        <w:shd w:val="clear" w:color="auto" w:fill="F79646"/>
      </w:tcPr>
    </w:tblStylePr>
    <w:tblStylePr w:type="band1Vert">
      <w:rPr>
        <w:rFonts w:ascii="Arial" w:hAnsi="Arial" w:cs="Times New Roman"/>
        <w:color w:val="404040"/>
        <w:sz w:val="22"/>
      </w:rPr>
    </w:tblStylePr>
    <w:tblStylePr w:type="band2Vert">
      <w:rPr>
        <w:rFonts w:ascii="Arial" w:hAnsi="Arial" w:cs="Times New Roman"/>
        <w:color w:val="404040"/>
        <w:sz w:val="22"/>
      </w:rPr>
      <w:tcPr>
        <w:shd w:val="clear" w:color="auto" w:fill="FDE9D9"/>
      </w:tcPr>
    </w:tblStylePr>
    <w:tblStylePr w:type="band1Horz">
      <w:rPr>
        <w:rFonts w:ascii="Arial" w:hAnsi="Arial" w:cs="Times New Roman"/>
        <w:color w:val="404040"/>
        <w:sz w:val="22"/>
      </w:rPr>
    </w:tblStylePr>
    <w:tblStylePr w:type="band2Horz">
      <w:rPr>
        <w:rFonts w:ascii="Arial" w:hAnsi="Arial" w:cs="Times New Roman"/>
        <w:color w:val="404040"/>
        <w:sz w:val="22"/>
      </w:rPr>
      <w:tcPr>
        <w:shd w:val="clear" w:color="auto" w:fill="FDE9D9"/>
      </w:tcPr>
    </w:tblStylePr>
  </w:style>
  <w:style w:type="paragraph" w:customStyle="1" w:styleId="78">
    <w:name w:val="TOC Heading1"/>
    <w:qFormat/>
    <w:uiPriority w:val="99"/>
    <w:pPr>
      <w:shd w:val="clear" w:color="auto" w:fill="FFFFFF"/>
    </w:pPr>
    <w:rPr>
      <w:rFonts w:ascii="Times New Roman" w:hAnsi="Times New Roman" w:eastAsia="宋体" w:cs="Times New Roman"/>
      <w:kern w:val="0"/>
      <w:sz w:val="20"/>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1171</Words>
  <Characters>1355</Characters>
  <Lines>0</Lines>
  <Paragraphs>0</Paragraphs>
  <TotalTime>1</TotalTime>
  <ScaleCrop>false</ScaleCrop>
  <LinksUpToDate>false</LinksUpToDate>
  <CharactersWithSpaces>1504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2021-05-28T01:27:00Z</dcterms:created>
  <dc:creator>93411</dc:creator>
  <cp:lastModifiedBy>Administrator</cp:lastModifiedBy>
  <cp:lastPrinted>2025-10-05T16:01:00Z</cp:lastPrinted>
  <dcterms:modified xsi:type="dcterms:W3CDTF">2026-04-17T03:48:02Z</dcterms:modified>
  <dc:title>福建省龙岩监狱</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F41ACEA66F18F16AC9CDAF69AD937155</vt:lpwstr>
  </property>
</Properties>
</file>