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罪犯黄俊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 w:val="30"/>
          <w:szCs w:val="30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〔2026〕闽龙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监</w:t>
      </w:r>
      <w:r>
        <w:rPr>
          <w:rFonts w:hint="eastAsia" w:ascii="楷体_GB2312" w:hAnsi="楷体_GB2312" w:eastAsia="楷体_GB2312" w:cs="楷体_GB2312"/>
          <w:sz w:val="32"/>
          <w:szCs w:val="32"/>
        </w:rPr>
        <w:t>减字第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336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黄俊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福建省三明市</w:t>
      </w:r>
      <w:r>
        <w:rPr>
          <w:rFonts w:hint="eastAsia" w:ascii="仿宋_GB2312" w:hAnsi="仿宋_GB2312" w:eastAsia="仿宋_GB2312" w:cs="仿宋_GB2312"/>
          <w:sz w:val="32"/>
          <w:szCs w:val="32"/>
        </w:rPr>
        <w:t>，汉族，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因犯抢劫罪于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1998年8月21日被三明市梅列区人民法院判处有期徒刑六个月，并处罚金一万元，1998年10月3日刑满释放。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福建省三明市中级人民法院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三刑初字第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33号刑事附带民事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黄俊犯故意伤害罪，判处无期徒刑，剥夺政治权利终身，赔偿附带民事诉讼原告人艾永标、黄珍秀经济损失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415873元，扣除已支付的50000元，余款365873元；赔偿附带民事诉讼原告人宝升平经济损失133742.3元；赔偿附带民事诉讼原告人辛衍军经济损失人民币68893.32元；赔偿附带民事诉讼原告人罗朝龙经济损失人民币11089.06元。判决后，被告人黄俊不服，提出上诉。福建省高级人民法院于2011年7月12日作出（2011）闽刑终字第152号刑事附带民事裁定，驳回上诉，维持原判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2011年8月16日交付我狱执行刑罚。因罪犯黄俊在服刑期间确有悔改表现，福建省高级人民法院于2014年12月19日作出（2014）闽刑执字第721号刑事裁定，对其减为十八年六个月，剥夺政治权利减为七年；福建省龙岩市中级人民法院于2017年4月7日作出（2017）闽08刑更3372号刑事裁定，对其减为有期徒刑八个月，剥夺政治权利七年不变；2019年8月26日作出闽08刑更3724号刑事裁定，对其减去有期徒刑七个月十五天，剥夺政治权利减为六年；2022年5月25日作出（2022）闽08刑更3205号刑事裁定，对其减去有期徒刑六个月，剥夺政治权利减为五年，裁定于2022年5月30日送达。刑期至2031年9月3日止。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上次减刑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基本能</w:t>
      </w:r>
      <w:r>
        <w:rPr>
          <w:rFonts w:hint="eastAsia" w:ascii="仿宋_GB2312" w:hAnsi="仿宋_GB2312" w:eastAsia="仿宋_GB2312" w:cs="仿宋_GB2312"/>
          <w:sz w:val="32"/>
          <w:szCs w:val="32"/>
        </w:rPr>
        <w:t>遵守监规纪律及法律法规，接受教育改造。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：该犯上次评定表扬剩余考核分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150分，考核期2022年1月至2025年12月，获得考核分4996分，合计获得考核分5146分，表扬七次，物质奖励一次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间隔期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2022年5月30日起至2025年12月止，获得考核分4484分。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考核期内违规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1次，扣10分。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该犯财产性判项已缴纳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98600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，本次缴纳财产性判项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27600元。考核期内月均消费285.28元，账户可用余额348.27元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该犯系从严掌握减刑幅度对象。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黄俊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去有期徒刑六个月，剥夺政治权利减为四年，</w:t>
      </w:r>
      <w:r>
        <w:rPr>
          <w:rFonts w:hint="eastAsia" w:ascii="仿宋_GB2312" w:hAnsi="仿宋_GB2312" w:eastAsia="仿宋_GB2312" w:cs="仿宋_GB231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796" w:rightChars="379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right="-94" w:firstLine="4800" w:firstLineChars="1500"/>
        <w:jc w:val="left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74" w:right="1587" w:bottom="1474" w:left="1587" w:header="851" w:footer="992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404793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1B0856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404793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0116FF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730115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CEDF9A6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121669"/>
    <w:rsid w:val="7D2B4456"/>
    <w:rsid w:val="7DA43599"/>
    <w:rsid w:val="7E6A3F54"/>
    <w:rsid w:val="7F3B0B29"/>
    <w:rsid w:val="7F7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FFFFFF"/>
      <w:spacing w:before="0" w:beforeLines="0" w:beforeAutospacing="0" w:after="0" w:afterLines="0" w:afterAutospacing="0" w:line="240" w:lineRule="auto"/>
      <w:ind w:left="0" w:right="0" w:firstLine="0"/>
      <w:jc w:val="both"/>
    </w:pPr>
    <w:rPr>
      <w:rFonts w:hint="default" w:ascii="Calibri" w:hAnsi="Calibri" w:eastAsia="宋体" w:cs="Times New Roman"/>
      <w:color w:val="auto"/>
      <w:spacing w:val="0"/>
      <w:position w:val="0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qFormat/>
    <w:uiPriority w:val="99"/>
    <w:pPr>
      <w:spacing w:beforeAutospacing="1" w:afterAutospacing="1"/>
      <w:jc w:val="lef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2026-03-09T21:21:00Z</dcterms:created>
  <dc:creator>维保公司</dc:creator>
  <cp:lastModifiedBy>uosuser</cp:lastModifiedBy>
  <dcterms:modified xsi:type="dcterms:W3CDTF">2026-04-15T10:12:52Z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D42E205CB3F140B7868A21F309B4FF41</vt:lpwstr>
  </property>
</Properties>
</file>