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福建省闽西监狱民警食堂物资配送服务采购</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CGXM-2025-350001-04237[2025]02957</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[350001]FJGC[GK]2025018</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福建省闽西监狱</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福建国诚招标有限公司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2025年06月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福建国诚招标有限公司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福建省闽西监狱民警食堂物资配送服务采购</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CGXM-2025-350001-04237[2025]02957</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[350001]FJGC[GK]2025018</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政府采购进口产品管理办法（财库〔2007〕119号）、关于政府采购进口产品管理有关问题的通知（财办库〔2008〕248号）、《福建省财政厅关于进一步做好政府采购进口产品审核工作的通知》（闽财购〔2021〕6号）（服务类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国务院办公厅关于建立政府强制采购节能产品制度的通知》国办发[2007]51号、财政部国家发展改革委关于印发《节能产品政府采购实施意见》的通知(财库[2004]185号)、财政部发展改革委生态环境部市场监管总局印发《关于调整优化节能产品、环境标志产品政府采购执行机制的通知》(财库〔2019〕9号)（服务类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财政部 发展改革委 生态环境部 市场监管总局印发《关于调整优化节能产品、环境标志产品政府采购执行机制的通知》(财库〔2019〕9号)、《福建省财政厅关于加强政府绿色采购工作的通知》(闽财规〔2024〕3 号)的规定（服务类项目不适用）。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供应商提供《政府采购供应商资格承诺函》(以下简称《承诺函》，格式详见附件)的，在投标文件中可不提供【营业执照、财务状况报告(财务报告、或资信证明)、依法缴纳税收证明材料、依法缴纳社会保障资金证明材料、具备履行合同所必需设备和专业技术能力的声明函、参加采购活动前三年内在经营活动中没有重大违法记录的声明】。说明：①投标人可自行选择是否提供本承诺函，若不提供本承诺函的，应按招标文件要求提供相应的证明材料。②投标人应对其承诺内容的真实性、合法性、有效性负责。③投标人应当遵循诚实守信的原则，不得作出虚假承诺，承诺不实的，属于提供虚假材料谋取中标、成交，依法追究相关的法律责任。</w:t>
            </w:r>
          </w:p>
        </w:tc>
      </w:tr>
      <w:tr>
        <w:tc>
          <w:tcPr>
            <w:tcW w:type="dxa" w:w="3692"/>
          </w:tcPr>
          <w:p>
            <w:pPr>
              <w:pStyle w:val="null3"/>
              <w:jc w:val="both"/>
            </w:pPr>
            <w:r>
              <w:rPr>
                <w:rFonts w:ascii="仿宋_GB2312" w:hAnsi="仿宋_GB2312" w:cs="仿宋_GB2312" w:eastAsia="仿宋_GB2312"/>
              </w:rPr>
              <w:t>其他资格条件</w:t>
            </w:r>
          </w:p>
        </w:tc>
        <w:tc>
          <w:tcPr>
            <w:tcW w:type="dxa" w:w="4614"/>
          </w:tcPr>
          <w:p>
            <w:pPr>
              <w:pStyle w:val="null3"/>
              <w:jc w:val="both"/>
            </w:pPr>
            <w:r>
              <w:rPr>
                <w:rFonts w:ascii="仿宋_GB2312" w:hAnsi="仿宋_GB2312" w:cs="仿宋_GB2312" w:eastAsia="仿宋_GB2312"/>
              </w:rPr>
              <w:t>投标人须提供有效的《食品卫生许可证》或《食品流通许可证》或《食品经营许可证》或《食品药品生产经营许可证》复印件并加盖投标人公章。在投标截止时间前，如因国家政策调整，国家有关行政部门有颁发新的食品方面许可证书的，应从其规定。</w:t>
            </w:r>
          </w:p>
        </w:tc>
      </w:tr>
      <w:tr>
        <w:tc>
          <w:tcPr>
            <w:tcW w:type="dxa" w:w="3692"/>
          </w:tcPr>
          <w:p>
            <w:pPr>
              <w:pStyle w:val="null3"/>
              <w:jc w:val="both"/>
            </w:pPr>
            <w:r>
              <w:rPr>
                <w:rFonts w:ascii="仿宋_GB2312" w:hAnsi="仿宋_GB2312" w:cs="仿宋_GB2312" w:eastAsia="仿宋_GB2312"/>
              </w:rPr>
              <w:t>投标保证金</w:t>
            </w:r>
          </w:p>
        </w:tc>
        <w:tc>
          <w:tcPr>
            <w:tcW w:type="dxa" w:w="4614"/>
          </w:tcPr>
          <w:p>
            <w:pPr>
              <w:pStyle w:val="null3"/>
              <w:jc w:val="both"/>
            </w:pPr>
            <w:r>
              <w:rPr>
                <w:rFonts w:ascii="仿宋_GB2312" w:hAnsi="仿宋_GB2312" w:cs="仿宋_GB2312" w:eastAsia="仿宋_GB2312"/>
              </w:rPr>
              <w:t>投标保证金应符合招标文件第三章“投标人须知”中“四、投标”关于“10.9投标保证金”第(2)、(3)点的要求。</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本采购包专门面向小微企业采购，非小微企业的将被拒绝，须提供相关证明材料：1、本采购包供应商提供的服务应符合《政府采购促进中小企业发展管理办法》(财库〔2020〕46号)第四条规定的情形，且应当提供《政府采购促进中小企业发展管理办法》(财库〔2020〕46号)规定的《中小企业声明函》，格式见第七章《投标文件格式》附件。本项目采购标的对应的中小企业划分标准所属行业为批发业，应对应填写《中小企业声明函》(服务)模板；若供应商填写的《中小企业声明函》不是对应模板的或者提供的《中小企业声明函》中填写的行业与招标文件明确的采购标的对应的中小企业划分标准所属行业不一致，均不予认定为小微企业。2、供应商为监狱企业的视同小型和微型企业，可不提供以上第1材料，但应当提供由省级以上监狱管理局、戒毒管理局(含新疆生产建设兵团)出具的属于监狱企业的证明文件。3、供应商为残疾人福利性单位的视同小型和微型企业，可不提供以上第1点材料，但应当提供《残疾人福利性单位声明函》，格式见第七章《投标文件格式》附件。</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福建省闽西监狱</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福建省龙岩市新罗区中城凤凰北路2号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赖先生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0597-5309186</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福建国诚招标有限公司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福州市鼓楼区古田路中美大厦二十四层东单元</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徐一彬</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0591-83393301</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福建国诚招标有限公司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4,400,000.00</w:t>
      </w:r>
    </w:p>
    <w:p>
      <w:pPr>
        <w:pStyle w:val="null3"/>
        <w:jc w:val="left"/>
      </w:pPr>
      <w:r>
        <w:rPr>
          <w:rFonts w:ascii="仿宋_GB2312" w:hAnsi="仿宋_GB2312" w:cs="仿宋_GB2312" w:eastAsia="仿宋_GB2312"/>
        </w:rPr>
        <w:t>采购包最高限价（元）: 4,400,000.00</w:t>
      </w:r>
    </w:p>
    <w:p>
      <w:pPr>
        <w:pStyle w:val="null3"/>
        <w:jc w:val="left"/>
      </w:pPr>
      <w:r>
        <w:rPr>
          <w:rFonts w:ascii="仿宋_GB2312" w:hAnsi="仿宋_GB2312" w:cs="仿宋_GB2312" w:eastAsia="仿宋_GB2312"/>
        </w:rPr>
        <w:t>采购包保证金金额（元）: 44,000.00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福建省闽西监狱民警食堂物资配送服务</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4,400,000.00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批发业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福建省闽西监狱民警食堂物资配送服务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福建省闽西监狱民警食堂物资配送服务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福建省闽西监狱民警食堂物资配送服务</w:t>
            </w:r>
          </w:p>
        </w:tc>
        <w:tc>
          <w:tcPr>
            <w:tcW w:type="dxa" w:w="2076"/>
          </w:tcPr>
          <w:p>
            <w:pPr>
              <w:pStyle w:val="null3"/>
              <w:jc w:val="left"/>
            </w:pPr>
            <w:r>
              <w:rPr>
                <w:rFonts w:ascii="仿宋_GB2312" w:hAnsi="仿宋_GB2312" w:cs="仿宋_GB2312" w:eastAsia="仿宋_GB2312"/>
              </w:rPr>
              <w:t>福建省闽西监狱民警食堂物资配送服务</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4,400,000.00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中标候选人并列的，按“技术部分”的得分高低排序；若技术部分得分也相同的，则按“商务部分”的得分高低排序；若技术部分得分与商务部分得分也相同的，则采取随机抽取方式确定。</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福建国诚招标有限公司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-1根据本项目政府采购委托协议中“有关费用问题”的约定，中标人应按差额定率累进法计算，向采购代理机构交纳招标代理服务费(中标服务费)。(本文件中其他有关招标代理服务费(中标服务费)的收费情况与此处不一致，以此处为准) ①本项目为福建省闽西监狱与所属企业福建龙岩锦泰工贸有限责任公司联合采购项目，福建省闽西监狱采购金额440万元/2年，福建龙岩锦泰工贸有限责任公司采购金额45万元/2年。招标代理服务费以预算金额（485万元）作为计算基数。②招标代理服务收费的标准：50(万元)以下收费费率标准：1 %，50－100(万元)收费费率标准:0.9％；100－500(万元)收费费率标准:0.5％；(1)-2招标代理服务费收取方式：①中标人应在领取中标通知书的同时按规定的标准一次性向采购代理机构缴清招标代理服务费。招标代理服务费以银行转账、电汇、汇票或现金等付款方式。②招标代理服务费缴交银行账号：开户名：福建国诚招标有限公司；开户行：中国建设银行福州城东支行；账号：3500 1610 0070 5253 0977。</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最高限价：本项目按统一“下浮率”进行报价（所有产品的下浮率须一致），因福建省政府采购网上公开信息系统无法填报投标“下浮率”，只能填写金额，因此各投标人在电子后台系统上应填写下浮后的投标总价（投标总价“四舍五入”保留至小数点后两位，以“元”为单位），作为本项目的价格评审及下浮率计算使用。中标下浮率计算方式：中标下浮率=(1-系统投标总价÷系统预算金额440万元）×100%。根据《中华人民共和国价格法》第六条、第十八条规定，投标人依法有权自主制定属于市场调节的价格，有权根据企业的生产经营成本等自身情况和市场供求状况等外部因素自主定价。 (2)-2实质性要求和条件： (2)-2.1无效投标及废标条款： 以下为可能导致无效投标或废标的条款，具体内容详见招标文件各章节，请各投标人认真查看对照： ①投标报价不符合投标人须知前附表1“最高限价”条款规定的。 ②不符合投标人须知前附表1“实质性要求和条件”条款规定的。 ③出现“评标方法和标准”无效投标规定的。 ④出现第三章投标人须知无效投标规定的。 ⑤出现第四章资格审查与评标无效投标规定的。 ⑥出现第五章招标内容及要求中“★”标示的内容为负偏离的。 ⑦出现第五章招标内容及要求无效投标规定的。 ⑧明显不符合技术和服务要求的为无效投标。 ⑨内容不全或关键字迹模糊、无法辨认的为无效投标。 (2)-3根据《政府采购质疑和投诉办法》(财政部令第94号)第十六条的规定：对采购过程……应当依法另行确定中标、成交供应商；否则应当重新开展采购活动。 (2)-4质疑与投诉 (2)-4.1质疑 (2)-4.1.1根据《政府采购质疑和投诉办法》(财政部令第94号)第十条规定，供应商认为……提出质疑。 根据《中华人民共和国政府采购法实施条例》第五十三条规定，政府采购法第五十二条规定的供应商应知其权益受到损害之日，是指： ①对可以质疑的采购文件提出质疑的，为收到采购文件之日或者采购文件公告期限届满之日； ②对采购过程提出质疑的，为各采购程序环节结束之日； ③对成交结果提出质疑的，为成交结果公告期限届满之日。 (2)-4.1.2供应商在法定质疑期内须一次性提出针对同一采购程序环节的质疑。 (2)-4.1.3接收质疑函的方式、联系部门、联系电话和通讯地址： ①接收质疑函的方式：现场方式； ②接收质疑函的联系部门：办公室； ③接收质疑函的联系电话：0591-83393306； ④接收质疑函的通讯地址：福州市古田路107号中美大厦24层福建国诚招标有限公司。 (2)-4.2投诉 (2)-4.2.1根据《政府采购质疑和投诉办法》(财政部令第94号)第十八条规定，“投诉人投诉时,……提供投诉书的副本”。 根据《政府采购质疑和投诉办法》(财政部令第94号)第二十条规定，“供应商投诉的事项不得超出已质疑事项的范围，但基于质疑答复内容提出的投诉事项除外。” (2)-5无供应商为本次采购项目提供设计、编制规范、进行管理等服务。</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第二章“投标人须知前附表”表2中关于“⑥关于投标截止时间过后”规定“b.有下列情形之一的，其投标无效,其保证金不予退还：b1不同投标人的电子投标文件具有相同内部识别码；b2不同投标人的投标保证金从同一单位或个人的账户转出；”</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b.根据《福建省财政厅关于电子化政府采购项目中视为串标情形认定与处理的指导意见》闽财购〔2018〕30号规定，有下列情形之一的，视为投标人串通投标，其投标无效，没收其投标保证金，并书面报告本级财政部门： b1不同投标人的投标保证金转出账户的银行账户名 称相同的； b2投标人上传电子投标文件被福建省政府采购网上公开信息系统投标客户端所赋予的项目内部识别码与本招标项目的其他投标人相同的； b3系统记录的编制电子投标文件使用的计算机或上传电子投标文件使用的计算机网卡 MAC 地址与本招标项目的其他投标人一致的； b4投标人上传的电子投标文件若出现使用本项目其他投标人的数字证书加密的或加盖本项目的其他投标人的电子印章的。</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⑧-1电子投标文件的投标总价、投标客户端填写的投标报价应保持一致，并以投标客户端填写的投标报价为准。</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福建国诚招标有限公司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福建国诚招标有限公司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福建国诚招标有限公司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福建国诚招标有限公司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福建国诚招标有限公司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福建国诚招标有限公司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福建国诚招标有限公司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福建国诚招标有限公司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福建国诚招标有限公司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福建国诚招标有限公司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福建国诚招标有限公司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福建国诚招标有限公司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福建国诚招标有限公司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福建国诚招标有限公司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福建国诚招标有限公司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福建国诚招标有限公司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福建国诚招标有限公司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福建国诚招标有限公司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福建国诚招标有限公司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福建国诚招标有限公司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福建国诚招标有限公司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福建国诚招标有限公司</w:t>
      </w:r>
      <w:r>
        <w:rPr>
          <w:rFonts w:ascii="仿宋_GB2312" w:hAnsi="仿宋_GB2312" w:cs="仿宋_GB2312" w:eastAsia="仿宋_GB2312"/>
        </w:rPr>
        <w:t xml:space="preserve"> 提出询问， </w:t>
      </w:r>
      <w:r>
        <w:rPr>
          <w:rFonts w:ascii="仿宋_GB2312" w:hAnsi="仿宋_GB2312" w:cs="仿宋_GB2312" w:eastAsia="仿宋_GB2312"/>
        </w:rPr>
        <w:t>福建国诚招标有限公司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福建国诚招标有限公司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福建国诚招标有限公司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由福建国诚招标有限公司派出的工作人员至少1人，</w:t>
      </w:r>
      <w:r>
        <w:rPr>
          <w:rFonts w:ascii="仿宋_GB2312" w:hAnsi="仿宋_GB2312" w:cs="仿宋_GB2312" w:eastAsia="仿宋_GB2312"/>
        </w:rPr>
        <w:t>其余1人可为采购人代表或福建国诚招标有限公司的工作人员。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供应商提供《政府采购供应商资格承诺函》(以下简称《承诺函》，格式详见附件)的，在投标文件中可不提供【营业执照、财务状况报告(财务报告、或资信证明)、依法缴纳税收证明材料、依法缴纳社会保障资金证明材料、具备履行合同所必需设备和专业技术能力的声明函、参加采购活动前三年内在经营活动中没有重大违法记录的声明】。说明：①投标人可自行选择是否提供本承诺函，若不提供本承诺函的，应按招标文件要求提供相应的证明材料。②投标人应对其承诺内容的真实性、合法性、有效性负责。③投标人应当遵循诚实守信的原则，不得作出虚假承诺，承诺不实的，属于提供虚假材料谋取中标、成交，依法追究相关的法律责任。</w:t>
            </w:r>
          </w:p>
        </w:tc>
      </w:tr>
      <w:tr>
        <w:tc>
          <w:tcPr>
            <w:tcW w:type="dxa" w:w="3692"/>
          </w:tcPr>
          <w:p>
            <w:pPr>
              <w:pStyle w:val="null3"/>
              <w:jc w:val="left"/>
            </w:pPr>
            <w:r>
              <w:rPr>
                <w:rFonts w:ascii="仿宋_GB2312" w:hAnsi="仿宋_GB2312" w:cs="仿宋_GB2312" w:eastAsia="仿宋_GB2312"/>
              </w:rPr>
              <w:t>其他资格条件</w:t>
            </w:r>
          </w:p>
        </w:tc>
        <w:tc>
          <w:tcPr>
            <w:tcW w:type="dxa" w:w="4614"/>
          </w:tcPr>
          <w:p>
            <w:pPr>
              <w:pStyle w:val="null3"/>
              <w:jc w:val="left"/>
            </w:pPr>
            <w:r>
              <w:rPr>
                <w:rFonts w:ascii="仿宋_GB2312" w:hAnsi="仿宋_GB2312" w:cs="仿宋_GB2312" w:eastAsia="仿宋_GB2312"/>
              </w:rPr>
              <w:t>投标人须提供有效的《食品卫生许可证》或《食品流通许可证》或《食品经营许可证》或《食品药品生产经营许可证》复印件并加盖投标人公章。在投标截止时间前，如因国家政策调整，国家有关行政部门有颁发新的食品方面许可证书的，应从其规定。</w:t>
            </w:r>
          </w:p>
        </w:tc>
      </w:tr>
      <w:tr>
        <w:tc>
          <w:tcPr>
            <w:tcW w:type="dxa" w:w="3692"/>
          </w:tcPr>
          <w:p>
            <w:pPr>
              <w:pStyle w:val="null3"/>
              <w:jc w:val="left"/>
            </w:pPr>
            <w:r>
              <w:rPr>
                <w:rFonts w:ascii="仿宋_GB2312" w:hAnsi="仿宋_GB2312" w:cs="仿宋_GB2312" w:eastAsia="仿宋_GB2312"/>
              </w:rPr>
              <w:t>投标保证金</w:t>
            </w:r>
          </w:p>
        </w:tc>
        <w:tc>
          <w:tcPr>
            <w:tcW w:type="dxa" w:w="4614"/>
          </w:tcPr>
          <w:p>
            <w:pPr>
              <w:pStyle w:val="null3"/>
              <w:jc w:val="left"/>
            </w:pPr>
            <w:r>
              <w:rPr>
                <w:rFonts w:ascii="仿宋_GB2312" w:hAnsi="仿宋_GB2312" w:cs="仿宋_GB2312" w:eastAsia="仿宋_GB2312"/>
              </w:rPr>
              <w:t>投标保证金应符合招标文件第三章“投标人须知”中“四、投标”关于“10.9投标保证金”第(2)、(3)点的要求。</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专门面向小微企业采购，非小微企业的将被拒绝，须提供相关证明材料：1、本采购包供应商提供的服务应符合《政府采购促进中小企业发展管理办法》(财库〔2020〕46号)第四条规定的情形，且应当提供《政府采购促进中小企业发展管理办法》(财库〔2020〕46号)规定的《中小企业声明函》，格式见第七章《投标文件格式》附件。本项目采购标的对应的中小企业划分标准所属行业为批发业，应对应填写《中小企业声明函》(服务)模板；若供应商填写的《中小企业声明函》不是对应模板的或者提供的《中小企业声明函》中填写的行业与招标文件明确的采购标的对应的中小企业划分标准所属行业不一致，均不予认定为小微企业。2、供应商为监狱企业的视同小型和微型企业，可不提供以上第1材料，但应当提供由省级以上监狱管理局、戒毒管理局(含新疆生产建设兵团)出具的属于监狱企业的证明文件。3、供应商为残疾人福利性单位的视同小型和微型企业，可不提供以上第1点材料，但应当提供《残疾人福利性单位声明函》，格式见第七章《投标文件格式》附件。</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投标文件的资格及资信证明部分中出现报价部分的全部或部分的投标报价信息(或组成资料)。</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福建国诚招标有限公司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福建国诚招标有限公司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福建国诚招标有限公司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福建国诚招标有限公司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福建国诚招标有限公司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未按照招标文件规定要求签署、盖章的；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投标文件载明的招标项目交付时间超过招标文件规定或未载明招标项目交付时间的；</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投标文件载明的检验标准和方法等不符合招标文件要求或未载明检验标准和方法的；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不符合招标文件中规定的实质性要求和条件的。</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情形8</w:t>
            </w:r>
          </w:p>
        </w:tc>
        <w:tc>
          <w:tcPr>
            <w:tcW w:type="dxa" w:w="4153"/>
          </w:tcPr>
          <w:p>
            <w:pPr>
              <w:pStyle w:val="null3"/>
              <w:jc w:val="left"/>
            </w:pPr>
            <w:r>
              <w:rPr>
                <w:rFonts w:ascii="仿宋_GB2312" w:hAnsi="仿宋_GB2312" w:cs="仿宋_GB2312" w:eastAsia="仿宋_GB2312"/>
              </w:rPr>
              <w:t>属于招标文件中规定的无效投标条款的。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情形9</w:t>
            </w:r>
          </w:p>
        </w:tc>
        <w:tc>
          <w:tcPr>
            <w:tcW w:type="dxa" w:w="4153"/>
          </w:tcPr>
          <w:p>
            <w:pPr>
              <w:pStyle w:val="null3"/>
              <w:jc w:val="left"/>
            </w:pPr>
            <w:r>
              <w:rPr>
                <w:rFonts w:ascii="仿宋_GB2312" w:hAnsi="仿宋_GB2312" w:cs="仿宋_GB2312" w:eastAsia="仿宋_GB2312"/>
              </w:rPr>
              <w:t>投标文件组成不符合招标文件要求的；</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情形10</w:t>
            </w:r>
          </w:p>
        </w:tc>
        <w:tc>
          <w:tcPr>
            <w:tcW w:type="dxa" w:w="4153"/>
          </w:tcPr>
          <w:p>
            <w:pPr>
              <w:pStyle w:val="null3"/>
              <w:jc w:val="left"/>
            </w:pPr>
            <w:r>
              <w:rPr>
                <w:rFonts w:ascii="仿宋_GB2312" w:hAnsi="仿宋_GB2312" w:cs="仿宋_GB2312" w:eastAsia="仿宋_GB2312"/>
              </w:rPr>
              <w:t>一个投标人不止投一个标；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情形11</w:t>
            </w:r>
          </w:p>
        </w:tc>
        <w:tc>
          <w:tcPr>
            <w:tcW w:type="dxa" w:w="4153"/>
          </w:tcPr>
          <w:p>
            <w:pPr>
              <w:pStyle w:val="null3"/>
              <w:jc w:val="left"/>
            </w:pPr>
            <w:r>
              <w:rPr>
                <w:rFonts w:ascii="仿宋_GB2312" w:hAnsi="仿宋_GB2312" w:cs="仿宋_GB2312" w:eastAsia="仿宋_GB2312"/>
              </w:rPr>
              <w:t>属于招标文件规定的符合性审查不合格情形；</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情形12</w:t>
            </w:r>
          </w:p>
        </w:tc>
        <w:tc>
          <w:tcPr>
            <w:tcW w:type="dxa" w:w="4153"/>
          </w:tcPr>
          <w:p>
            <w:pPr>
              <w:pStyle w:val="null3"/>
              <w:jc w:val="left"/>
            </w:pPr>
            <w:r>
              <w:rPr>
                <w:rFonts w:ascii="仿宋_GB2312" w:hAnsi="仿宋_GB2312" w:cs="仿宋_GB2312" w:eastAsia="仿宋_GB2312"/>
              </w:rPr>
              <w:t>属于招标文件规定评标委员会应否决其投标的情形；</w:t>
            </w:r>
          </w:p>
        </w:tc>
      </w:tr>
      <w:tr>
        <w:tc>
          <w:tcPr>
            <w:tcW w:type="dxa" w:w="1038"/>
          </w:tcPr>
          <w:p>
            <w:pPr>
              <w:pStyle w:val="null3"/>
              <w:jc w:val="left"/>
            </w:pPr>
            <w:r>
              <w:rPr>
                <w:rFonts w:ascii="仿宋_GB2312" w:hAnsi="仿宋_GB2312" w:cs="仿宋_GB2312" w:eastAsia="仿宋_GB2312"/>
              </w:rPr>
              <w:t>13</w:t>
            </w:r>
          </w:p>
        </w:tc>
        <w:tc>
          <w:tcPr>
            <w:tcW w:type="dxa" w:w="3115"/>
          </w:tcPr>
          <w:p>
            <w:pPr>
              <w:pStyle w:val="null3"/>
              <w:jc w:val="left"/>
            </w:pPr>
            <w:r>
              <w:rPr>
                <w:rFonts w:ascii="仿宋_GB2312" w:hAnsi="仿宋_GB2312" w:cs="仿宋_GB2312" w:eastAsia="仿宋_GB2312"/>
              </w:rPr>
              <w:t>情形13</w:t>
            </w:r>
          </w:p>
        </w:tc>
        <w:tc>
          <w:tcPr>
            <w:tcW w:type="dxa" w:w="4153"/>
          </w:tcPr>
          <w:p>
            <w:pPr>
              <w:pStyle w:val="null3"/>
              <w:jc w:val="left"/>
            </w:pPr>
            <w:r>
              <w:rPr>
                <w:rFonts w:ascii="仿宋_GB2312" w:hAnsi="仿宋_GB2312" w:cs="仿宋_GB2312" w:eastAsia="仿宋_GB2312"/>
              </w:rPr>
              <w:t>投标文件的技术商务部分中出现报价部分的全部或部分的投标报价信息(或组成资料)。</w:t>
            </w:r>
          </w:p>
        </w:tc>
      </w:tr>
      <w:tr>
        <w:tc>
          <w:tcPr>
            <w:tcW w:type="dxa" w:w="1038"/>
          </w:tcPr>
          <w:p>
            <w:pPr>
              <w:pStyle w:val="null3"/>
              <w:jc w:val="left"/>
            </w:pPr>
            <w:r>
              <w:rPr>
                <w:rFonts w:ascii="仿宋_GB2312" w:hAnsi="仿宋_GB2312" w:cs="仿宋_GB2312" w:eastAsia="仿宋_GB2312"/>
              </w:rPr>
              <w:t>14</w:t>
            </w:r>
          </w:p>
        </w:tc>
        <w:tc>
          <w:tcPr>
            <w:tcW w:type="dxa" w:w="3115"/>
          </w:tcPr>
          <w:p>
            <w:pPr>
              <w:pStyle w:val="null3"/>
              <w:jc w:val="left"/>
            </w:pPr>
            <w:r>
              <w:rPr>
                <w:rFonts w:ascii="仿宋_GB2312" w:hAnsi="仿宋_GB2312" w:cs="仿宋_GB2312" w:eastAsia="仿宋_GB2312"/>
              </w:rPr>
              <w:t>情形14</w:t>
            </w:r>
          </w:p>
        </w:tc>
        <w:tc>
          <w:tcPr>
            <w:tcW w:type="dxa" w:w="4153"/>
          </w:tcPr>
          <w:p>
            <w:pPr>
              <w:pStyle w:val="null3"/>
              <w:jc w:val="left"/>
            </w:pPr>
            <w:r>
              <w:rPr>
                <w:rFonts w:ascii="仿宋_GB2312" w:hAnsi="仿宋_GB2312" w:cs="仿宋_GB2312" w:eastAsia="仿宋_GB2312"/>
              </w:rPr>
              <w:t>评标委员会认为应当停止评标工作的。</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2、不符合招标文件中规定的实质性要求和条件；</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3、属于招标文件中规定的无效投标条款的情形；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5、属于招标文件规定评标委员会应否决其投标的情形；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6、投标文件的技术部分中出现报价部分的全部或部分的投标报价信息(或组成资料)。</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2、投标文件载明的招标项目交付时间超过招标文件规定或未载明招标项目交付时间的；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3、投标文件载明的检验标准和方法等不符合招标文件要求或未载明检验标准和方法的；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5、不符合招标文件中规定的实质性要求和条件；</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6、属于招标文件中规定的无效投标条款的情形；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7、属于招标文件规定评标委员会应否决其投标的情形；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8、投标文件的商务部分中出现报价部分的全部或部分的投标报价信息(或组成资料)。</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9、招标文件第五章“三、商务条件”中内容出负偏离的，按无效投标处理。</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报价相同的，采取随机抽取方式确定，其他投标无效。</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评审得分相同的，则按“价格部分”的得分高低排序；若投标人的评审得分相同且价格部分得分也相同的，则按“技术部分”的得分高低排序；若评审得分相同且价格部分与技术部分得分也相同的，则按“商务部分”的得分高低排序；若评审得分相同、价格部分得分相同且技术部分得分与商务部分得分也相同的，则采取随机抽取方式确定。其他同品牌投标人不作为中标候选人。</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福建国诚招标有限公司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价格项（F1×A1）满分为20.0000分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15.00%</w:t>
            </w:r>
          </w:p>
        </w:tc>
        <w:tc>
          <w:tcPr>
            <w:tcW w:type="dxa" w:w="5191"/>
          </w:tcPr>
          <w:p>
            <w:pPr>
              <w:pStyle w:val="null3"/>
              <w:jc w:val="left"/>
            </w:pPr>
            <w:r>
              <w:rPr>
                <w:rFonts w:ascii="仿宋_GB2312" w:hAnsi="仿宋_GB2312" w:cs="仿宋_GB2312" w:eastAsia="仿宋_GB2312"/>
              </w:rPr>
              <w:t>(1)执行财政部 发展改革委 生态环境部 市场监管总局印发《关于调整优化节能产品、环境标志产品政府采购执行机制的通知》(财库〔2019〕9号)、《福建省财政厅关于加强政府绿色采购工作的通知》(闽财规〔2024〕3 号)的规定。 (2)节能(非强制类产品)、环境标志产品评审优惠内容及幅度如下： ①对节能产品、环境标志产品政府采购品目清单范围内，实施优先采购的产品，给予产品价格报价15%的扣除，用扣除后的价格参加评审。采购标的同时包含其它非优先采购产品的，投标人在报价时必须对优先采购产品和非优先采购产品分项报价、单独填写扣除表，并提供产品认证证书复印件附在报价部分且加盖供应商公章。优先采购产品和非优先采购产品未单独分项报价或未提供产品认证证书复印件的不给予价格扣除。非优先采购产品的报价不享受给予节能产品、环境标志产品的价格扣除优惠。 ②对于同时属于环境标志和节能的产品，应当优先于只获得其中一项认证的产品。若节能、环境标志产品仅是构成投标产品的部件、组件或零件的，则该报价产品不享受鼓励优惠政策。评标委员会审查此项响应性只根据投标文件本身的内容，而不寻求其他的外部证据。</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技术项（F2×A2）满分为62.0000分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技术性能响应情况</w:t>
            </w:r>
          </w:p>
        </w:tc>
        <w:tc>
          <w:tcPr>
            <w:tcW w:type="dxa" w:w="831"/>
          </w:tcPr>
          <w:p>
            <w:pPr>
              <w:pStyle w:val="null3"/>
              <w:jc w:val="right"/>
            </w:pPr>
            <w:r>
              <w:rPr>
                <w:rFonts w:ascii="仿宋_GB2312" w:hAnsi="仿宋_GB2312" w:cs="仿宋_GB2312" w:eastAsia="仿宋_GB2312"/>
              </w:rPr>
              <w:t>19.00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招标文件第五章“招标内容及要求”中“二、技术和服务要求”的响应情况，由评标委员会进行评分，完全响应评标指标要求的得19分；其中，①标注“★”的评审指标为不允许负偏离的实质性要求，若有负偏离的其投标无效；②其余评审指标（共10项）每负偏离一项扣1.9分，正偏离不加分。注：标有评审指标序号(例如评审指标1、评审指标2）的指标项即为一项评审指标要求，无论是否隶属于上一级编号，其评审指标项下技术要求若有任意内容负偏离的均按该项评审指标项负偏离处理。</w:t>
            </w:r>
          </w:p>
        </w:tc>
      </w:tr>
      <w:tr>
        <w:tc>
          <w:tcPr>
            <w:tcW w:type="dxa" w:w="3322"/>
          </w:tcPr>
          <w:p>
            <w:pPr>
              <w:pStyle w:val="null3"/>
              <w:jc w:val="both"/>
            </w:pPr>
            <w:r>
              <w:rPr>
                <w:rFonts w:ascii="仿宋_GB2312" w:hAnsi="仿宋_GB2312" w:cs="仿宋_GB2312" w:eastAsia="仿宋_GB2312"/>
              </w:rPr>
              <w:t>货源保障</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内产品的长期合作货源投标人情况进行评分：依照蔬菜水果类、粮油调味类、水产海鲜类、肉类、禽蛋类、冻品类以上6个类别，投标人每个类别至少提供2家货源供应证明材料的得0.5分，满分3分。须同时提供①货源供应商营业执照复印件；②投标人与货源供应商签订的供货合同复印件（合同期一年及以上）；③货源供应商开具的税务发票复印件及该发票在国家税务总局发票查验平台上查验结果的截图（网址：https://inv-veri.chinatax.gov.cn/index.html）。未提供、提供材料无法明确货源供应类别或提供不全的均不得分。</w:t>
            </w:r>
          </w:p>
        </w:tc>
      </w:tr>
      <w:tr>
        <w:tc>
          <w:tcPr>
            <w:tcW w:type="dxa" w:w="3322"/>
          </w:tcPr>
          <w:p>
            <w:pPr>
              <w:pStyle w:val="null3"/>
              <w:jc w:val="both"/>
            </w:pPr>
            <w:r>
              <w:rPr>
                <w:rFonts w:ascii="仿宋_GB2312" w:hAnsi="仿宋_GB2312" w:cs="仿宋_GB2312" w:eastAsia="仿宋_GB2312"/>
              </w:rPr>
              <w:t>食材检测能力</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投入确保本项目食品安全的检测能力，具备病害肉检测仪器、瘦肉精检测仪器、食品甲醛检测仪器、食品微生物检测仪器、农药残留检测仪器等，每提供一个仪器符合检测能力要求的得0.5分（多台设备中如有相同功能的则不重复得分，只就该功能计算其中一台得分；同一种类仪器提供多台的，按一台计算分值），满分2分，未提供或未按要求提供的不得分。须提供检测设备清单、购置发票复印件，以及包含固定资产标志（标志应注明所有人、采购时间）的设备图片，设备发票购买方名称须与投标人一致，且须提供在国家税务总局增值税发票查验平台上对该发票查验结果的截图，未提供或提供不齐全的均不得分。</w:t>
            </w:r>
          </w:p>
        </w:tc>
      </w:tr>
      <w:tr>
        <w:tc>
          <w:tcPr>
            <w:tcW w:type="dxa" w:w="3322"/>
          </w:tcPr>
          <w:p>
            <w:pPr>
              <w:pStyle w:val="null3"/>
              <w:jc w:val="both"/>
            </w:pPr>
            <w:r>
              <w:rPr>
                <w:rFonts w:ascii="仿宋_GB2312" w:hAnsi="仿宋_GB2312" w:cs="仿宋_GB2312" w:eastAsia="仿宋_GB2312"/>
              </w:rPr>
              <w:t>食材检测报告</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提供投标截止时间前六个月内任意时间（不含投标当月）送检的食材（包括蔬菜类、水果类、肉类、水产类、冻品类、副食品类）合格检测报告，每提供一种上述检测报告的得0.5分，满分3分（同一产品有多份检测报告的，按一份计算）。提供具有检验检测机构资质的机构出具的有效检验检测报告复印件，检测报告须体现“CMA或CNAS”标识，否则不得分。原件备查。</w:t>
            </w:r>
          </w:p>
        </w:tc>
      </w:tr>
      <w:tr>
        <w:tc>
          <w:tcPr>
            <w:tcW w:type="dxa" w:w="3322"/>
          </w:tcPr>
          <w:p>
            <w:pPr>
              <w:pStyle w:val="null3"/>
              <w:jc w:val="both"/>
            </w:pPr>
            <w:r>
              <w:rPr>
                <w:rFonts w:ascii="仿宋_GB2312" w:hAnsi="仿宋_GB2312" w:cs="仿宋_GB2312" w:eastAsia="仿宋_GB2312"/>
              </w:rPr>
              <w:t>车辆配置情况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服务于本项目厢式冷藏车数量进行打分：数量为1台的得1分，数量为2台的得2分，数量≥3台的得3分。【车辆自有的须同时提供:①冷藏车机动车销售统一发票复印件；②冷藏车车辆注册登记证复印件；③冷藏车有效行驶证复印件；④车辆照片；如车辆为租赁的应同时提供①车辆行驶证以及②租赁合同、③税务发票</w:t>
            </w:r>
          </w:p>
        </w:tc>
      </w:tr>
      <w:tr>
        <w:tc>
          <w:tcPr>
            <w:tcW w:type="dxa" w:w="3322"/>
          </w:tcPr>
          <w:p>
            <w:pPr>
              <w:pStyle w:val="null3"/>
              <w:jc w:val="both"/>
            </w:pPr>
            <w:r>
              <w:rPr>
                <w:rFonts w:ascii="仿宋_GB2312" w:hAnsi="仿宋_GB2312" w:cs="仿宋_GB2312" w:eastAsia="仿宋_GB2312"/>
              </w:rPr>
              <w:t>网络便捷服务平台</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食材订购网络平台或手机APP软件（或小程序）且具备线上（网络)远程下单能力的得2分。投标人须提供线上下单操作流程截图（或网站运营截图）及下单平台地址，若为网络下单平台的，则须提供网址（如需账号密码，还需提供账号密码)；若为手机APP(或小程序)的，则提供软件下载地址或登入方式（如需账号密码还需提供账号密码)；投标人应按以上要求提供相关材料并加盖单位公章，未按要求提供相关材料的不得分。</w:t>
            </w:r>
          </w:p>
        </w:tc>
      </w:tr>
      <w:tr>
        <w:tc>
          <w:tcPr>
            <w:tcW w:type="dxa" w:w="3322"/>
          </w:tcPr>
          <w:p>
            <w:pPr>
              <w:pStyle w:val="null3"/>
              <w:jc w:val="both"/>
            </w:pPr>
            <w:r>
              <w:rPr>
                <w:rFonts w:ascii="仿宋_GB2312" w:hAnsi="仿宋_GB2312" w:cs="仿宋_GB2312" w:eastAsia="仿宋_GB2312"/>
              </w:rPr>
              <w:t>仓储卫生保障</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备规范的食品物资消杀方式对食品物资储藏仓储地点及运输车辆进行定期消杀的得3分。须提供投标截止时间前六个月期间的任一个月份（不含投标截止时间当月）仓储、车辆消杀证明、以及消杀单位具备规范的食品物资消杀条件的相关证明材料【投标人应同时提供以下证明材料：①投标截止时间前六个月期间的任一个月份（不含投标截止时间当月）的仓储、车辆消杀记录，消杀记录应体现消杀日期、地点、消杀范围、使用的消毒剂名称及浓度等详细信息，②投标人自身具备规范的食品物资消杀条件的，提供相关资质证明材料或提供完善的消杀流程及制度方案、具备消杀从业资格的相关人员证书、消杀工具设备的实物照片及对应设备购买税务发票复印件（发票购买方名称须与投标人一致并提供国家税务总局发票查验平台上对该发票查验结果截图证明）；投标人委托第三方有资质的专业消杀机构消杀的，提供第三方的相关资质证明材料、消杀合同及相应消杀款项的往来款发票(发票购买方名称须与投标人一致并提供国家税务总局发票查验平台上对该发票查验结果截图证明】，以上材料均须加盖投标人公章，否则不得分。</w:t>
            </w:r>
          </w:p>
        </w:tc>
      </w:tr>
      <w:tr>
        <w:tc>
          <w:tcPr>
            <w:tcW w:type="dxa" w:w="3322"/>
          </w:tcPr>
          <w:p>
            <w:pPr>
              <w:pStyle w:val="null3"/>
              <w:jc w:val="both"/>
            </w:pPr>
            <w:r>
              <w:rPr>
                <w:rFonts w:ascii="仿宋_GB2312" w:hAnsi="仿宋_GB2312" w:cs="仿宋_GB2312" w:eastAsia="仿宋_GB2312"/>
              </w:rPr>
              <w:t>整体配送方案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整体配送方案（包含但不限于：①配送车辆及人员管理；②配送流程；③临时紧急配送管理等要点）由评委进行评议并打分，方案包含的要点齐全无缺漏项、内容与要点相符、每个要点均有展开详细的阐述且全部能够适用于本项目得3分；方案所包含的要点齐全、内容与要点相符、每个要点均有展开阐述但部分能够适用于本项目的得2.9分；方案所包含的要点有缺漏、内容与要点相符但仅有纲要、内容简略，未展开详细阐述且小部分能够适用于本项目的得2.7分；未提供或内容完全错误、完全不适用于本项目需求的均不得分。</w:t>
            </w:r>
          </w:p>
        </w:tc>
      </w:tr>
      <w:tr>
        <w:tc>
          <w:tcPr>
            <w:tcW w:type="dxa" w:w="3322"/>
          </w:tcPr>
          <w:p>
            <w:pPr>
              <w:pStyle w:val="null3"/>
              <w:jc w:val="both"/>
            </w:pPr>
            <w:r>
              <w:rPr>
                <w:rFonts w:ascii="仿宋_GB2312" w:hAnsi="仿宋_GB2312" w:cs="仿宋_GB2312" w:eastAsia="仿宋_GB2312"/>
              </w:rPr>
              <w:t>运营保障方案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运营保障方案（包含但不限于：①人员的配置；②团队架构；③具体岗位职责及分工等要点）由评委进行评议并打分，方案包含的要点齐全无缺漏项、内容与要点相符、每个要点均有展开详细的阐述且全部能够适用于本项目得3分；方案所包含的要点齐全、内容与要点相符、每个要点均有展开阐述但部分能够适用于本项目的得2.9分；方案所包含的要点有缺漏、内容与要点相符但仅有纲要、内容简略，未展开详细阐述且小部分能够适用于本项目的得2.7分；未提供或内容完全错误、完全不适用于本项目需求的均不得分。</w:t>
            </w:r>
          </w:p>
        </w:tc>
      </w:tr>
      <w:tr>
        <w:tc>
          <w:tcPr>
            <w:tcW w:type="dxa" w:w="3322"/>
          </w:tcPr>
          <w:p>
            <w:pPr>
              <w:pStyle w:val="null3"/>
              <w:jc w:val="both"/>
            </w:pPr>
            <w:r>
              <w:rPr>
                <w:rFonts w:ascii="仿宋_GB2312" w:hAnsi="仿宋_GB2312" w:cs="仿宋_GB2312" w:eastAsia="仿宋_GB2312"/>
              </w:rPr>
              <w:t>食品安全保障机制情况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食品安全保障机制情况(包含但不限于①食品来源及存储；②加工及包装；③日常检验等各环节等要点)由评委进行评议并打分，方案包含的要点齐全无缺漏项、内容与要点相符、每个要点均有展开详细的阐述且全部能够适用于本项目得3分；方案所包含的要点齐全、内容与要点相符、每个要点均有展开阐述但部分能够适用于本项目的得2.9分；方案所包含的要点有缺漏、内容与要点相符但仅有纲要、内容简略，未展开详细阐述且小部分能够适用于本项目的得2.7分；未提供或内容完全错误、完全不适用于本项目需求的均不得分。</w:t>
            </w:r>
          </w:p>
        </w:tc>
      </w:tr>
      <w:tr>
        <w:tc>
          <w:tcPr>
            <w:tcW w:type="dxa" w:w="3322"/>
          </w:tcPr>
          <w:p>
            <w:pPr>
              <w:pStyle w:val="null3"/>
              <w:jc w:val="both"/>
            </w:pPr>
            <w:r>
              <w:rPr>
                <w:rFonts w:ascii="仿宋_GB2312" w:hAnsi="仿宋_GB2312" w:cs="仿宋_GB2312" w:eastAsia="仿宋_GB2312"/>
              </w:rPr>
              <w:t>质量保证方案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产品质量保证方案（包含但不限于：①如何避免出现食物中毒事件；②食物中毒发生后的应急方案；③食品中毒发生后的赔偿措施等要点）由评委进行评议并打分，方案包含的要点齐全无缺漏项、内容与要点相符、每个要点均有展开详细的阐述且全部能够适用于本项目得3分；方案所包含的要点齐全、内容与要点相符、每个要点均有展开阐述但部分能够适用于本项目的得2.9分；方案所包含的要点有缺漏、内容与要点相符但仅有纲要、内容简略，未展开详细阐述且小部分能够适用于本项目的得2.7分；未提供或内容完全错误、完全不适用于本项目需求的均不得分。</w:t>
            </w:r>
          </w:p>
        </w:tc>
      </w:tr>
      <w:tr>
        <w:tc>
          <w:tcPr>
            <w:tcW w:type="dxa" w:w="3322"/>
          </w:tcPr>
          <w:p>
            <w:pPr>
              <w:pStyle w:val="null3"/>
              <w:jc w:val="both"/>
            </w:pPr>
            <w:r>
              <w:rPr>
                <w:rFonts w:ascii="仿宋_GB2312" w:hAnsi="仿宋_GB2312" w:cs="仿宋_GB2312" w:eastAsia="仿宋_GB2312"/>
              </w:rPr>
              <w:t>配送管理方案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配送管理方案（包含但不限于：①配送人员及车辆的安排；②订单核验清单；③食材出库的复检；④验收交接的流程规范等要点）由评委进行评议并打分，方案包含的要点齐全无缺漏项、内容与要点相符、每个要点均有展开详细的阐述且全部能够适用于本项目得3分；方案所包含的要点齐全、内容与要点相符、每个要点均有展开阐述但部分能够适用于本项目的得2.9分；方案所包含的要点有缺漏、内容与要点相符但仅有纲要、内容简略，未展开详细阐述且小部分能够适用于本项目的得2.7分；未提供或内容完全错误、完全不适用于本项目需求的均不得分。</w:t>
            </w:r>
          </w:p>
        </w:tc>
      </w:tr>
      <w:tr>
        <w:tc>
          <w:tcPr>
            <w:tcW w:type="dxa" w:w="3322"/>
          </w:tcPr>
          <w:p>
            <w:pPr>
              <w:pStyle w:val="null3"/>
              <w:jc w:val="both"/>
            </w:pPr>
            <w:r>
              <w:rPr>
                <w:rFonts w:ascii="仿宋_GB2312" w:hAnsi="仿宋_GB2312" w:cs="仿宋_GB2312" w:eastAsia="仿宋_GB2312"/>
              </w:rPr>
              <w:t>内部管理制度</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内部制度（包含但不限于：①货源采购人员管理制度；②加工人员工作管理制度；③仓库管理制度；④资料档案管理制度等要点）由评委进行评议并打分，方案包含的要点齐全无缺漏项、内容与要点相符、每个要点均有展开详细的阐述且全部能够适用于本项目得3分；方案所包含的要点齐全、内容与要点相符、每个要点均有展开阐述但部分能够适用于本项目的得2.9分；方案所包含的要点有缺漏、内容与要点相符但仅有纲要、内容简略，未展开详细阐述且小部分能够适用于本项目的得2.7分；未提供或内容完全错误、完全不适用于本项目需求的均不得分。</w:t>
            </w:r>
          </w:p>
        </w:tc>
      </w:tr>
      <w:tr>
        <w:tc>
          <w:tcPr>
            <w:tcW w:type="dxa" w:w="3322"/>
          </w:tcPr>
          <w:p>
            <w:pPr>
              <w:pStyle w:val="null3"/>
              <w:jc w:val="both"/>
            </w:pPr>
            <w:r>
              <w:rPr>
                <w:rFonts w:ascii="仿宋_GB2312" w:hAnsi="仿宋_GB2312" w:cs="仿宋_GB2312" w:eastAsia="仿宋_GB2312"/>
              </w:rPr>
              <w:t>活动或节假日货物供应保证方案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的活动或节假日货物供应保证方案（包含但不限于：①采购人临时活动任务；②节假日；③重要或大型活动的应急供应；④日常储备、供应时限、供应方式；⑤考评方案；⑥检查方案等要点）由评委进行评议并打分，方案包含的要点齐全无缺漏项、内容与要点相符、每个要点均有展开详细的阐述且全部能够适用于本项目得3分；方案所包含的要点齐全、内容与要点相符、每个要点均有展开阐述但部分能够适用于本项目的得2.9分；方案所包含的要点有缺漏、内容与要点相符但仅有纲要、内容简略，未展开详细阐述且小部分能够适用于本项目的得2.7分；未提供或内容完全错误、完全不适用于本项目需求的均不得分。</w:t>
            </w:r>
          </w:p>
        </w:tc>
      </w:tr>
      <w:tr>
        <w:tc>
          <w:tcPr>
            <w:tcW w:type="dxa" w:w="3322"/>
          </w:tcPr>
          <w:p>
            <w:pPr>
              <w:pStyle w:val="null3"/>
              <w:jc w:val="both"/>
            </w:pPr>
            <w:r>
              <w:rPr>
                <w:rFonts w:ascii="仿宋_GB2312" w:hAnsi="仿宋_GB2312" w:cs="仿宋_GB2312" w:eastAsia="仿宋_GB2312"/>
              </w:rPr>
              <w:t>应急方案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应急方案（包含但不限于：①自然灾害应急方案；②停水、停电应急方案；③疫情应急方案；④食物中毒事件应急处理方案；⑤防洪防台风的应急方案等要点）由评委进行评议并打分，方案包含的要点齐全无缺漏项、内容与要点相符、每个要点均有展开详细的阐述且全部能够适用于本项目得3分；方案所包含的要点齐全、内容与要点相符、每个要点均有展开阐述但部分能够适用于本项目的得2.9分；方案所包含的要点有缺漏、内容与要点相符但仅有纲要、内容简略，未展开详细阐述且小部分能够适用于本项目的得2.7分；未提供或内容完全错误、完全不适用于本项目需求的均不得分。</w:t>
            </w:r>
          </w:p>
        </w:tc>
      </w:tr>
      <w:tr>
        <w:tc>
          <w:tcPr>
            <w:tcW w:type="dxa" w:w="3322"/>
          </w:tcPr>
          <w:p>
            <w:pPr>
              <w:pStyle w:val="null3"/>
              <w:jc w:val="both"/>
            </w:pPr>
            <w:r>
              <w:rPr>
                <w:rFonts w:ascii="仿宋_GB2312" w:hAnsi="仿宋_GB2312" w:cs="仿宋_GB2312" w:eastAsia="仿宋_GB2312"/>
              </w:rPr>
              <w:t>退换货方案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的退换货方案（包含但不限于：①明确具体的退换货范围；②退换货流程；③退换货时限承诺等要点）由评委进行评议并打分，方案包含的要点齐全无缺漏项、内容与要点相符、每个要点均有展开详细的阐述且全部能够适用于本项目得3分；方案所包含的要点齐全、内容与要点相符、每个要点均有展开阐述但部分能够适用于本项目的得2.9分；方案所包含的要点有缺漏、内容与要点相符但仅有纲要、内容简略，未展开详细阐述且小部分能够适用于本项目的得2.7分；未提供或内容完全错误、完全不适用于本项目需求的均不得分。</w:t>
            </w:r>
          </w:p>
        </w:tc>
      </w:tr>
    </w:tbl>
    <w:p>
      <w:pPr>
        <w:pStyle w:val="null3"/>
        <w:jc w:val="both"/>
      </w:pPr>
      <w:r>
        <w:rPr>
          <w:rFonts w:ascii="仿宋_GB2312" w:hAnsi="仿宋_GB2312" w:cs="仿宋_GB2312" w:eastAsia="仿宋_GB2312"/>
        </w:rPr>
        <w:t>商务项（F3×A3）满分为18.0000分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业绩经验</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的2022年1月1日起至本项目投标截止日期（日期以合同签订日期为准），由投标人自身已完成的与本项目同类项目（如食堂物资供应或食堂经营服务等）业绩情况进行评分，每提供一份业绩证明材料得0.5分，满分3分。注：投标人应如实提供业绩证明文件，每份业绩须同时提供①中标（成交）公告（提供相关网站中标（成交）公告的下载网页并注明网址）、②中标（成交）通知书复印件、③采购合同文本复印件,④能够证明该业绩项目已经采购人验收合格的相关证明文件复印件。未提供或提供不全者不得分。本项与“服务评价”评分项同一项目的不重复计分。</w:t>
            </w:r>
          </w:p>
        </w:tc>
      </w:tr>
      <w:tr>
        <w:tc>
          <w:tcPr>
            <w:tcW w:type="dxa" w:w="3322"/>
          </w:tcPr>
          <w:p>
            <w:pPr>
              <w:pStyle w:val="null3"/>
              <w:jc w:val="left"/>
            </w:pPr>
            <w:r>
              <w:rPr>
                <w:rFonts w:ascii="仿宋_GB2312" w:hAnsi="仿宋_GB2312" w:cs="仿宋_GB2312" w:eastAsia="仿宋_GB2312"/>
              </w:rPr>
              <w:t>食品安全责任险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在满足本招标文件第五章“招标内容及要求”关于食品安全责任保险的基础上，评委根据投标人承诺中标后将在合同签订前提供在有效期内的食品安全责任险投保金额进行评分：福建省闽西监狱投保金额增加1000万且福建龙岩锦泰工贸有限责任公司投保金额增加200万的得1分；福建省闽西监狱投保金额增加2000万且福建龙岩锦泰工贸有限责任公司投保金额增加400万的得2分；福建省闽西监狱投保金额增加3000万且福建龙岩锦泰工贸有限责任公司投保金额增加600万的得3分。投标人提供书面承诺函（格式自拟），未提供或不符合要求的本项不得分。</w:t>
            </w:r>
          </w:p>
        </w:tc>
      </w:tr>
      <w:tr>
        <w:tc>
          <w:tcPr>
            <w:tcW w:type="dxa" w:w="3322"/>
          </w:tcPr>
          <w:p>
            <w:pPr>
              <w:pStyle w:val="null3"/>
              <w:jc w:val="left"/>
            </w:pPr>
            <w:r>
              <w:rPr>
                <w:rFonts w:ascii="仿宋_GB2312" w:hAnsi="仿宋_GB2312" w:cs="仿宋_GB2312" w:eastAsia="仿宋_GB2312"/>
              </w:rPr>
              <w:t>满意度考评</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的自2022年1月1日起至投标截止时间止（以合同签订日期为准），由投标人自身已完成的与本次同类型业主满意度评价情况进行评分，每提供一份服务满意度评价证明材料（评价为满意或好或优或同等评价）的得0.5分,满分3分。投标人须同时提供采购合同复印件、合同期内任意一次的付款凭证及满意度评价表，否则不得分。同一业主单位或其使用部门出具的满意度证明只计算一次。本项与“业绩”评分项同一项目的不重复计分。</w:t>
            </w:r>
          </w:p>
        </w:tc>
      </w:tr>
      <w:tr>
        <w:tc>
          <w:tcPr>
            <w:tcW w:type="dxa" w:w="3322"/>
          </w:tcPr>
          <w:p>
            <w:pPr>
              <w:pStyle w:val="null3"/>
              <w:jc w:val="left"/>
            </w:pPr>
            <w:r>
              <w:rPr>
                <w:rFonts w:ascii="仿宋_GB2312" w:hAnsi="仿宋_GB2312" w:cs="仿宋_GB2312" w:eastAsia="仿宋_GB2312"/>
              </w:rPr>
              <w:t>食品追溯承诺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按照市场监督管理部门规定的“一品一码”要求，做到食品采购信息可追溯，将每日配送食材的食品追溯码发送到相应的食品追溯码平台上的得3分。【提供食品安全追溯管理系统登记截图（市场监督管理部门监制的食品生产经营追溯管理系统产品追溯信息截图）并加盖投标人公章，否则不得分。】</w:t>
            </w:r>
          </w:p>
        </w:tc>
      </w:tr>
      <w:tr>
        <w:tc>
          <w:tcPr>
            <w:tcW w:type="dxa" w:w="3322"/>
          </w:tcPr>
          <w:p>
            <w:pPr>
              <w:pStyle w:val="null3"/>
              <w:jc w:val="left"/>
            </w:pPr>
            <w:r>
              <w:rPr>
                <w:rFonts w:ascii="仿宋_GB2312" w:hAnsi="仿宋_GB2312" w:cs="仿宋_GB2312" w:eastAsia="仿宋_GB2312"/>
              </w:rPr>
              <w:t>安全经营承诺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含分公司、分店等分支机构）在投标截止时间前三年内，在食品安全质量方面均未出现行政处罚（含整改、整顿，不含重大违法记录）的得3分。【须同时提供（1）承诺函（格式自拟）；（2）国家企业信用公示系统查询截图。以上材料均须加盖投标人公章，未按要求提供不得分。】</w:t>
            </w:r>
          </w:p>
        </w:tc>
      </w:tr>
      <w:tr>
        <w:tc>
          <w:tcPr>
            <w:tcW w:type="dxa" w:w="3322"/>
          </w:tcPr>
          <w:p>
            <w:pPr>
              <w:pStyle w:val="null3"/>
              <w:jc w:val="left"/>
            </w:pPr>
            <w:r>
              <w:rPr>
                <w:rFonts w:ascii="仿宋_GB2312" w:hAnsi="仿宋_GB2312" w:cs="仿宋_GB2312" w:eastAsia="仿宋_GB2312"/>
              </w:rPr>
              <w:t>售后服务方案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的售后服务方案（包含但不限于：①服务热线及售后专员安排计划；②服务需求响应时间；③服务需求响应方式等要点）由评委进行评议并打分，方案包含的要点齐全无缺漏项、内容与要点相符、每个要点均有展开详细的阐述且全部能够适用于本项目得3分；方案所包含的要点齐全、内容与要点相符、每个要点均有展开阐述但部分能够适用于本项目的得2.9分；方案所包含的要点有缺漏、内容与要点相符但仅有纲要、内容简略，未展开详细阐述且小部分能够适用于本项目的得2.7分；未提供或内容完全错误、完全不适用于本项目需求的均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(1) 投标保证金收取理由：为了避免因投标人投标后随意撤回、撤销投标或随意变更应承担相应的义务给采购人造成损失。 (2)招标文件第七章“投标文件格式”中“中小企业声明函（工程、服务）”关于“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的 内容。修改为“2、投标人须按招标文件中明确的所属行业填列，否则，其提供的中小企业声明将被判定为无效声明函，由此造成的后果由投标人自行承担（涉及资格的按无效投标处理；涉及价格评审优惠的，不予认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本项目为福建省闽西监狱民警食堂物资配送服务项目，投标人提供的产品质量须符合《国家产品质量法》《国家食品安全法》在有效期内安全卫生产品及国家行业标准的有关规定，不得配送转基因食材、含瘦肉精食材、农药超标食材等类似不符合食品卫生安全要求的食材，物资验收实行索证索票制度，确保可追溯性。根据采购人要求,供货方必须出具符合国家标准的检验、检疫证明。配送物资用于民警食堂就餐物资、夜间点心、接待餐及日用品等，主要有大米、面粉、食用油、热鲜（或冷鲜）肉类、水产类、冻品类、蔬菜类、副食品类、调味品类、饮品类、牛排、预包装食品等食堂物资的统一配送，投标人应对所有品种整体投标，具备所有品种的配送条件，投标人</w:t>
      </w:r>
      <w:r>
        <w:rPr>
          <w:rFonts w:ascii="仿宋_GB2312" w:hAnsi="仿宋_GB2312" w:cs="仿宋_GB2312" w:eastAsia="仿宋_GB2312"/>
          <w:sz w:val="24"/>
          <w:b/>
          <w:color w:val="000000"/>
        </w:rPr>
        <w:t>须针对前述要求在投标文件(技术商务部分)的“四、投标人提交的其他资料”中单独提供专项的承诺函，承诺函不得包含在方案中，格式自拟，未按照要求提供专项承诺函视为无效投标。</w:t>
      </w:r>
    </w:p>
    <w:p>
      <w:pPr>
        <w:pStyle w:val="null3"/>
        <w:ind w:firstLine="480"/>
        <w:jc w:val="both"/>
      </w:pPr>
      <w:r>
        <w:rPr>
          <w:rFonts w:ascii="仿宋_GB2312" w:hAnsi="仿宋_GB2312" w:cs="仿宋_GB2312" w:eastAsia="仿宋_GB2312"/>
          <w:sz w:val="24"/>
          <w:b/>
        </w:rPr>
        <w:t>2、预算金额：485万元/2年。本项目为福建省闽西监狱与福建龙岩锦泰工贸有限责任公司联合采购，其中福建省闽西监狱采购预算金额440万元/2年；福建龙岩锦泰工贸有限责任公司采购预算金额45万元/2年。前述福建省闽西监狱及福建龙岩锦泰工贸有限责任公司统称为采购人（下同）。中标后，由福建省闽西监狱与福建龙岩锦泰工贸有限责任公司分别与中标人签订采购合同。</w:t>
      </w:r>
    </w:p>
    <w:p>
      <w:pPr>
        <w:pStyle w:val="null3"/>
        <w:ind w:firstLine="360"/>
        <w:jc w:val="both"/>
      </w:pPr>
      <w:r>
        <w:rPr>
          <w:rFonts w:ascii="仿宋_GB2312" w:hAnsi="仿宋_GB2312" w:cs="仿宋_GB2312" w:eastAsia="仿宋_GB2312"/>
          <w:sz w:val="24"/>
        </w:rPr>
        <w:t>3、合同金额即为预算金额，最终据实结算。采购人追加的预算金额不超过合同金额10%；合同结算金额因受物价、就餐人数等不可控因素影响，投标人应充分知晓因此带来的经营风险并自行承担风险。根据国家有关政策要求，采购人可能需要执行上级要求采购脱贫地区农副产品等国家政策，相关采购金额可能将挤占本项目采购预算金额，投标人应充分考虑由此引起的风险并承担带来的经营风险。</w:t>
      </w:r>
    </w:p>
    <w:p>
      <w:pPr>
        <w:pStyle w:val="null3"/>
        <w:ind w:firstLine="420"/>
        <w:jc w:val="both"/>
      </w:pPr>
      <w:r>
        <w:rPr>
          <w:rFonts w:ascii="仿宋_GB2312" w:hAnsi="仿宋_GB2312" w:cs="仿宋_GB2312" w:eastAsia="仿宋_GB2312"/>
          <w:sz w:val="24"/>
        </w:rPr>
        <w:t>4、合同期内如果实际采购金额分别达到福建省闽西监狱预算金额440万元及福建龙岩锦泰工贸有限责任公司预算金额45万元时，采购合同分别自动终止，采购人不予中标人任何补偿或赔偿。如供货期限届满后或因采购预算金额使用完毕而提前终止合同，采购人尚未重新确定供货商的，如采购人需要，中标人应按本项目合同相关要求继续供货至采购人重新确定供货商为止</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在不改变合同其他条款的前提下，与其签订补充合同，但所有补充合同的采购金额不得超过原合同采购金额的</w:t>
      </w:r>
      <w:r>
        <w:rPr>
          <w:rFonts w:ascii="仿宋_GB2312" w:hAnsi="仿宋_GB2312" w:cs="仿宋_GB2312" w:eastAsia="仿宋_GB2312"/>
          <w:sz w:val="24"/>
          <w:shd w:fill="FFFFFF" w:val="clear"/>
        </w:rPr>
        <w:t>10%)</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shd w:fill="FFFFFF" w:val="clear"/>
        </w:rPr>
        <w:t>5</w:t>
      </w:r>
      <w:r>
        <w:rPr>
          <w:rFonts w:ascii="仿宋_GB2312" w:hAnsi="仿宋_GB2312" w:cs="仿宋_GB2312" w:eastAsia="仿宋_GB2312"/>
          <w:sz w:val="24"/>
          <w:b/>
          <w:shd w:fill="FFFFFF" w:val="clear"/>
        </w:rPr>
        <w:t>、报价要求及价格计算方式</w:t>
      </w:r>
    </w:p>
    <w:p>
      <w:pPr>
        <w:pStyle w:val="null3"/>
        <w:ind w:firstLine="241"/>
        <w:jc w:val="both"/>
      </w:pPr>
      <w:r>
        <w:rPr>
          <w:rFonts w:ascii="仿宋_GB2312" w:hAnsi="仿宋_GB2312" w:cs="仿宋_GB2312" w:eastAsia="仿宋_GB2312"/>
          <w:sz w:val="24"/>
          <w:b/>
          <w:shd w:fill="FFFFFF" w:val="clear"/>
        </w:rPr>
        <w:t>（1）</w:t>
      </w:r>
      <w:r>
        <w:rPr>
          <w:rFonts w:ascii="仿宋_GB2312" w:hAnsi="仿宋_GB2312" w:cs="仿宋_GB2312" w:eastAsia="仿宋_GB2312"/>
          <w:sz w:val="24"/>
          <w:shd w:fill="FFFFFF" w:val="clear"/>
        </w:rPr>
        <w:t>本项目按统一“下浮率”进行报价（所有产品的下浮率须一致），因福建省政府采购网上公开信息系统无法填报投标“下浮率”，只能填写金额，因此各投标人在电子后台系统上应填写下浮后的投标总价（投标总价“四舍五入”保留至小数点后两位，以“元”为单位），作为本项目的价格评审及下浮率计算使用。</w:t>
      </w:r>
      <w:r>
        <w:rPr>
          <w:rFonts w:ascii="仿宋_GB2312" w:hAnsi="仿宋_GB2312" w:cs="仿宋_GB2312" w:eastAsia="仿宋_GB2312"/>
          <w:sz w:val="24"/>
          <w:b/>
          <w:shd w:fill="FFFFFF" w:val="clear"/>
        </w:rPr>
        <w:t>中标下浮率计算方式：中标下浮率=(1-系统投标总价÷系统预算金额440万元）×100%。</w:t>
      </w:r>
    </w:p>
    <w:p>
      <w:pPr>
        <w:pStyle w:val="null3"/>
        <w:ind w:firstLine="236"/>
        <w:jc w:val="both"/>
      </w:pPr>
      <w:r>
        <w:rPr>
          <w:rFonts w:ascii="仿宋_GB2312" w:hAnsi="仿宋_GB2312" w:cs="仿宋_GB2312" w:eastAsia="仿宋_GB2312"/>
          <w:sz w:val="24"/>
          <w:b/>
          <w:shd w:fill="FFFFFF" w:val="clear"/>
        </w:rPr>
        <w:t>（2）本项目结算下浮率计算方式为：所有配送的物资在固定下浮15%的基础上结合中标下浮率后计算物资结算价格。结算下浮率计算方式：结算下浮率=固定下浮率+中标下浮率。</w:t>
      </w:r>
    </w:p>
    <w:p>
      <w:pPr>
        <w:pStyle w:val="null3"/>
        <w:ind w:firstLine="236"/>
        <w:jc w:val="both"/>
      </w:pPr>
      <w:r>
        <w:rPr>
          <w:rFonts w:ascii="仿宋_GB2312" w:hAnsi="仿宋_GB2312" w:cs="仿宋_GB2312" w:eastAsia="仿宋_GB2312"/>
          <w:sz w:val="24"/>
          <w:b/>
          <w:shd w:fill="FFFFFF" w:val="clear"/>
        </w:rPr>
        <w:t>比如，中标人投报价格为418万元，则中标下浮率为5%，[即：5%=（1-418万元÷440万元）×100%]；结算下浮率为20%，[即：结算下浮率20%=固定下浮率15%+中标下浮率5%。</w:t>
      </w:r>
    </w:p>
    <w:p>
      <w:pPr>
        <w:pStyle w:val="null3"/>
        <w:ind w:firstLine="420"/>
        <w:jc w:val="both"/>
      </w:pPr>
      <w:r>
        <w:rPr>
          <w:rFonts w:ascii="仿宋_GB2312" w:hAnsi="仿宋_GB2312" w:cs="仿宋_GB2312" w:eastAsia="仿宋_GB2312"/>
          <w:sz w:val="24"/>
          <w:b/>
          <w:shd w:fill="FFFFFF" w:val="clear"/>
        </w:rPr>
        <w:t>备注：投标人应谨慎报价，其投报的价格折算为下浮率后</w:t>
      </w:r>
      <w:r>
        <w:rPr>
          <w:rFonts w:ascii="仿宋_GB2312" w:hAnsi="仿宋_GB2312" w:cs="仿宋_GB2312" w:eastAsia="仿宋_GB2312"/>
          <w:sz w:val="24"/>
          <w:b/>
          <w:u w:val="single"/>
          <w:shd w:fill="FFFFFF" w:val="clear"/>
        </w:rPr>
        <w:t>不包含</w:t>
      </w:r>
      <w:r>
        <w:rPr>
          <w:rFonts w:ascii="仿宋_GB2312" w:hAnsi="仿宋_GB2312" w:cs="仿宋_GB2312" w:eastAsia="仿宋_GB2312"/>
          <w:sz w:val="24"/>
          <w:b/>
          <w:shd w:fill="FFFFFF" w:val="clear"/>
        </w:rPr>
        <w:t>上述固定下浮率，否则一旦中标，最终结算下浮率应将</w:t>
      </w:r>
      <w:r>
        <w:rPr>
          <w:rFonts w:ascii="仿宋_GB2312" w:hAnsi="仿宋_GB2312" w:cs="仿宋_GB2312" w:eastAsia="仿宋_GB2312"/>
          <w:sz w:val="24"/>
          <w:b/>
          <w:u w:val="single"/>
          <w:shd w:fill="FFFFFF" w:val="clear"/>
        </w:rPr>
        <w:t>中标下浮率</w:t>
      </w:r>
      <w:r>
        <w:rPr>
          <w:rFonts w:ascii="仿宋_GB2312" w:hAnsi="仿宋_GB2312" w:cs="仿宋_GB2312" w:eastAsia="仿宋_GB2312"/>
          <w:sz w:val="24"/>
          <w:b/>
          <w:shd w:fill="FFFFFF" w:val="clear"/>
        </w:rPr>
        <w:t>加上</w:t>
      </w:r>
      <w:r>
        <w:rPr>
          <w:rFonts w:ascii="仿宋_GB2312" w:hAnsi="仿宋_GB2312" w:cs="仿宋_GB2312" w:eastAsia="仿宋_GB2312"/>
          <w:sz w:val="24"/>
          <w:b/>
          <w:u w:val="single"/>
          <w:shd w:fill="FFFFFF" w:val="clear"/>
        </w:rPr>
        <w:t>固定下浮率</w:t>
      </w:r>
      <w:r>
        <w:rPr>
          <w:rFonts w:ascii="仿宋_GB2312" w:hAnsi="仿宋_GB2312" w:cs="仿宋_GB2312" w:eastAsia="仿宋_GB2312"/>
          <w:sz w:val="24"/>
          <w:b/>
          <w:shd w:fill="FFFFFF" w:val="clear"/>
        </w:rPr>
        <w:t>。</w:t>
      </w:r>
    </w:p>
    <w:p>
      <w:pPr>
        <w:pStyle w:val="null3"/>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b/>
          <w:shd w:fill="FFFFFF" w:val="clear"/>
        </w:rPr>
        <w:t xml:space="preserve">(3) </w:t>
      </w:r>
      <w:r>
        <w:rPr>
          <w:rFonts w:ascii="仿宋_GB2312" w:hAnsi="仿宋_GB2312" w:cs="仿宋_GB2312" w:eastAsia="仿宋_GB2312"/>
          <w:sz w:val="24"/>
          <w:b/>
          <w:shd w:fill="FFFFFF" w:val="clear"/>
        </w:rPr>
        <w:t>采价规则：</w:t>
      </w:r>
    </w:p>
    <w:p>
      <w:pPr>
        <w:pStyle w:val="null3"/>
        <w:ind w:firstLine="480"/>
        <w:jc w:val="both"/>
      </w:pPr>
      <w:r>
        <w:rPr>
          <w:rFonts w:ascii="仿宋_GB2312" w:hAnsi="仿宋_GB2312" w:cs="仿宋_GB2312" w:eastAsia="仿宋_GB2312"/>
          <w:sz w:val="24"/>
          <w:shd w:fill="FFFFFF" w:val="clear"/>
        </w:rPr>
        <w:t>采购清单分二部分价格计算：</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龙岩市发展与改革委员（http://fgw.longyan.gov.cn/）公布的民生商品价格信息栏目中有相关物资品种清单的。采购人需要采购清单中列明的品种的，按列明的相关物资的5日、15日、25日三天的平均价格为计算基数，根据投标人投报的下浮率及固定下浮率（合同期间折扣率一直不变）计算当月相关物资价格（以“元”为单价，四舍五入，精确到小数点后两位），计算方式为：</w:t>
      </w:r>
      <w:r>
        <w:rPr>
          <w:rFonts w:ascii="仿宋_GB2312" w:hAnsi="仿宋_GB2312" w:cs="仿宋_GB2312" w:eastAsia="仿宋_GB2312"/>
          <w:sz w:val="24"/>
          <w:b/>
        </w:rPr>
        <w:t>当月结算价＝价格信息栏当月相关物资的三天平均价格×（1﹣固定下浮率-中标下浮率）</w:t>
      </w:r>
      <w:r>
        <w:rPr>
          <w:rFonts w:ascii="仿宋_GB2312" w:hAnsi="仿宋_GB2312" w:cs="仿宋_GB2312" w:eastAsia="仿宋_GB2312"/>
          <w:sz w:val="24"/>
        </w:rPr>
        <w:t>（前述计算精确到小数点后二位）。</w:t>
      </w:r>
    </w:p>
    <w:p>
      <w:pPr>
        <w:pStyle w:val="null3"/>
        <w:ind w:firstLine="480"/>
        <w:jc w:val="both"/>
      </w:pPr>
      <w:r>
        <w:rPr>
          <w:rFonts w:ascii="仿宋_GB2312" w:hAnsi="仿宋_GB2312" w:cs="仿宋_GB2312" w:eastAsia="仿宋_GB2312"/>
          <w:sz w:val="24"/>
        </w:rPr>
        <w:t>前述民生商品价格信息栏目若无相应的公告信息则往后顺延，以此类推，若因公告网站中断或关闭公告信息，造成采购人无法获取相应数据，则按最近一个月价格执行，价格不再调整，直至公告信息恢复或直至合同期满。</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上述品种清单中未列明的商品，则按下列基准价格确定方式：以龙岩市新罗城区内大型超市大润发、永辉、新华都、夏商百货中选取一家的零售价</w:t>
      </w:r>
      <w:r>
        <w:rPr>
          <w:rFonts w:ascii="仿宋_GB2312" w:hAnsi="仿宋_GB2312" w:cs="仿宋_GB2312" w:eastAsia="仿宋_GB2312"/>
          <w:sz w:val="24"/>
          <w:b/>
        </w:rPr>
        <w:t>（限时或限量特价商品除外）</w:t>
      </w:r>
      <w:r>
        <w:rPr>
          <w:rFonts w:ascii="仿宋_GB2312" w:hAnsi="仿宋_GB2312" w:cs="仿宋_GB2312" w:eastAsia="仿宋_GB2312"/>
          <w:sz w:val="24"/>
        </w:rPr>
        <w:t>为</w:t>
      </w:r>
      <w:r>
        <w:rPr>
          <w:rFonts w:ascii="仿宋_GB2312" w:hAnsi="仿宋_GB2312" w:cs="仿宋_GB2312" w:eastAsia="仿宋_GB2312"/>
          <w:sz w:val="24"/>
          <w:b/>
        </w:rPr>
        <w:t>基准价（如果中标人为前述三家超市之一的，则该中标人超市不作为比价超市，采购人自行新增一家新罗城区内的其他超市作为比价超市，并从三家超市中选取；前述三家超市因各种原因有任意一家或以上不在新罗城区营业的，则采购人自行补足三家在新罗城区内的其他超市作为比价超市），在</w:t>
      </w:r>
      <w:r>
        <w:rPr>
          <w:rFonts w:ascii="仿宋_GB2312" w:hAnsi="仿宋_GB2312" w:cs="仿宋_GB2312" w:eastAsia="仿宋_GB2312"/>
          <w:sz w:val="24"/>
        </w:rPr>
        <w:t>每个月的20日至30日期间选取一天的中午（上午10点至下午3点）（具体日期以采购人确定为准）到超市调查价格，调查到的相应商品价格作为</w:t>
      </w:r>
      <w:r>
        <w:rPr>
          <w:rFonts w:ascii="仿宋_GB2312" w:hAnsi="仿宋_GB2312" w:cs="仿宋_GB2312" w:eastAsia="仿宋_GB2312"/>
          <w:sz w:val="24"/>
          <w:b/>
        </w:rPr>
        <w:t>这部分商品的基准价，</w:t>
      </w:r>
      <w:r>
        <w:rPr>
          <w:rFonts w:ascii="仿宋_GB2312" w:hAnsi="仿宋_GB2312" w:cs="仿宋_GB2312" w:eastAsia="仿宋_GB2312"/>
          <w:sz w:val="24"/>
        </w:rPr>
        <w:t>结合投标人投报所计算的下浮率及固定下浮率（合同期间下浮率一直不变）结算价格。超市无售卖相关商品的或因包装规格偏小等原因超市所售卖商品不适合用作食堂物资的（如超市售卖的小包榨菜），则以龙岩市新罗城区内农贸市场（如韭菜园市场、凤凰隔新发地市场、交易城新发地市场等）零售价格作为</w:t>
      </w:r>
      <w:r>
        <w:rPr>
          <w:rFonts w:ascii="仿宋_GB2312" w:hAnsi="仿宋_GB2312" w:cs="仿宋_GB2312" w:eastAsia="仿宋_GB2312"/>
          <w:sz w:val="24"/>
          <w:b/>
        </w:rPr>
        <w:t>补充基准价（但不超过采购范围的30%）。结算价=超市/农贸市场基准价×（1-固定下浮率-中标下浮率）（前述计算精确到小数点后二位）。</w:t>
      </w:r>
      <w:r>
        <w:rPr>
          <w:rFonts w:ascii="仿宋_GB2312" w:hAnsi="仿宋_GB2312" w:cs="仿宋_GB2312" w:eastAsia="仿宋_GB2312"/>
          <w:sz w:val="24"/>
        </w:rPr>
        <w:t>特价商品结算方式：按照本采价规则计算出的商品价格与特价商品挂牌价，以低价者作为结算价格；如某商品原价为10元，挂牌特价为8元，按本采价规则计算出的价格为8.5元，则按8元结算货款；按本采价规则计算出的价格如果为7.5元，则按7.5元结算货款。</w:t>
      </w:r>
    </w:p>
    <w:p>
      <w:pPr>
        <w:pStyle w:val="null3"/>
        <w:ind w:firstLine="420"/>
        <w:jc w:val="both"/>
      </w:pPr>
      <w:r>
        <w:rPr>
          <w:rFonts w:ascii="仿宋_GB2312" w:hAnsi="仿宋_GB2312" w:cs="仿宋_GB2312" w:eastAsia="仿宋_GB2312"/>
          <w:sz w:val="24"/>
        </w:rPr>
        <w:t>上述基准价格的确定由采购人组织相关人员组成价格调查小组，采用现场抄价或购买（购买费用由中标人承担，所购物品归中标人所有）的形式定价，调查时的销售小票、发票、销售清单等符合财务要求的材料留存作为定价凭证，汇总形成价格目录表，中标人、采购人参与人员均应签字确认。中标人对价格有异议应及时书面提出，经采购人调查人员复核，确实错误的可以纠正；中标人拒绝签字确认的不影响本次价格调查结果的运用。</w:t>
      </w:r>
    </w:p>
    <w:p>
      <w:pPr>
        <w:pStyle w:val="null3"/>
        <w:ind w:firstLine="480"/>
        <w:jc w:val="both"/>
      </w:pPr>
      <w:r>
        <w:rPr>
          <w:rFonts w:ascii="仿宋_GB2312" w:hAnsi="仿宋_GB2312" w:cs="仿宋_GB2312" w:eastAsia="仿宋_GB2312"/>
          <w:sz w:val="24"/>
        </w:rPr>
        <w:t>中标人提供的物资品种、品牌、规格、质量、包装形式应与上述调查到的物资情况一致（保质期应相当），除蔬菜等个别品种允许散称外，一般物资应提供原厂包装。</w:t>
      </w:r>
    </w:p>
    <w:p>
      <w:pPr>
        <w:pStyle w:val="null3"/>
        <w:ind w:firstLine="480"/>
        <w:jc w:val="both"/>
      </w:pPr>
      <w:r>
        <w:rPr>
          <w:rFonts w:ascii="仿宋_GB2312" w:hAnsi="仿宋_GB2312" w:cs="仿宋_GB2312" w:eastAsia="仿宋_GB2312"/>
          <w:sz w:val="24"/>
        </w:rPr>
        <w:t>备注：结合实践中供应商配送的一般为普通“新鲜鸡肉（或三黄鸡，下同）”、“新鲜鸭肉（或正番鸭，下同）”，而龙岩市发展与改革委员公布的民生商品价格信息栏目中所列明的“鸡肉”规格为“白条鸡”，“鸭肉”规格为“白条鸭”。“新鲜鸡肉”与“白条鸡”、“新鲜鸭肉”与“白条鸭”，二者品质、价格等方面存在差别。为提高采价效率，力保公平合理，结合市场行情实际，采购人拟采购的“新鲜鸡肉）”、“新鲜鸭肉”分别按前述民生品种中“白条鸡”“白条鸭”所标识价格的1.1倍计算（计算方式：结算价=民生价格信息栏当月“白条鸡”“白条鸭”的三天平均价格×（1-固定下浮率-中标下浮率）×1.1（前述计算精确到小数点后二位）。【采购人有特殊采购质量或品种要求的则不受此约束，按实际采购的“鸡肉”、“鸭肉”的市场价作为基准价结算，结算价=基准价×（1-固定下浮率-中标下浮率）（前述计算精确到小数点后二位）】。</w:t>
      </w:r>
    </w:p>
    <w:p>
      <w:pPr>
        <w:pStyle w:val="null3"/>
        <w:ind w:firstLine="420"/>
        <w:jc w:val="both"/>
      </w:pPr>
      <w:r>
        <w:rPr>
          <w:rFonts w:ascii="仿宋_GB2312" w:hAnsi="仿宋_GB2312" w:cs="仿宋_GB2312" w:eastAsia="仿宋_GB2312"/>
          <w:sz w:val="24"/>
        </w:rPr>
        <w:t>（4）本项目所述价格包含产品生产、采购、包装、供应、运送、搬运至指 定地点并码放整齐、税费等一切费用，采购人不再支付额外费用，投标人应充分考虑因采购数量未知的单价费用风险并承担带来的经营风险。</w:t>
      </w:r>
    </w:p>
    <w:p>
      <w:pPr>
        <w:pStyle w:val="null3"/>
        <w:ind w:firstLine="482"/>
        <w:jc w:val="both"/>
      </w:pPr>
      <w:r>
        <w:rPr>
          <w:rFonts w:ascii="仿宋_GB2312" w:hAnsi="仿宋_GB2312" w:cs="仿宋_GB2312" w:eastAsia="仿宋_GB2312"/>
          <w:sz w:val="24"/>
          <w:b/>
        </w:rPr>
        <w:t>6、若遇本项目相关标准遇国家重新修订，自新标准实行之日起采用新标准执行。</w:t>
      </w:r>
    </w:p>
    <w:p>
      <w:pPr>
        <w:pStyle w:val="null3"/>
        <w:ind w:firstLine="480"/>
        <w:jc w:val="both"/>
      </w:pPr>
      <w:r>
        <w:rPr>
          <w:rFonts w:ascii="仿宋_GB2312" w:hAnsi="仿宋_GB2312" w:cs="仿宋_GB2312" w:eastAsia="仿宋_GB2312"/>
          <w:sz w:val="24"/>
        </w:rPr>
        <w:t>7、其他</w:t>
      </w:r>
    </w:p>
    <w:p>
      <w:pPr>
        <w:pStyle w:val="null3"/>
        <w:ind w:firstLine="480"/>
        <w:jc w:val="both"/>
      </w:pPr>
      <w:r>
        <w:rPr>
          <w:rFonts w:ascii="仿宋_GB2312" w:hAnsi="仿宋_GB2312" w:cs="仿宋_GB2312" w:eastAsia="仿宋_GB2312"/>
          <w:sz w:val="24"/>
        </w:rPr>
        <w:t>(1)投标人对本项目内产品有长期合作货源供应商；</w:t>
      </w:r>
    </w:p>
    <w:p>
      <w:pPr>
        <w:pStyle w:val="null3"/>
        <w:ind w:firstLine="480"/>
        <w:jc w:val="both"/>
      </w:pPr>
      <w:r>
        <w:rPr>
          <w:rFonts w:ascii="仿宋_GB2312" w:hAnsi="仿宋_GB2312" w:cs="仿宋_GB2312" w:eastAsia="仿宋_GB2312"/>
          <w:sz w:val="24"/>
        </w:rPr>
        <w:t>(2)为保障食材的安全性，投标人具有食品安全的检测能力，具备病害肉检测仪器、瘦肉精检测仪器、食品甲醛检测仪器、食品微生物检测仪器、农药残留检测仪器等。且投标人能提供</w:t>
      </w:r>
      <w:r>
        <w:rPr>
          <w:rFonts w:ascii="仿宋_GB2312" w:hAnsi="仿宋_GB2312" w:cs="仿宋_GB2312" w:eastAsia="仿宋_GB2312"/>
          <w:sz w:val="24"/>
          <w:color w:val="000000"/>
        </w:rPr>
        <w:t>送检的食材（包括</w:t>
      </w:r>
      <w:r>
        <w:rPr>
          <w:rFonts w:ascii="仿宋_GB2312" w:hAnsi="仿宋_GB2312" w:cs="仿宋_GB2312" w:eastAsia="仿宋_GB2312"/>
          <w:sz w:val="24"/>
        </w:rPr>
        <w:t>蔬菜类、水果类、肉类、水产类、冻品类、副食品类</w:t>
      </w:r>
      <w:r>
        <w:rPr>
          <w:rFonts w:ascii="仿宋_GB2312" w:hAnsi="仿宋_GB2312" w:cs="仿宋_GB2312" w:eastAsia="仿宋_GB2312"/>
          <w:sz w:val="24"/>
          <w:color w:val="000000"/>
        </w:rPr>
        <w:t>）合格检测报告。</w:t>
      </w:r>
    </w:p>
    <w:p>
      <w:pPr>
        <w:pStyle w:val="null3"/>
        <w:ind w:firstLine="480"/>
        <w:jc w:val="both"/>
      </w:pPr>
      <w:r>
        <w:rPr>
          <w:rFonts w:ascii="仿宋_GB2312" w:hAnsi="仿宋_GB2312" w:cs="仿宋_GB2312" w:eastAsia="仿宋_GB2312"/>
          <w:sz w:val="24"/>
        </w:rPr>
        <w:t>(3)为保障产品的新鲜，投标人为本项目配备厢式冷藏车。且投标人须具备规范的食品物资消杀方式对食品物资储藏仓储地点及运输车辆进行定期消杀。</w:t>
      </w:r>
    </w:p>
    <w:p>
      <w:pPr>
        <w:pStyle w:val="null3"/>
        <w:ind w:firstLine="480"/>
        <w:jc w:val="both"/>
      </w:pPr>
      <w:r>
        <w:rPr>
          <w:rFonts w:ascii="仿宋_GB2312" w:hAnsi="仿宋_GB2312" w:cs="仿宋_GB2312" w:eastAsia="仿宋_GB2312"/>
          <w:sz w:val="24"/>
        </w:rPr>
        <w:t>(4)网络便捷服务，投标人为本项目配备食材订购网络平台或手机APP软件（或小程序）且具备线上（网络)远程下单能力。</w:t>
      </w:r>
    </w:p>
    <w:p>
      <w:pPr>
        <w:pStyle w:val="null3"/>
        <w:ind w:firstLine="480"/>
        <w:jc w:val="both"/>
      </w:pPr>
      <w:r>
        <w:rPr>
          <w:rFonts w:ascii="仿宋_GB2312" w:hAnsi="仿宋_GB2312" w:cs="仿宋_GB2312" w:eastAsia="仿宋_GB2312"/>
          <w:sz w:val="24"/>
        </w:rPr>
        <w:t>(5)投标人应提供成熟的服务方案，具备完善的整体配送方案、运营保障方案、食品安全保障机制、质量保证方案、配送管理方案、内部管理制度、活动或节假日货物供应保证方案、应急方案及退换货方案。</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rPr>
        <w:t>1、本项目所采购食品安全应至少符合相关现行有效的食品卫生、食品安全中的国家标准或地方标准或行业标准或企业标准之一种标准；同时涉及前述相关标准的，按要求最高的标准执行。</w:t>
      </w:r>
    </w:p>
    <w:p>
      <w:pPr>
        <w:pStyle w:val="null3"/>
        <w:ind w:firstLine="315"/>
      </w:pPr>
      <w:r>
        <w:rPr>
          <w:rFonts w:ascii="仿宋_GB2312" w:hAnsi="仿宋_GB2312" w:cs="仿宋_GB2312" w:eastAsia="仿宋_GB2312"/>
          <w:sz w:val="24"/>
        </w:rPr>
        <w:t>本项目所采购食品除应符合上述相关标准外，还应符合下列分项要求：</w:t>
      </w:r>
    </w:p>
    <w:p>
      <w:pPr>
        <w:pStyle w:val="null3"/>
        <w:ind w:firstLine="315"/>
      </w:pPr>
      <w:r>
        <w:rPr>
          <w:rFonts w:ascii="仿宋_GB2312" w:hAnsi="仿宋_GB2312" w:cs="仿宋_GB2312" w:eastAsia="仿宋_GB2312"/>
          <w:sz w:val="24"/>
          <w:b/>
        </w:rPr>
        <w:t>★（一）大米要求：</w:t>
      </w:r>
      <w:r>
        <w:rPr>
          <w:rFonts w:ascii="仿宋_GB2312" w:hAnsi="仿宋_GB2312" w:cs="仿宋_GB2312" w:eastAsia="仿宋_GB2312"/>
          <w:sz w:val="24"/>
        </w:rPr>
        <w:t>大米要求无谷粒、砂石、谷糠等杂质及黄粒米等变质米，其次，米的表面光泽度要高，有一种粮食特有的清香味，放在嘴里生吃时不会有异味，而且容易被咬碎，舌头能尝到些淀粉味；经过手在口袋中的反复抓插后，能够清晰地看到袋子周围和手上有白色淀粉物质出现。不刨光，不二次封口，出厂及保质日期应清晰可见，剩余保质期不得少于该商品原有保质期的三分之二 。</w:t>
      </w:r>
    </w:p>
    <w:p>
      <w:pPr>
        <w:pStyle w:val="null3"/>
        <w:ind w:firstLine="315"/>
      </w:pPr>
      <w:r>
        <w:rPr>
          <w:rFonts w:ascii="仿宋_GB2312" w:hAnsi="仿宋_GB2312" w:cs="仿宋_GB2312" w:eastAsia="仿宋_GB2312"/>
          <w:sz w:val="24"/>
          <w:b/>
        </w:rPr>
        <w:t>★（二）食用油要求：</w:t>
      </w:r>
      <w:r>
        <w:rPr>
          <w:rFonts w:ascii="仿宋_GB2312" w:hAnsi="仿宋_GB2312" w:cs="仿宋_GB2312" w:eastAsia="仿宋_GB2312"/>
          <w:sz w:val="24"/>
        </w:rPr>
        <w:t>要求常温下外观清澈透明无悬浮物，气味纯正无异味，黄曲霉素不超过国家规定，不含抗氧化剂，不混合其他无效物资，不添加对人体健康有害物资。出厂及保质日期应清晰可见，货物应是在所标注的生产日期后2个月内生产的。优先使用龙岩市民生价格清单里所列植物油。</w:t>
      </w:r>
    </w:p>
    <w:p>
      <w:pPr>
        <w:pStyle w:val="null3"/>
        <w:ind w:firstLine="315"/>
      </w:pPr>
      <w:r>
        <w:rPr>
          <w:rFonts w:ascii="仿宋_GB2312" w:hAnsi="仿宋_GB2312" w:cs="仿宋_GB2312" w:eastAsia="仿宋_GB2312"/>
          <w:sz w:val="24"/>
          <w:b/>
        </w:rPr>
        <w:t>★（三）肉类质量标准与要求</w:t>
      </w:r>
    </w:p>
    <w:p>
      <w:pPr>
        <w:pStyle w:val="null3"/>
        <w:ind w:firstLine="420"/>
      </w:pPr>
      <w:r>
        <w:rPr>
          <w:rFonts w:ascii="仿宋_GB2312" w:hAnsi="仿宋_GB2312" w:cs="仿宋_GB2312" w:eastAsia="仿宋_GB2312"/>
          <w:sz w:val="24"/>
        </w:rPr>
        <w:t>1）新鲜猪肉要求：必须是在政府规定的屠宰场内</w:t>
      </w:r>
      <w:r>
        <w:rPr>
          <w:rFonts w:ascii="仿宋_GB2312" w:hAnsi="仿宋_GB2312" w:cs="仿宋_GB2312" w:eastAsia="仿宋_GB2312"/>
          <w:sz w:val="24"/>
          <w:b/>
        </w:rPr>
        <w:t>当天</w:t>
      </w:r>
      <w:r>
        <w:rPr>
          <w:rFonts w:ascii="仿宋_GB2312" w:hAnsi="仿宋_GB2312" w:cs="仿宋_GB2312" w:eastAsia="仿宋_GB2312"/>
          <w:sz w:val="24"/>
        </w:rPr>
        <w:t>屠杀的冷鲜肉或热鲜肉，不得提供冻肉（采购人在特定情况时除外，按采购人通知为准）。质量符合</w:t>
      </w:r>
      <w:r>
        <w:rPr>
          <w:rFonts w:ascii="仿宋_GB2312" w:hAnsi="仿宋_GB2312" w:cs="仿宋_GB2312" w:eastAsia="仿宋_GB2312"/>
          <w:sz w:val="24"/>
          <w:shd w:fill="FFFFFF" w:val="clear"/>
        </w:rPr>
        <w:t>GB/T 9959.1-2019</w:t>
      </w:r>
      <w:r>
        <w:rPr>
          <w:rFonts w:ascii="仿宋_GB2312" w:hAnsi="仿宋_GB2312" w:cs="仿宋_GB2312" w:eastAsia="仿宋_GB2312"/>
          <w:sz w:val="24"/>
          <w:shd w:fill="FFFFFF" w:val="clear"/>
        </w:rPr>
        <w:t>《鲜、冻猪肉及猪副产品</w:t>
      </w:r>
      <w:r>
        <w:rPr>
          <w:rFonts w:ascii="仿宋_GB2312" w:hAnsi="仿宋_GB2312" w:cs="仿宋_GB2312" w:eastAsia="仿宋_GB2312"/>
          <w:sz w:val="24"/>
          <w:shd w:fill="FFFFFF" w:val="clear"/>
        </w:rPr>
        <w:t>第</w:t>
      </w:r>
      <w:r>
        <w:rPr>
          <w:rFonts w:ascii="仿宋_GB2312" w:hAnsi="仿宋_GB2312" w:cs="仿宋_GB2312" w:eastAsia="仿宋_GB2312"/>
          <w:sz w:val="24"/>
          <w:shd w:fill="FFFFFF" w:val="clear"/>
        </w:rPr>
        <w:t xml:space="preserve"> 1 </w:t>
      </w:r>
      <w:r>
        <w:rPr>
          <w:rFonts w:ascii="仿宋_GB2312" w:hAnsi="仿宋_GB2312" w:cs="仿宋_GB2312" w:eastAsia="仿宋_GB2312"/>
          <w:sz w:val="24"/>
          <w:shd w:fill="FFFFFF" w:val="clear"/>
        </w:rPr>
        <w:t>部分：片猪肉》</w:t>
      </w:r>
      <w:r>
        <w:rPr>
          <w:rFonts w:ascii="仿宋_GB2312" w:hAnsi="仿宋_GB2312" w:cs="仿宋_GB2312" w:eastAsia="仿宋_GB2312"/>
          <w:sz w:val="24"/>
        </w:rPr>
        <w:t>标准和</w:t>
      </w:r>
      <w:r>
        <w:rPr>
          <w:rFonts w:ascii="仿宋_GB2312" w:hAnsi="仿宋_GB2312" w:cs="仿宋_GB2312" w:eastAsia="仿宋_GB2312"/>
          <w:sz w:val="24"/>
          <w:shd w:fill="FFFFFF" w:val="clear"/>
        </w:rPr>
        <w:t>GB 2707-2016</w:t>
      </w:r>
      <w:r>
        <w:rPr>
          <w:rFonts w:ascii="仿宋_GB2312" w:hAnsi="仿宋_GB2312" w:cs="仿宋_GB2312" w:eastAsia="仿宋_GB2312"/>
          <w:sz w:val="24"/>
          <w:shd w:fill="FFFFFF" w:val="clear"/>
        </w:rPr>
        <w:t>《食品安全国家标准</w:t>
      </w:r>
      <w:r>
        <w:rPr>
          <w:rFonts w:ascii="仿宋_GB2312" w:hAnsi="仿宋_GB2312" w:cs="仿宋_GB2312" w:eastAsia="仿宋_GB2312"/>
          <w:sz w:val="24"/>
          <w:shd w:fill="FFFFFF" w:val="clear"/>
        </w:rPr>
        <w:t>鲜（冻）畜、禽产品》</w:t>
      </w:r>
      <w:r>
        <w:rPr>
          <w:rFonts w:ascii="仿宋_GB2312" w:hAnsi="仿宋_GB2312" w:cs="仿宋_GB2312" w:eastAsia="仿宋_GB2312"/>
          <w:sz w:val="24"/>
        </w:rPr>
        <w:t>标准，并按规定每批次随货提供检验、检疫合格证明。猪肉呈均匀的红色，有光泽，肉质紧密，有坚实感；肉的外表及切面微湿润，不粘手，脂肪洁白，具有猪肉正常气味，无异味。不得供应种猪肉（俗称：公猪肉、母猪肉）、冻肉、保鲜肉、隔日肉、不新鲜猪肉、注水猪肉、晚阉猪肉、病、死猪肉以及其它不符合国家食用猪肉标准要求的猪肉。必须保证无条件退换有质量问题的猪肉，保证所提供肉品是新鲜的，并在各方面符合国家规定及采购人要求，交货时应现场验货。说明：龙岩市发展与改革委员公布的民生商品价格信息栏目中所列明的“肋条肉”即为“五花肉（即热鲜肉）”。</w:t>
      </w:r>
    </w:p>
    <w:p>
      <w:pPr>
        <w:pStyle w:val="null3"/>
        <w:ind w:firstLine="420"/>
      </w:pPr>
      <w:r>
        <w:rPr>
          <w:rFonts w:ascii="仿宋_GB2312" w:hAnsi="仿宋_GB2312" w:cs="仿宋_GB2312" w:eastAsia="仿宋_GB2312"/>
          <w:sz w:val="24"/>
        </w:rPr>
        <w:t>2）新鲜牛肉要求：当天屠杀的冷鲜肉或热鲜肉，肌肉有光泽、红色均匀稍暗，脂肪洁白或呈淡黄色；变质的肌肉无光泽，脂肪呈黄绿色。外表微干或有风干膜、不黏手、弹性好；具有新鲜牛肉味儿。</w:t>
      </w:r>
    </w:p>
    <w:p>
      <w:pPr>
        <w:pStyle w:val="null3"/>
        <w:ind w:firstLine="450"/>
      </w:pPr>
      <w:r>
        <w:rPr>
          <w:rFonts w:ascii="仿宋_GB2312" w:hAnsi="仿宋_GB2312" w:cs="仿宋_GB2312" w:eastAsia="仿宋_GB2312"/>
          <w:sz w:val="24"/>
        </w:rPr>
        <w:t>3）新鲜羊肉要求：当天屠杀的冷鲜肉或热鲜肉，肌肉有光泽，红色均匀，脂肪洁白或淡黄色，质坚硬而脆。有明显的羊肉膻味。一用手指按压后的凹陷，能立即恢复原状。外表微干或有风干的膜，不粘手。</w:t>
      </w:r>
    </w:p>
    <w:p>
      <w:pPr>
        <w:pStyle w:val="null3"/>
        <w:ind w:firstLine="450"/>
      </w:pPr>
      <w:r>
        <w:rPr>
          <w:rFonts w:ascii="仿宋_GB2312" w:hAnsi="仿宋_GB2312" w:cs="仿宋_GB2312" w:eastAsia="仿宋_GB2312"/>
          <w:sz w:val="24"/>
        </w:rPr>
        <w:t>4）鲜禽肉要求：当天屠杀的冷鲜肉或热鲜肉，眼球饱满，晶体透亮，皮肤又有光泽。应去除动物内脏（但心脏、胫肉除外）。</w:t>
      </w:r>
    </w:p>
    <w:p>
      <w:pPr>
        <w:pStyle w:val="null3"/>
        <w:ind w:firstLine="210"/>
      </w:pPr>
      <w:r>
        <w:rPr>
          <w:rFonts w:ascii="仿宋_GB2312" w:hAnsi="仿宋_GB2312" w:cs="仿宋_GB2312" w:eastAsia="仿宋_GB2312"/>
          <w:sz w:val="24"/>
          <w:b/>
        </w:rPr>
        <w:t>★（四）禽蛋质量标准与要求</w:t>
      </w:r>
    </w:p>
    <w:p>
      <w:pPr>
        <w:pStyle w:val="null3"/>
        <w:ind w:firstLine="420"/>
        <w:jc w:val="both"/>
      </w:pPr>
      <w:r>
        <w:rPr>
          <w:rFonts w:ascii="仿宋_GB2312" w:hAnsi="仿宋_GB2312" w:cs="仿宋_GB2312" w:eastAsia="仿宋_GB2312"/>
          <w:sz w:val="24"/>
        </w:rPr>
        <w:t>蛋壳清洁完整，色泽鲜明，无破损、裂纹，无霉斑，灯光透视时，整个蛋呈桔黄色至橙红色，蛋黄不见或略见阴影，没有霉味、酸味，臭味等不良气味，打开后蛋黄凸起、完整、有韧性，蛋白澄清、透明、稀稠分明，无异味。</w:t>
      </w:r>
    </w:p>
    <w:p>
      <w:pPr>
        <w:pStyle w:val="null3"/>
        <w:ind w:firstLine="210"/>
      </w:pPr>
      <w:r>
        <w:rPr>
          <w:rFonts w:ascii="仿宋_GB2312" w:hAnsi="仿宋_GB2312" w:cs="仿宋_GB2312" w:eastAsia="仿宋_GB2312"/>
          <w:sz w:val="24"/>
          <w:b/>
        </w:rPr>
        <w:t>★（五）冻品质量标准与要求</w:t>
      </w:r>
    </w:p>
    <w:p>
      <w:pPr>
        <w:pStyle w:val="null3"/>
        <w:ind w:firstLine="315"/>
      </w:pPr>
      <w:r>
        <w:rPr>
          <w:rFonts w:ascii="仿宋_GB2312" w:hAnsi="仿宋_GB2312" w:cs="仿宋_GB2312" w:eastAsia="仿宋_GB2312"/>
          <w:sz w:val="24"/>
        </w:rPr>
        <w:t>1）食品无变质、无异味、无腐败、无杂质，非病死禽、畜制品。兽、禽类肌肉有光泽，红色或暗红色，脂肪白色；</w:t>
      </w:r>
    </w:p>
    <w:p>
      <w:pPr>
        <w:pStyle w:val="null3"/>
        <w:ind w:firstLine="210"/>
      </w:pPr>
      <w:r>
        <w:rPr>
          <w:rFonts w:ascii="仿宋_GB2312" w:hAnsi="仿宋_GB2312" w:cs="仿宋_GB2312" w:eastAsia="仿宋_GB2312"/>
          <w:sz w:val="24"/>
        </w:rPr>
        <w:t>2）食品必须是去包装、去冰后的纯食品重量；</w:t>
      </w:r>
    </w:p>
    <w:p>
      <w:pPr>
        <w:pStyle w:val="null3"/>
        <w:ind w:firstLine="210"/>
      </w:pPr>
      <w:r>
        <w:rPr>
          <w:rFonts w:ascii="仿宋_GB2312" w:hAnsi="仿宋_GB2312" w:cs="仿宋_GB2312" w:eastAsia="仿宋_GB2312"/>
          <w:sz w:val="24"/>
        </w:rPr>
        <w:t>3）食品质量除符合上述要求外，相关食品还应符合下列相应要求：</w:t>
      </w:r>
    </w:p>
    <w:tbl>
      <w:tblPr>
        <w:tblW w:w="0" w:type="auto"/>
        <w:tblBorders>
          <w:top w:val="none" w:color="000000" w:sz="4"/>
          <w:left w:val="none" w:color="000000" w:sz="4"/>
          <w:bottom w:val="none" w:color="000000" w:sz="4"/>
          <w:right w:val="none" w:color="000000" w:sz="4"/>
          <w:insideH w:val="none"/>
          <w:insideV w:val="none"/>
        </w:tblBorders>
      </w:tblPr>
      <w:tblGrid>
        <w:gridCol w:w="570"/>
        <w:gridCol w:w="990"/>
        <w:gridCol w:w="6315"/>
      </w:tblGrid>
      <w:tr>
        <w:tc>
          <w:tcPr>
            <w:tcW w:type="dxa" w:w="570"/>
            <w:tcBorders>
              <w:top w:val="single" w:color="000000" w:sz="4"/>
              <w:left w:val="singl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b/>
              </w:rPr>
              <w:t>序号</w:t>
            </w:r>
          </w:p>
        </w:tc>
        <w:tc>
          <w:tcPr>
            <w:tcW w:type="dxa" w:w="990"/>
            <w:tcBorders>
              <w:top w:val="singl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b/>
              </w:rPr>
              <w:t>品名</w:t>
            </w:r>
          </w:p>
        </w:tc>
        <w:tc>
          <w:tcPr>
            <w:tcW w:type="dxa" w:w="6315"/>
            <w:tcBorders>
              <w:top w:val="singl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b/>
              </w:rPr>
              <w:t>质量要求</w:t>
            </w:r>
          </w:p>
        </w:tc>
      </w:tr>
      <w:tr>
        <w:tc>
          <w:tcPr>
            <w:tcW w:type="dxa" w:w="570"/>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1</w:t>
            </w:r>
          </w:p>
        </w:tc>
        <w:tc>
          <w:tcPr>
            <w:tcW w:type="dxa" w:w="99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冻猪</w:t>
            </w:r>
          </w:p>
          <w:p>
            <w:pPr>
              <w:pStyle w:val="null3"/>
              <w:jc w:val="center"/>
            </w:pPr>
            <w:r>
              <w:rPr>
                <w:rFonts w:ascii="仿宋_GB2312" w:hAnsi="仿宋_GB2312" w:cs="仿宋_GB2312" w:eastAsia="仿宋_GB2312"/>
                <w:sz w:val="24"/>
              </w:rPr>
              <w:t>前排</w:t>
            </w:r>
          </w:p>
        </w:tc>
        <w:tc>
          <w:tcPr>
            <w:tcW w:type="dxa" w:w="6315"/>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pPr>
            <w:r>
              <w:rPr>
                <w:rFonts w:ascii="仿宋_GB2312" w:hAnsi="仿宋_GB2312" w:cs="仿宋_GB2312" w:eastAsia="仿宋_GB2312"/>
                <w:sz w:val="24"/>
              </w:rPr>
              <w:t>带颈骨及前五条排骨，肉体冻实而坚硬，敲之回音清脆，无化冻现象。</w:t>
            </w:r>
          </w:p>
        </w:tc>
      </w:tr>
      <w:tr>
        <w:tc>
          <w:tcPr>
            <w:tcW w:type="dxa" w:w="570"/>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2</w:t>
            </w:r>
          </w:p>
        </w:tc>
        <w:tc>
          <w:tcPr>
            <w:tcW w:type="dxa" w:w="99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冻脊骨</w:t>
            </w:r>
          </w:p>
        </w:tc>
        <w:tc>
          <w:tcPr>
            <w:tcW w:type="dxa" w:w="6315"/>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pPr>
            <w:r>
              <w:rPr>
                <w:rFonts w:ascii="仿宋_GB2312" w:hAnsi="仿宋_GB2312" w:cs="仿宋_GB2312" w:eastAsia="仿宋_GB2312"/>
                <w:sz w:val="24"/>
              </w:rPr>
              <w:t>肉体冻实而坚硬，敲之回音清脆，无化冻现象</w:t>
            </w:r>
          </w:p>
        </w:tc>
      </w:tr>
      <w:tr>
        <w:tc>
          <w:tcPr>
            <w:tcW w:type="dxa" w:w="570"/>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3</w:t>
            </w:r>
          </w:p>
        </w:tc>
        <w:tc>
          <w:tcPr>
            <w:tcW w:type="dxa" w:w="99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冻猪</w:t>
            </w:r>
          </w:p>
          <w:p>
            <w:pPr>
              <w:pStyle w:val="null3"/>
              <w:jc w:val="center"/>
            </w:pPr>
            <w:r>
              <w:rPr>
                <w:rFonts w:ascii="仿宋_GB2312" w:hAnsi="仿宋_GB2312" w:cs="仿宋_GB2312" w:eastAsia="仿宋_GB2312"/>
                <w:sz w:val="24"/>
              </w:rPr>
              <w:t>筒骨</w:t>
            </w:r>
          </w:p>
        </w:tc>
        <w:tc>
          <w:tcPr>
            <w:tcW w:type="dxa" w:w="6315"/>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pPr>
            <w:r>
              <w:rPr>
                <w:rFonts w:ascii="仿宋_GB2312" w:hAnsi="仿宋_GB2312" w:cs="仿宋_GB2312" w:eastAsia="仿宋_GB2312"/>
                <w:sz w:val="24"/>
              </w:rPr>
              <w:t>骨体冻实而坚硬，无化冻现象</w:t>
            </w:r>
          </w:p>
        </w:tc>
      </w:tr>
      <w:tr>
        <w:tc>
          <w:tcPr>
            <w:tcW w:type="dxa" w:w="570"/>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4</w:t>
            </w:r>
          </w:p>
        </w:tc>
        <w:tc>
          <w:tcPr>
            <w:tcW w:type="dxa" w:w="99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冻猪蹄</w:t>
            </w:r>
          </w:p>
        </w:tc>
        <w:tc>
          <w:tcPr>
            <w:tcW w:type="dxa" w:w="6315"/>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pPr>
            <w:r>
              <w:rPr>
                <w:rFonts w:ascii="仿宋_GB2312" w:hAnsi="仿宋_GB2312" w:cs="仿宋_GB2312" w:eastAsia="仿宋_GB2312"/>
                <w:sz w:val="24"/>
              </w:rPr>
              <w:t>必须去除一切毛污物，无异味，交货以干净、新鲜、大小适合规格要求为标准。</w:t>
            </w:r>
          </w:p>
        </w:tc>
      </w:tr>
      <w:tr>
        <w:tc>
          <w:tcPr>
            <w:tcW w:type="dxa" w:w="570"/>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5</w:t>
            </w:r>
          </w:p>
        </w:tc>
        <w:tc>
          <w:tcPr>
            <w:tcW w:type="dxa" w:w="99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冻白</w:t>
            </w:r>
          </w:p>
          <w:p>
            <w:pPr>
              <w:pStyle w:val="null3"/>
              <w:jc w:val="center"/>
            </w:pPr>
            <w:r>
              <w:rPr>
                <w:rFonts w:ascii="仿宋_GB2312" w:hAnsi="仿宋_GB2312" w:cs="仿宋_GB2312" w:eastAsia="仿宋_GB2312"/>
                <w:sz w:val="24"/>
              </w:rPr>
              <w:t>条鸭</w:t>
            </w:r>
          </w:p>
        </w:tc>
        <w:tc>
          <w:tcPr>
            <w:tcW w:type="dxa" w:w="6315"/>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pPr>
            <w:r>
              <w:rPr>
                <w:rFonts w:ascii="仿宋_GB2312" w:hAnsi="仿宋_GB2312" w:cs="仿宋_GB2312" w:eastAsia="仿宋_GB2312"/>
                <w:sz w:val="24"/>
              </w:rPr>
              <w:t>表皮光滑，新鲜肥嫩，无内脏，每只不低于0.8公 斤，鸭的眼球饱满或平坦，皮肤有光泽，因品种不同而呈黄、浅黄、淡红、灰白等色，肌肉切面有光泽，外表微湿润，不粘手，解冻指压后的凹陷恢复慢，且不能完全恢复，具有鸭的正常气味。</w:t>
            </w:r>
          </w:p>
        </w:tc>
      </w:tr>
      <w:tr>
        <w:tc>
          <w:tcPr>
            <w:tcW w:type="dxa" w:w="570"/>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6</w:t>
            </w:r>
          </w:p>
        </w:tc>
        <w:tc>
          <w:tcPr>
            <w:tcW w:type="dxa" w:w="99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冻白</w:t>
            </w:r>
          </w:p>
          <w:p>
            <w:pPr>
              <w:pStyle w:val="null3"/>
              <w:jc w:val="center"/>
            </w:pPr>
            <w:r>
              <w:rPr>
                <w:rFonts w:ascii="仿宋_GB2312" w:hAnsi="仿宋_GB2312" w:cs="仿宋_GB2312" w:eastAsia="仿宋_GB2312"/>
                <w:sz w:val="24"/>
              </w:rPr>
              <w:t>条鸡</w:t>
            </w:r>
          </w:p>
        </w:tc>
        <w:tc>
          <w:tcPr>
            <w:tcW w:type="dxa" w:w="6315"/>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pPr>
            <w:r>
              <w:rPr>
                <w:rFonts w:ascii="仿宋_GB2312" w:hAnsi="仿宋_GB2312" w:cs="仿宋_GB2312" w:eastAsia="仿宋_GB2312"/>
                <w:sz w:val="24"/>
              </w:rPr>
              <w:t>整鸡表皮光滑，新鲜肥嫩，有头颈，有腿翅，无内脏，规格从0.6—1.5公 斤，鸡肉的眼球饱满或平坦，皮肤有光泽，在品种不同而呈黄、浅黄、淡红、灰白等色，肌肉切面有光泽，外表微湿涧，不粘手，解冻指压后的凹陷恢复慢。</w:t>
            </w:r>
          </w:p>
        </w:tc>
      </w:tr>
      <w:tr>
        <w:tc>
          <w:tcPr>
            <w:tcW w:type="dxa" w:w="570"/>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7</w:t>
            </w:r>
          </w:p>
        </w:tc>
        <w:tc>
          <w:tcPr>
            <w:tcW w:type="dxa" w:w="99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冻鱼丸</w:t>
            </w:r>
          </w:p>
        </w:tc>
        <w:tc>
          <w:tcPr>
            <w:tcW w:type="dxa" w:w="6315"/>
            <w:vMerge w:val="restart"/>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pPr>
            <w:r>
              <w:rPr>
                <w:rFonts w:ascii="仿宋_GB2312" w:hAnsi="仿宋_GB2312" w:cs="仿宋_GB2312" w:eastAsia="仿宋_GB2312"/>
                <w:sz w:val="24"/>
              </w:rPr>
              <w:t>具有良好的弹性，水煮后用手捏应不轻易破裂，且手松开后能回复。切开丸体其剖面应比较平整，不能有明显的冰晶状物。</w:t>
            </w:r>
          </w:p>
        </w:tc>
      </w:tr>
      <w:tr>
        <w:tc>
          <w:tcPr>
            <w:tcW w:type="dxa" w:w="570"/>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8</w:t>
            </w:r>
          </w:p>
        </w:tc>
        <w:tc>
          <w:tcPr>
            <w:tcW w:type="dxa" w:w="99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冻肉丸</w:t>
            </w:r>
          </w:p>
        </w:tc>
        <w:tc>
          <w:tcPr>
            <w:tcW w:type="dxa" w:w="6315"/>
            <w:vMerge/>
            <w:tcBorders>
              <w:top w:val="none" w:color="000000" w:sz="4"/>
              <w:left w:val="non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9</w:t>
            </w:r>
          </w:p>
        </w:tc>
        <w:tc>
          <w:tcPr>
            <w:tcW w:type="dxa" w:w="99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冻贡丸</w:t>
            </w:r>
          </w:p>
        </w:tc>
        <w:tc>
          <w:tcPr>
            <w:tcW w:type="dxa" w:w="6315"/>
            <w:vMerge/>
            <w:tcBorders>
              <w:top w:val="none" w:color="000000" w:sz="4"/>
              <w:left w:val="non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10</w:t>
            </w:r>
          </w:p>
        </w:tc>
        <w:tc>
          <w:tcPr>
            <w:tcW w:type="dxa" w:w="99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冻鸭腿</w:t>
            </w:r>
          </w:p>
        </w:tc>
        <w:tc>
          <w:tcPr>
            <w:tcW w:type="dxa" w:w="6315"/>
            <w:vMerge w:val="restart"/>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pPr>
            <w:r>
              <w:rPr>
                <w:rFonts w:ascii="仿宋_GB2312" w:hAnsi="仿宋_GB2312" w:cs="仿宋_GB2312" w:eastAsia="仿宋_GB2312"/>
                <w:sz w:val="24"/>
              </w:rPr>
              <w:t>无残羽，无伤斑和溃烂，表皮光滑，无血水，交货以干净、新鲜、无异味，大小适合规格要求为标准。</w:t>
            </w:r>
          </w:p>
        </w:tc>
      </w:tr>
      <w:tr>
        <w:tc>
          <w:tcPr>
            <w:tcW w:type="dxa" w:w="570"/>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11</w:t>
            </w:r>
          </w:p>
        </w:tc>
        <w:tc>
          <w:tcPr>
            <w:tcW w:type="dxa" w:w="99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冻鸡腿</w:t>
            </w:r>
          </w:p>
        </w:tc>
        <w:tc>
          <w:tcPr>
            <w:tcW w:type="dxa" w:w="6315"/>
            <w:vMerge/>
            <w:tcBorders>
              <w:top w:val="none" w:color="000000" w:sz="4"/>
              <w:left w:val="non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12</w:t>
            </w:r>
          </w:p>
        </w:tc>
        <w:tc>
          <w:tcPr>
            <w:tcW w:type="dxa" w:w="99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冻鸡翅</w:t>
            </w:r>
          </w:p>
        </w:tc>
        <w:tc>
          <w:tcPr>
            <w:tcW w:type="dxa" w:w="6315"/>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pPr>
            <w:r>
              <w:rPr>
                <w:rFonts w:ascii="仿宋_GB2312" w:hAnsi="仿宋_GB2312" w:cs="仿宋_GB2312" w:eastAsia="仿宋_GB2312"/>
                <w:sz w:val="24"/>
              </w:rPr>
              <w:t>肉质紧密，无污伤、无小毛，个体大小均匀</w:t>
            </w:r>
          </w:p>
        </w:tc>
      </w:tr>
      <w:tr>
        <w:tc>
          <w:tcPr>
            <w:tcW w:type="dxa" w:w="570"/>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13</w:t>
            </w:r>
          </w:p>
        </w:tc>
        <w:tc>
          <w:tcPr>
            <w:tcW w:type="dxa" w:w="99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冻鸡爪</w:t>
            </w:r>
          </w:p>
        </w:tc>
        <w:tc>
          <w:tcPr>
            <w:tcW w:type="dxa" w:w="6315"/>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pPr>
            <w:r>
              <w:rPr>
                <w:rFonts w:ascii="仿宋_GB2312" w:hAnsi="仿宋_GB2312" w:cs="仿宋_GB2312" w:eastAsia="仿宋_GB2312"/>
                <w:sz w:val="24"/>
              </w:rPr>
              <w:t>交货以干净、新鲜、无异味，大小适合规格要求为标准。</w:t>
            </w:r>
          </w:p>
        </w:tc>
      </w:tr>
    </w:tbl>
    <w:p>
      <w:pPr>
        <w:pStyle w:val="null3"/>
        <w:ind w:firstLine="420"/>
      </w:pPr>
      <w:r>
        <w:rPr>
          <w:rFonts w:ascii="仿宋_GB2312" w:hAnsi="仿宋_GB2312" w:cs="仿宋_GB2312" w:eastAsia="仿宋_GB2312"/>
          <w:sz w:val="24"/>
          <w:b/>
        </w:rPr>
        <w:t>★（六）副食品质量标准与要求</w:t>
      </w:r>
    </w:p>
    <w:p>
      <w:pPr>
        <w:pStyle w:val="null3"/>
        <w:ind w:firstLine="420"/>
      </w:pPr>
      <w:r>
        <w:rPr>
          <w:rFonts w:ascii="仿宋_GB2312" w:hAnsi="仿宋_GB2312" w:cs="仿宋_GB2312" w:eastAsia="仿宋_GB2312"/>
          <w:sz w:val="24"/>
          <w:b/>
        </w:rPr>
        <w:t>1</w:t>
      </w:r>
      <w:r>
        <w:rPr>
          <w:rFonts w:ascii="仿宋_GB2312" w:hAnsi="仿宋_GB2312" w:cs="仿宋_GB2312" w:eastAsia="仿宋_GB2312"/>
          <w:sz w:val="24"/>
          <w:b/>
        </w:rPr>
        <w:t>）质量标准及要求</w:t>
      </w:r>
    </w:p>
    <w:tbl>
      <w:tblPr>
        <w:tblW w:w="0" w:type="auto"/>
        <w:tblBorders>
          <w:top w:val="none" w:color="000000" w:sz="4"/>
          <w:left w:val="none" w:color="000000" w:sz="4"/>
          <w:bottom w:val="none" w:color="000000" w:sz="4"/>
          <w:right w:val="none" w:color="000000" w:sz="4"/>
          <w:insideH w:val="none"/>
          <w:insideV w:val="none"/>
        </w:tblBorders>
      </w:tblPr>
      <w:tblGrid>
        <w:gridCol w:w="709"/>
        <w:gridCol w:w="1040"/>
        <w:gridCol w:w="6557"/>
      </w:tblGrid>
      <w:tr>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0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品名</w:t>
            </w:r>
          </w:p>
        </w:tc>
        <w:tc>
          <w:tcPr>
            <w:tcW w:type="dxa" w:w="65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质量要求</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酱油</w:t>
            </w:r>
          </w:p>
        </w:tc>
        <w:tc>
          <w:tcPr>
            <w:tcW w:type="dxa" w:w="6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合格的酱油颜色比较红、亮，有光泽、透明，把这酱油倒在瓶子里后，摇一下，合格酱油产生的泡沫非常细腻，保持持久，挂碗现象非常好，有一种发黏的感觉；不合格的酱油泡沫比较大，很容易散去，挂碗现象不好，很容易滑落。</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味精</w:t>
            </w:r>
          </w:p>
        </w:tc>
        <w:tc>
          <w:tcPr>
            <w:tcW w:type="dxa" w:w="6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无色至白色结晶或粉末，具有特殊的鲜味，无异味，无肉眼可见杂质。</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酱腌菜</w:t>
            </w:r>
          </w:p>
        </w:tc>
        <w:tc>
          <w:tcPr>
            <w:tcW w:type="dxa" w:w="6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具有酱腌菜固有的色、香、味，无杂质，无其他不良气味，不得有霉斑白膜。酱类食品具有正常酿造酱的色泽、气味和滋味，不涩，无其他不良气味，不得有酸、苦、焦糊及其它异味、异物。</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淀粉制品</w:t>
            </w:r>
          </w:p>
        </w:tc>
        <w:tc>
          <w:tcPr>
            <w:tcW w:type="dxa" w:w="6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具有各自品种固有的形态和色泽，不酸、不粘、不发霉，无变质，无异味，无杂质，口尝无砂质。</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食盐</w:t>
            </w:r>
          </w:p>
        </w:tc>
        <w:tc>
          <w:tcPr>
            <w:tcW w:type="dxa" w:w="6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结晶整齐一致，坚硬光滑，呈透明或半透明，不结块，无反卤吸潮现象，无杂质，沾取少许尝试具有纯正的咸味。</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花生</w:t>
            </w:r>
          </w:p>
        </w:tc>
        <w:tc>
          <w:tcPr>
            <w:tcW w:type="dxa" w:w="6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果荚呈土黄色或白色，果仁呈各不同品种所特有的颜色，带荚花生和去荚果仁均颗粒饱满、形态完整，子叶肥厚而有光泽，无杂质，具有花生特有的气味、香味，无任何异味。</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食糖</w:t>
            </w:r>
          </w:p>
        </w:tc>
        <w:tc>
          <w:tcPr>
            <w:tcW w:type="dxa" w:w="6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食糖根据经营习惯分为白糖、红糖、冰糖、方糖等。</w:t>
            </w:r>
          </w:p>
          <w:p>
            <w:pPr>
              <w:pStyle w:val="null3"/>
            </w:pPr>
            <w:r>
              <w:rPr>
                <w:rFonts w:ascii="仿宋_GB2312" w:hAnsi="仿宋_GB2312" w:cs="仿宋_GB2312" w:eastAsia="仿宋_GB2312"/>
                <w:sz w:val="24"/>
              </w:rPr>
              <w:t>⒈白糖的感官鉴别：色泽洁白明亮，有光泽，具有白糖的正常气味，无酸味、酒味或其他外来气味。白砂糖：颗粒大如砂粒，晶粒均匀整齐，晶面明显，无碎末，糖质坚硬。</w:t>
            </w:r>
          </w:p>
          <w:p>
            <w:pPr>
              <w:pStyle w:val="null3"/>
            </w:pPr>
            <w:r>
              <w:rPr>
                <w:rFonts w:ascii="仿宋_GB2312" w:hAnsi="仿宋_GB2312" w:cs="仿宋_GB2312" w:eastAsia="仿宋_GB2312"/>
                <w:sz w:val="24"/>
              </w:rPr>
              <w:t>绵白糖：颗粒细小而均匀，质地绵软、潮润。</w:t>
            </w:r>
          </w:p>
          <w:p>
            <w:pPr>
              <w:pStyle w:val="null3"/>
            </w:pPr>
            <w:r>
              <w:rPr>
                <w:rFonts w:ascii="仿宋_GB2312" w:hAnsi="仿宋_GB2312" w:cs="仿宋_GB2312" w:eastAsia="仿宋_GB2312"/>
                <w:sz w:val="24"/>
              </w:rPr>
              <w:t>冰糖：块形完整，个粒均匀，结晶纽织严密，透明或半透明，无破碎。</w:t>
            </w:r>
          </w:p>
          <w:p>
            <w:pPr>
              <w:pStyle w:val="null3"/>
            </w:pPr>
            <w:r>
              <w:rPr>
                <w:rFonts w:ascii="仿宋_GB2312" w:hAnsi="仿宋_GB2312" w:cs="仿宋_GB2312" w:eastAsia="仿宋_GB2312"/>
                <w:sz w:val="24"/>
              </w:rPr>
              <w:t>方糖：呈正六面体状，表面平整，无裂纹，铁边，断角，无突出砂粒，无霉斑。</w:t>
            </w:r>
          </w:p>
          <w:p>
            <w:pPr>
              <w:pStyle w:val="null3"/>
            </w:pPr>
            <w:r>
              <w:rPr>
                <w:rFonts w:ascii="仿宋_GB2312" w:hAnsi="仿宋_GB2312" w:cs="仿宋_GB2312" w:eastAsia="仿宋_GB2312"/>
                <w:sz w:val="24"/>
              </w:rPr>
              <w:t>凡是白糖都应干燥，晶粒松散，不粘手，不结块，无肉眼可见的杂质，白糖的水溶液应清晰透明无杂质。</w:t>
            </w:r>
          </w:p>
          <w:p>
            <w:pPr>
              <w:pStyle w:val="null3"/>
            </w:pPr>
            <w:r>
              <w:rPr>
                <w:rFonts w:ascii="仿宋_GB2312" w:hAnsi="仿宋_GB2312" w:cs="仿宋_GB2312" w:eastAsia="仿宋_GB2312"/>
                <w:sz w:val="24"/>
              </w:rPr>
              <w:t>⒉红糖的感官鉴别：红糖可细分为赤砂糖和红糖两种，其中赤砂糖是机制未经洗蜜的糖，红糖是用手工制成的土糖。因红糖的颜色有红褐、青褐、黄褐、赤红、金黄、淡黄、枣红等多种，很不一致，故凭色泽难以识别红糖的质量，应将感官鉴别的侧重点放在组织状态、气味、滋味三个指标上。</w:t>
            </w:r>
          </w:p>
          <w:p>
            <w:pPr>
              <w:pStyle w:val="null3"/>
            </w:pPr>
            <w:r>
              <w:rPr>
                <w:rFonts w:ascii="仿宋_GB2312" w:hAnsi="仿宋_GB2312" w:cs="仿宋_GB2312" w:eastAsia="仿宋_GB2312"/>
                <w:sz w:val="24"/>
              </w:rPr>
              <w:t>呈晶粒状或粉末状，干燥而松散，不结块，不成团，杂质，其水溶液清晰，无沉淀，无悬浮物，具有甘蔗汁的清香味，无有酒味、酸味或其他外来不良气味，口味浓甜带鲜，微有糖蜜味，无焦苦味或其他外来异味。</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辛辣料</w:t>
            </w:r>
          </w:p>
        </w:tc>
        <w:tc>
          <w:tcPr>
            <w:tcW w:type="dxa" w:w="6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辛辣料是采用植物果实和种子粉碎而配制成的天然植物香料，如五香粉、胡椒粉、花椒粉、咖喱粉、芥末粉等，辛辣料的主要原料有八角、花椒、胡椒、桂皮、小茴香、大茴香、辣椒、孜然等。辛辣料呈干燥状，具有该种香料植物所特有的色、香、味，没有不纯正的气味和味道，无发霉味或其他异味。</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豆制品</w:t>
            </w:r>
          </w:p>
        </w:tc>
        <w:tc>
          <w:tcPr>
            <w:tcW w:type="dxa" w:w="6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95"/>
            </w:pPr>
            <w:r>
              <w:rPr>
                <w:rFonts w:ascii="仿宋_GB2312" w:hAnsi="仿宋_GB2312" w:cs="仿宋_GB2312" w:eastAsia="仿宋_GB2312"/>
                <w:sz w:val="24"/>
              </w:rPr>
              <w:t>炸豆腐外皮色泽为金黄色至黄褐色，皮内豆腐为白色或乳白色。</w:t>
            </w:r>
          </w:p>
          <w:p>
            <w:pPr>
              <w:pStyle w:val="null3"/>
              <w:ind w:firstLine="495"/>
            </w:pPr>
            <w:r>
              <w:rPr>
                <w:rFonts w:ascii="仿宋_GB2312" w:hAnsi="仿宋_GB2312" w:cs="仿宋_GB2312" w:eastAsia="仿宋_GB2312"/>
                <w:sz w:val="24"/>
              </w:rPr>
              <w:t>水豆腐应为白色或淡黄色有豆香味，无涩味、酸味，块型完整，有弹性，质地细嫩，无肉眼可见外来杂质, 快形完整，软硬适度，富有一定弹性，质地细腻，结构均匀，无杂质，具有新鲜豆腐特有的清香气味，无异味，水分不大于90%。</w:t>
            </w:r>
          </w:p>
          <w:p>
            <w:pPr>
              <w:pStyle w:val="null3"/>
              <w:ind w:firstLine="495"/>
            </w:pPr>
            <w:r>
              <w:rPr>
                <w:rFonts w:ascii="仿宋_GB2312" w:hAnsi="仿宋_GB2312" w:cs="仿宋_GB2312" w:eastAsia="仿宋_GB2312"/>
                <w:sz w:val="24"/>
              </w:rPr>
              <w:t>豆腐泡：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p>
            <w:pPr>
              <w:pStyle w:val="null3"/>
              <w:ind w:firstLine="420"/>
            </w:pPr>
            <w:r>
              <w:rPr>
                <w:rFonts w:ascii="仿宋_GB2312" w:hAnsi="仿宋_GB2312" w:cs="仿宋_GB2312" w:eastAsia="仿宋_GB2312"/>
                <w:sz w:val="24"/>
              </w:rPr>
              <w:t>腐竹：为枝条或片叶状，质脆易折，条状折断有空心，无霉斑、杂质、虫蛀。呈淡黄色，有光泽。具有腐竹固有的香味，无其他任何异味，取样品品尝其滋味，具有腐竹固有的鲜香滋味。</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其他食品</w:t>
            </w:r>
          </w:p>
        </w:tc>
        <w:tc>
          <w:tcPr>
            <w:tcW w:type="dxa" w:w="6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15"/>
            </w:pPr>
            <w:r>
              <w:rPr>
                <w:rFonts w:ascii="仿宋_GB2312" w:hAnsi="仿宋_GB2312" w:cs="仿宋_GB2312" w:eastAsia="仿宋_GB2312"/>
                <w:sz w:val="24"/>
              </w:rPr>
              <w:t>干散货外形完整均匀，色泽正常，有光泽，无腐烂、无变质、无变味、无霉变、无虫蛀、无杂质，不混合其他无效物资，不添加对人体健康有害物资，干货要求保证干性。</w:t>
            </w:r>
          </w:p>
          <w:p>
            <w:pPr>
              <w:pStyle w:val="null3"/>
              <w:ind w:firstLine="420"/>
            </w:pPr>
            <w:r>
              <w:rPr>
                <w:rFonts w:ascii="仿宋_GB2312" w:hAnsi="仿宋_GB2312" w:cs="仿宋_GB2312" w:eastAsia="仿宋_GB2312"/>
                <w:sz w:val="24"/>
              </w:rPr>
              <w:t>干香菇：杂质≤1％、水分≤15％，裂盖、虫孔菇≤2％，直径大于5厘米，有香菇特有香气，无异味；</w:t>
            </w:r>
          </w:p>
          <w:p>
            <w:pPr>
              <w:pStyle w:val="null3"/>
              <w:ind w:firstLine="420"/>
            </w:pPr>
            <w:r>
              <w:rPr>
                <w:rFonts w:ascii="仿宋_GB2312" w:hAnsi="仿宋_GB2312" w:cs="仿宋_GB2312" w:eastAsia="仿宋_GB2312"/>
                <w:sz w:val="24"/>
              </w:rPr>
              <w:t>紫菜：免洗，片薄，表面光滑，有光泽，洁将无杂质，含水量在9%以下；</w:t>
            </w:r>
          </w:p>
          <w:p>
            <w:pPr>
              <w:pStyle w:val="null3"/>
              <w:ind w:firstLine="420"/>
            </w:pPr>
            <w:r>
              <w:rPr>
                <w:rFonts w:ascii="仿宋_GB2312" w:hAnsi="仿宋_GB2312" w:cs="仿宋_GB2312" w:eastAsia="仿宋_GB2312"/>
                <w:sz w:val="24"/>
              </w:rPr>
              <w:t>腐乳：红腐乳表面呈红色或枣红色，内部呈杏黄色，色泽鲜艳，有光泽。白腐乳外表呈乳黄色。块形整齐均匀，质地细腻，无霉斑、霉变及杂质。具有各品种的腐乳特有的香味或特征气味，无任何其他异味，滋味鲜美，咸淡适口，无任何其他异味。</w:t>
            </w:r>
          </w:p>
          <w:p>
            <w:pPr>
              <w:pStyle w:val="null3"/>
              <w:ind w:firstLine="420"/>
            </w:pPr>
            <w:r>
              <w:rPr>
                <w:rFonts w:ascii="仿宋_GB2312" w:hAnsi="仿宋_GB2312" w:cs="仿宋_GB2312" w:eastAsia="仿宋_GB2312"/>
                <w:sz w:val="24"/>
              </w:rPr>
              <w:t>大豆：大豆根据其种皮颜色和粒形可分为黄大豆、青大豆、黑大豆、其他大豆（赤色、褐色、棕色等）和饲料豆五类。大豆皮色呈各种大豆固有的颜色，光彩油亮，洁净而有光泽，颗粒饱满，整齐均匀，无虫蛀粒，无杂质，无霉变。</w:t>
            </w:r>
          </w:p>
          <w:p>
            <w:pPr>
              <w:pStyle w:val="null3"/>
              <w:ind w:firstLine="420"/>
            </w:pPr>
            <w:r>
              <w:rPr>
                <w:rFonts w:ascii="仿宋_GB2312" w:hAnsi="仿宋_GB2312" w:cs="仿宋_GB2312" w:eastAsia="仿宋_GB2312"/>
                <w:sz w:val="24"/>
              </w:rPr>
              <w:t>食醋：具有正常食醋的色泽、气味和滋味，不涩，无其他不良气味与异味，无浮物，不浑浊，无沉淀，无异物，无醋鳗、醋虱。</w:t>
            </w:r>
          </w:p>
          <w:p>
            <w:pPr>
              <w:pStyle w:val="null3"/>
              <w:ind w:firstLine="420"/>
            </w:pPr>
            <w:r>
              <w:rPr>
                <w:rFonts w:ascii="仿宋_GB2312" w:hAnsi="仿宋_GB2312" w:cs="仿宋_GB2312" w:eastAsia="仿宋_GB2312"/>
                <w:sz w:val="24"/>
              </w:rPr>
              <w:t>酱类食品具有正常酿造酱的色泽、气味和滋味，不涩，无其他不良气味，不得有酸、苦、焦糊及其它异味、异物。</w:t>
            </w:r>
          </w:p>
        </w:tc>
      </w:tr>
    </w:tbl>
    <w:p>
      <w:pPr>
        <w:pStyle w:val="null3"/>
        <w:ind w:firstLine="210"/>
      </w:pPr>
      <w:r>
        <w:rPr>
          <w:rFonts w:ascii="仿宋_GB2312" w:hAnsi="仿宋_GB2312" w:cs="仿宋_GB2312" w:eastAsia="仿宋_GB2312"/>
          <w:sz w:val="24"/>
          <w:b/>
        </w:rPr>
        <w:t>★（七）水产品类质量要求</w:t>
      </w:r>
    </w:p>
    <w:p>
      <w:pPr>
        <w:pStyle w:val="null3"/>
        <w:ind w:firstLine="525"/>
      </w:pPr>
      <w:r>
        <w:rPr>
          <w:rFonts w:ascii="仿宋_GB2312" w:hAnsi="仿宋_GB2312" w:cs="仿宋_GB2312" w:eastAsia="仿宋_GB2312"/>
          <w:sz w:val="24"/>
        </w:rPr>
        <w:t>1）采购人确定水产品是否需要宰杀。未宰杀的，重量及价格按本招标文件中“</w:t>
      </w:r>
      <w:r>
        <w:rPr>
          <w:rFonts w:ascii="仿宋_GB2312" w:hAnsi="仿宋_GB2312" w:cs="仿宋_GB2312" w:eastAsia="仿宋_GB2312"/>
          <w:sz w:val="24"/>
          <w:b/>
        </w:rPr>
        <w:t>报价要求及价格计算方式</w:t>
      </w:r>
      <w:r>
        <w:rPr>
          <w:rFonts w:ascii="仿宋_GB2312" w:hAnsi="仿宋_GB2312" w:cs="仿宋_GB2312" w:eastAsia="仿宋_GB2312"/>
          <w:sz w:val="24"/>
        </w:rPr>
        <w:t>”确定；需要宰杀的，按下列要求执行：</w:t>
      </w:r>
    </w:p>
    <w:p>
      <w:pPr>
        <w:pStyle w:val="null3"/>
        <w:ind w:firstLine="420"/>
      </w:pPr>
      <w:r>
        <w:rPr>
          <w:rFonts w:ascii="仿宋_GB2312" w:hAnsi="仿宋_GB2312" w:cs="仿宋_GB2312" w:eastAsia="仿宋_GB2312"/>
          <w:sz w:val="24"/>
          <w:b/>
        </w:rPr>
        <w:t>⑴</w:t>
      </w:r>
      <w:r>
        <w:rPr>
          <w:rFonts w:ascii="仿宋_GB2312" w:hAnsi="仿宋_GB2312" w:cs="仿宋_GB2312" w:eastAsia="仿宋_GB2312"/>
          <w:sz w:val="24"/>
        </w:rPr>
        <w:t>所有鱼必须杀好、去除鱼鳞鱼鳃和内脏，货物重量按加工后的重量×（1+10%）计算。</w:t>
      </w:r>
    </w:p>
    <w:p>
      <w:pPr>
        <w:pStyle w:val="null3"/>
        <w:ind w:firstLine="420"/>
      </w:pPr>
      <w:r>
        <w:rPr>
          <w:rFonts w:ascii="仿宋_GB2312" w:hAnsi="仿宋_GB2312" w:cs="仿宋_GB2312" w:eastAsia="仿宋_GB2312"/>
          <w:sz w:val="24"/>
          <w:b/>
        </w:rPr>
        <w:t>⑵</w:t>
      </w:r>
      <w:r>
        <w:rPr>
          <w:rFonts w:ascii="仿宋_GB2312" w:hAnsi="仿宋_GB2312" w:cs="仿宋_GB2312" w:eastAsia="仿宋_GB2312"/>
          <w:sz w:val="24"/>
        </w:rPr>
        <w:t>鲜草鱼、罗非鱼、鲤鱼、白鲢鱼等必须用鲜活鱼进行宰杀；冰鲜鱿鱼、冰鲜带鱼、冰鲜巴浪鱼必须是在保质期内正常保鲜的安全卫生产品而非冻品。</w:t>
      </w:r>
    </w:p>
    <w:p>
      <w:pPr>
        <w:pStyle w:val="null3"/>
        <w:ind w:firstLine="420"/>
      </w:pPr>
      <w:r>
        <w:rPr>
          <w:rFonts w:ascii="仿宋_GB2312" w:hAnsi="仿宋_GB2312" w:cs="仿宋_GB2312" w:eastAsia="仿宋_GB2312"/>
          <w:sz w:val="24"/>
          <w:b/>
          <w:shd w:fill="FFFFFF" w:val="clear"/>
        </w:rPr>
        <w:t>⑶</w:t>
      </w:r>
      <w:r>
        <w:rPr>
          <w:rFonts w:ascii="仿宋_GB2312" w:hAnsi="仿宋_GB2312" w:cs="仿宋_GB2312" w:eastAsia="仿宋_GB2312"/>
          <w:sz w:val="24"/>
          <w:shd w:fill="FFFFFF" w:val="clear"/>
        </w:rPr>
        <w:t>草鱼、白鲢鱼、鲤鱼必须从头部开始切割成两半；带鱼尖嘴部分应去除，所有鱼均需去除鱼鳞鱼鳃和内脏。</w:t>
      </w:r>
    </w:p>
    <w:p>
      <w:pPr>
        <w:pStyle w:val="null3"/>
        <w:ind w:firstLine="420"/>
      </w:pPr>
      <w:r>
        <w:rPr>
          <w:rFonts w:ascii="仿宋_GB2312" w:hAnsi="仿宋_GB2312" w:cs="仿宋_GB2312" w:eastAsia="仿宋_GB2312"/>
          <w:sz w:val="24"/>
          <w:b/>
          <w:shd w:fill="FFFFFF" w:val="clear"/>
        </w:rPr>
        <w:t>⑷</w:t>
      </w:r>
      <w:r>
        <w:rPr>
          <w:rFonts w:ascii="仿宋_GB2312" w:hAnsi="仿宋_GB2312" w:cs="仿宋_GB2312" w:eastAsia="仿宋_GB2312"/>
          <w:sz w:val="24"/>
          <w:shd w:fill="FFFFFF" w:val="clear"/>
        </w:rPr>
        <w:t>其他鱼宰杀按采购人要求。</w:t>
      </w:r>
    </w:p>
    <w:p>
      <w:pPr>
        <w:pStyle w:val="null3"/>
        <w:ind w:firstLine="420"/>
      </w:pPr>
      <w:r>
        <w:rPr>
          <w:rFonts w:ascii="仿宋_GB2312" w:hAnsi="仿宋_GB2312" w:cs="仿宋_GB2312" w:eastAsia="仿宋_GB2312"/>
          <w:sz w:val="24"/>
        </w:rPr>
        <w:t>2）质量要求：鱼，眼球饱满，角膜透明，鳃色鲜红，鳃丝清晰，鱼鳞紧贴完整，体表有光泽，肌肉有弹性，鱼腹无膨胀现象。宰杀后的鱼送达采购人地点不得超过6个小时。</w:t>
      </w:r>
    </w:p>
    <w:p>
      <w:pPr>
        <w:pStyle w:val="null3"/>
        <w:ind w:firstLine="420"/>
      </w:pPr>
      <w:r>
        <w:rPr>
          <w:rFonts w:ascii="仿宋_GB2312" w:hAnsi="仿宋_GB2312" w:cs="仿宋_GB2312" w:eastAsia="仿宋_GB2312"/>
          <w:sz w:val="24"/>
        </w:rPr>
        <w:t>虾，头胸节与腹节连接处紧密，虾体甲壳下不泛红，虾体组织完好，细胞充盈水份，膨胀而富弹力，虾体外表洁净，触之有干燥感。</w:t>
      </w:r>
    </w:p>
    <w:p>
      <w:pPr>
        <w:pStyle w:val="null3"/>
        <w:ind w:firstLine="420"/>
      </w:pPr>
      <w:r>
        <w:rPr>
          <w:rFonts w:ascii="仿宋_GB2312" w:hAnsi="仿宋_GB2312" w:cs="仿宋_GB2312" w:eastAsia="仿宋_GB2312"/>
          <w:sz w:val="24"/>
        </w:rPr>
        <w:t>蟹，手提蟹体，肢体（步足）向下松垂为新鲜，腹脐上方没有黑色“骨印”泛出，“</w:t>
      </w:r>
      <w:r>
        <w:rPr>
          <w:rFonts w:ascii="仿宋_GB2312" w:hAnsi="仿宋_GB2312" w:cs="仿宋_GB2312" w:eastAsia="仿宋_GB2312"/>
          <w:sz w:val="24"/>
          <w:color w:val="000000"/>
        </w:rPr>
        <w:t>蟹黄</w:t>
      </w:r>
      <w:r>
        <w:rPr>
          <w:rFonts w:ascii="仿宋_GB2312" w:hAnsi="仿宋_GB2312" w:cs="仿宋_GB2312" w:eastAsia="仿宋_GB2312"/>
          <w:sz w:val="24"/>
        </w:rPr>
        <w:t>”凝固，鳃丝洁净清晰为新鲜。前述鱼、虾、蟹大小符合采购人要求。无有害物质残留，无病害。</w:t>
      </w:r>
    </w:p>
    <w:p>
      <w:pPr>
        <w:pStyle w:val="null3"/>
        <w:ind w:firstLine="210"/>
      </w:pPr>
      <w:r>
        <w:rPr>
          <w:rFonts w:ascii="仿宋_GB2312" w:hAnsi="仿宋_GB2312" w:cs="仿宋_GB2312" w:eastAsia="仿宋_GB2312"/>
          <w:sz w:val="24"/>
          <w:b/>
        </w:rPr>
        <w:t>★（八）蔬菜类质量要求</w:t>
      </w:r>
    </w:p>
    <w:p>
      <w:pPr>
        <w:pStyle w:val="null3"/>
        <w:ind w:firstLine="420"/>
      </w:pPr>
      <w:r>
        <w:rPr>
          <w:rFonts w:ascii="仿宋_GB2312" w:hAnsi="仿宋_GB2312" w:cs="仿宋_GB2312" w:eastAsia="仿宋_GB2312"/>
          <w:sz w:val="24"/>
        </w:rPr>
        <w:t>1）总体质量要求：应为无使用工业污染水质浇灌的蔬菜、无使用国家严禁使用的农药喷洒的蔬菜、使用农药后经必要的时间采摘的无公害蔬菜。蔬菜应当是新鲜、青嫩、干净、无杂质、无杂草、无黄叶、无老叶、无浸水泡水或注水。</w:t>
      </w:r>
    </w:p>
    <w:p>
      <w:pPr>
        <w:pStyle w:val="null3"/>
        <w:ind w:firstLine="210"/>
      </w:pPr>
      <w:r>
        <w:rPr>
          <w:rFonts w:ascii="仿宋_GB2312" w:hAnsi="仿宋_GB2312" w:cs="仿宋_GB2312" w:eastAsia="仿宋_GB2312"/>
          <w:sz w:val="24"/>
        </w:rPr>
        <w:t>（1）新鲜指各类蔬菜无腐烂、变质、无臭水伤味、无糟软状态，尤其是豆芽、鲜菌类应保持应有的新鲜度。</w:t>
      </w:r>
    </w:p>
    <w:p>
      <w:pPr>
        <w:pStyle w:val="null3"/>
        <w:ind w:firstLine="210"/>
      </w:pPr>
      <w:r>
        <w:rPr>
          <w:rFonts w:ascii="仿宋_GB2312" w:hAnsi="仿宋_GB2312" w:cs="仿宋_GB2312" w:eastAsia="仿宋_GB2312"/>
          <w:sz w:val="24"/>
        </w:rPr>
        <w:t>（2）青嫩是指绝大多数蔬菜不但青而且嫩；青菜类和白菜类的外叶折断时不能有丝相连不断连的现象。</w:t>
      </w:r>
    </w:p>
    <w:p>
      <w:pPr>
        <w:pStyle w:val="null3"/>
        <w:ind w:firstLine="210"/>
      </w:pPr>
      <w:r>
        <w:rPr>
          <w:rFonts w:ascii="仿宋_GB2312" w:hAnsi="仿宋_GB2312" w:cs="仿宋_GB2312" w:eastAsia="仿宋_GB2312"/>
          <w:sz w:val="24"/>
        </w:rPr>
        <w:t>（3）干净、无杂质、无杂草泛指各类蔬菜，特别是根（块）茎类的蔬菜不能有泥巴。</w:t>
      </w:r>
    </w:p>
    <w:p>
      <w:pPr>
        <w:pStyle w:val="null3"/>
        <w:ind w:firstLine="210"/>
      </w:pPr>
      <w:r>
        <w:rPr>
          <w:rFonts w:ascii="仿宋_GB2312" w:hAnsi="仿宋_GB2312" w:cs="仿宋_GB2312" w:eastAsia="仿宋_GB2312"/>
          <w:sz w:val="24"/>
        </w:rPr>
        <w:t>（4）无黄叶、老叶主要指青菜、白菜类要见白、不能有老叶。</w:t>
      </w:r>
    </w:p>
    <w:p>
      <w:pPr>
        <w:pStyle w:val="null3"/>
        <w:ind w:firstLine="210"/>
      </w:pPr>
      <w:r>
        <w:rPr>
          <w:rFonts w:ascii="仿宋_GB2312" w:hAnsi="仿宋_GB2312" w:cs="仿宋_GB2312" w:eastAsia="仿宋_GB2312"/>
          <w:sz w:val="24"/>
        </w:rPr>
        <w:t>（5）无浸水、泡水或注水主要指白菜类、瓜果类、鲜菌类及根（块）茎类蔬菜不能浸水、泡水或注水。</w:t>
      </w:r>
    </w:p>
    <w:p>
      <w:pPr>
        <w:pStyle w:val="null3"/>
        <w:ind w:firstLine="420"/>
      </w:pPr>
      <w:r>
        <w:rPr>
          <w:rFonts w:ascii="仿宋_GB2312" w:hAnsi="仿宋_GB2312" w:cs="仿宋_GB2312" w:eastAsia="仿宋_GB2312"/>
          <w:sz w:val="24"/>
        </w:rPr>
        <w:t>2）必须随货提供本批次蔬菜的农药残留检验报告等质量合格证明材料，采购人随机抽检。</w:t>
      </w:r>
    </w:p>
    <w:p>
      <w:pPr>
        <w:pStyle w:val="null3"/>
        <w:ind w:firstLine="420"/>
      </w:pPr>
      <w:r>
        <w:rPr>
          <w:rFonts w:ascii="仿宋_GB2312" w:hAnsi="仿宋_GB2312" w:cs="仿宋_GB2312" w:eastAsia="仿宋_GB2312"/>
          <w:sz w:val="24"/>
        </w:rPr>
        <w:t>3）分项质量要求</w:t>
      </w:r>
    </w:p>
    <w:tbl>
      <w:tblPr>
        <w:tblW w:w="0" w:type="auto"/>
        <w:tblBorders>
          <w:top w:val="none" w:color="000000" w:sz="4"/>
          <w:left w:val="none" w:color="000000" w:sz="4"/>
          <w:bottom w:val="none" w:color="000000" w:sz="4"/>
          <w:right w:val="none" w:color="000000" w:sz="4"/>
          <w:insideH w:val="none"/>
          <w:insideV w:val="none"/>
        </w:tblBorders>
      </w:tblPr>
      <w:tblGrid>
        <w:gridCol w:w="735"/>
        <w:gridCol w:w="930"/>
        <w:gridCol w:w="1275"/>
        <w:gridCol w:w="4920"/>
      </w:tblGrid>
      <w:tr>
        <w:tc>
          <w:tcPr>
            <w:tcW w:type="dxa" w:w="735"/>
            <w:tcBorders>
              <w:top w:val="single" w:color="000000" w:sz="4"/>
              <w:left w:val="singl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b/>
              </w:rPr>
              <w:t>序号</w:t>
            </w:r>
          </w:p>
        </w:tc>
        <w:tc>
          <w:tcPr>
            <w:tcW w:type="dxa" w:w="930"/>
            <w:tcBorders>
              <w:top w:val="singl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b/>
              </w:rPr>
              <w:t>项目</w:t>
            </w:r>
          </w:p>
        </w:tc>
        <w:tc>
          <w:tcPr>
            <w:tcW w:type="dxa" w:w="1275"/>
            <w:tcBorders>
              <w:top w:val="singl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b/>
              </w:rPr>
              <w:t>适用</w:t>
            </w:r>
          </w:p>
          <w:p>
            <w:pPr>
              <w:pStyle w:val="null3"/>
              <w:jc w:val="center"/>
            </w:pPr>
            <w:r>
              <w:rPr>
                <w:rFonts w:ascii="仿宋_GB2312" w:hAnsi="仿宋_GB2312" w:cs="仿宋_GB2312" w:eastAsia="仿宋_GB2312"/>
                <w:sz w:val="24"/>
                <w:b/>
              </w:rPr>
              <w:t>范围</w:t>
            </w:r>
          </w:p>
        </w:tc>
        <w:tc>
          <w:tcPr>
            <w:tcW w:type="dxa" w:w="4920"/>
            <w:tcBorders>
              <w:top w:val="singl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b/>
              </w:rPr>
              <w:t>内容</w:t>
            </w:r>
          </w:p>
        </w:tc>
      </w:tr>
      <w:tr>
        <w:tc>
          <w:tcPr>
            <w:tcW w:type="dxa" w:w="735"/>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ind w:firstLine="210"/>
              <w:jc w:val="center"/>
            </w:pPr>
            <w:r>
              <w:rPr>
                <w:rFonts w:ascii="仿宋_GB2312" w:hAnsi="仿宋_GB2312" w:cs="仿宋_GB2312" w:eastAsia="仿宋_GB2312"/>
                <w:sz w:val="24"/>
              </w:rPr>
              <w:t>1</w:t>
            </w:r>
          </w:p>
        </w:tc>
        <w:tc>
          <w:tcPr>
            <w:tcW w:type="dxa" w:w="93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色泽</w:t>
            </w:r>
          </w:p>
        </w:tc>
        <w:tc>
          <w:tcPr>
            <w:tcW w:type="dxa" w:w="1275"/>
            <w:vMerge w:val="restart"/>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通用类</w:t>
            </w:r>
          </w:p>
        </w:tc>
        <w:tc>
          <w:tcPr>
            <w:tcW w:type="dxa" w:w="492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pPr>
            <w:r>
              <w:rPr>
                <w:rFonts w:ascii="仿宋_GB2312" w:hAnsi="仿宋_GB2312" w:cs="仿宋_GB2312" w:eastAsia="仿宋_GB2312"/>
                <w:sz w:val="24"/>
              </w:rPr>
              <w:t>各种蔬菜都应具有本品种固有的颜色，大多数有发亮的光泽，以此显示蔬菜的成熟度及鲜嫩程度。</w:t>
            </w:r>
          </w:p>
        </w:tc>
      </w:tr>
      <w:tr>
        <w:tc>
          <w:tcPr>
            <w:tcW w:type="dxa" w:w="735"/>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ind w:firstLine="210"/>
              <w:jc w:val="center"/>
            </w:pPr>
            <w:r>
              <w:rPr>
                <w:rFonts w:ascii="仿宋_GB2312" w:hAnsi="仿宋_GB2312" w:cs="仿宋_GB2312" w:eastAsia="仿宋_GB2312"/>
                <w:sz w:val="24"/>
              </w:rPr>
              <w:t>2</w:t>
            </w:r>
          </w:p>
        </w:tc>
        <w:tc>
          <w:tcPr>
            <w:tcW w:type="dxa" w:w="93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气味</w:t>
            </w:r>
          </w:p>
        </w:tc>
        <w:tc>
          <w:tcPr>
            <w:tcW w:type="dxa" w:w="1275"/>
            <w:vMerge/>
            <w:tcBorders>
              <w:top w:val="none" w:color="000000" w:sz="4"/>
              <w:left w:val="none" w:color="000000" w:sz="4"/>
              <w:bottom w:val="single" w:color="000000" w:sz="4"/>
              <w:right w:val="single" w:color="000000" w:sz="4"/>
            </w:tcBorders>
          </w:tcPr>
          <w:p/>
        </w:tc>
        <w:tc>
          <w:tcPr>
            <w:tcW w:type="dxa" w:w="492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pPr>
            <w:r>
              <w:rPr>
                <w:rFonts w:ascii="仿宋_GB2312" w:hAnsi="仿宋_GB2312" w:cs="仿宋_GB2312" w:eastAsia="仿宋_GB2312"/>
                <w:sz w:val="24"/>
              </w:rPr>
              <w:t>多数蔬菜具有清馨、甘辛香、甜酸香等气味，可凭嗅觉识别不同品种的质量，不允许有腐烂变质的亚硝酸盐味和其他异常气味。</w:t>
            </w:r>
          </w:p>
        </w:tc>
      </w:tr>
      <w:tr>
        <w:tc>
          <w:tcPr>
            <w:tcW w:type="dxa" w:w="735"/>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ind w:firstLine="210"/>
              <w:jc w:val="center"/>
            </w:pPr>
            <w:r>
              <w:rPr>
                <w:rFonts w:ascii="仿宋_GB2312" w:hAnsi="仿宋_GB2312" w:cs="仿宋_GB2312" w:eastAsia="仿宋_GB2312"/>
                <w:sz w:val="24"/>
              </w:rPr>
              <w:t>3</w:t>
            </w:r>
          </w:p>
        </w:tc>
        <w:tc>
          <w:tcPr>
            <w:tcW w:type="dxa" w:w="93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滋味</w:t>
            </w:r>
          </w:p>
        </w:tc>
        <w:tc>
          <w:tcPr>
            <w:tcW w:type="dxa" w:w="1275"/>
            <w:vMerge/>
            <w:tcBorders>
              <w:top w:val="none" w:color="000000" w:sz="4"/>
              <w:left w:val="none" w:color="000000" w:sz="4"/>
              <w:bottom w:val="single" w:color="000000" w:sz="4"/>
              <w:right w:val="single" w:color="000000" w:sz="4"/>
            </w:tcBorders>
          </w:tcPr>
          <w:p/>
        </w:tc>
        <w:tc>
          <w:tcPr>
            <w:tcW w:type="dxa" w:w="492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pPr>
            <w:r>
              <w:rPr>
                <w:rFonts w:ascii="仿宋_GB2312" w:hAnsi="仿宋_GB2312" w:cs="仿宋_GB2312" w:eastAsia="仿宋_GB2312"/>
                <w:sz w:val="24"/>
              </w:rPr>
              <w:t>因品种不同而各异，多数蔬菜滋味甘淡、甜酸、清爽鲜美，少数具有辛酸、苦涩等特殊风味以刺激食欲，如失去本品种原有的滋味即为异常。</w:t>
            </w:r>
          </w:p>
        </w:tc>
      </w:tr>
      <w:tr>
        <w:tc>
          <w:tcPr>
            <w:tcW w:type="dxa" w:w="735"/>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ind w:firstLine="210"/>
              <w:jc w:val="center"/>
            </w:pPr>
            <w:r>
              <w:rPr>
                <w:rFonts w:ascii="仿宋_GB2312" w:hAnsi="仿宋_GB2312" w:cs="仿宋_GB2312" w:eastAsia="仿宋_GB2312"/>
                <w:sz w:val="24"/>
              </w:rPr>
              <w:t>4</w:t>
            </w:r>
          </w:p>
        </w:tc>
        <w:tc>
          <w:tcPr>
            <w:tcW w:type="dxa" w:w="93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形态</w:t>
            </w:r>
          </w:p>
        </w:tc>
        <w:tc>
          <w:tcPr>
            <w:tcW w:type="dxa" w:w="1275"/>
            <w:vMerge/>
            <w:tcBorders>
              <w:top w:val="none" w:color="000000" w:sz="4"/>
              <w:left w:val="none" w:color="000000" w:sz="4"/>
              <w:bottom w:val="single" w:color="000000" w:sz="4"/>
              <w:right w:val="single" w:color="000000" w:sz="4"/>
            </w:tcBorders>
          </w:tcPr>
          <w:p/>
        </w:tc>
        <w:tc>
          <w:tcPr>
            <w:tcW w:type="dxa" w:w="492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pPr>
            <w:r>
              <w:rPr>
                <w:rFonts w:ascii="仿宋_GB2312" w:hAnsi="仿宋_GB2312" w:cs="仿宋_GB2312" w:eastAsia="仿宋_GB2312"/>
                <w:sz w:val="24"/>
              </w:rPr>
              <w:t>应尽量避免由于客观因素而造成的各种非正常、不新鲜的蔬菜，例如萎蔫、枯塌、损伤、病变、虫害侵蚀等引起的形态异常等。</w:t>
            </w:r>
          </w:p>
        </w:tc>
      </w:tr>
      <w:tr>
        <w:tc>
          <w:tcPr>
            <w:tcW w:type="dxa" w:w="735"/>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ind w:firstLine="210"/>
              <w:jc w:val="center"/>
            </w:pPr>
            <w:r>
              <w:rPr>
                <w:rFonts w:ascii="仿宋_GB2312" w:hAnsi="仿宋_GB2312" w:cs="仿宋_GB2312" w:eastAsia="仿宋_GB2312"/>
                <w:sz w:val="24"/>
              </w:rPr>
              <w:t>5</w:t>
            </w:r>
          </w:p>
        </w:tc>
        <w:tc>
          <w:tcPr>
            <w:tcW w:type="dxa" w:w="93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叶菜类</w:t>
            </w:r>
          </w:p>
        </w:tc>
        <w:tc>
          <w:tcPr>
            <w:tcW w:type="dxa" w:w="1275"/>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ind w:firstLine="210"/>
              <w:jc w:val="center"/>
            </w:pPr>
            <w:r>
              <w:rPr>
                <w:rFonts w:ascii="仿宋_GB2312" w:hAnsi="仿宋_GB2312" w:cs="仿宋_GB2312" w:eastAsia="仿宋_GB2312"/>
                <w:sz w:val="24"/>
              </w:rPr>
              <w:t>生菜、白菜、通心菜、苋菜等绿叶菜类及大白菜、盖菜等普通叶菜</w:t>
            </w:r>
          </w:p>
        </w:tc>
        <w:tc>
          <w:tcPr>
            <w:tcW w:type="dxa" w:w="492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pPr>
            <w:r>
              <w:rPr>
                <w:rFonts w:ascii="仿宋_GB2312" w:hAnsi="仿宋_GB2312" w:cs="仿宋_GB2312" w:eastAsia="仿宋_GB2312"/>
                <w:sz w:val="24"/>
              </w:rPr>
              <w:t>属同一品种规格，肉质鲜嫩形态好，色泽正常，茎基部削平，无枯黄叶、病叶、泥土、明显机械伤和病虫害伤，无烧心焦边、腐烂等现象，无异味，结球叶菜要结球适度。</w:t>
            </w:r>
          </w:p>
        </w:tc>
      </w:tr>
      <w:tr>
        <w:tc>
          <w:tcPr>
            <w:tcW w:type="dxa" w:w="735"/>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ind w:firstLine="210"/>
              <w:jc w:val="center"/>
            </w:pPr>
            <w:r>
              <w:rPr>
                <w:rFonts w:ascii="仿宋_GB2312" w:hAnsi="仿宋_GB2312" w:cs="仿宋_GB2312" w:eastAsia="仿宋_GB2312"/>
                <w:sz w:val="24"/>
              </w:rPr>
              <w:t>6</w:t>
            </w:r>
          </w:p>
        </w:tc>
        <w:tc>
          <w:tcPr>
            <w:tcW w:type="dxa" w:w="93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根茎类</w:t>
            </w:r>
          </w:p>
        </w:tc>
        <w:tc>
          <w:tcPr>
            <w:tcW w:type="dxa" w:w="1275"/>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ind w:firstLine="210"/>
              <w:jc w:val="center"/>
            </w:pPr>
            <w:r>
              <w:rPr>
                <w:rFonts w:ascii="仿宋_GB2312" w:hAnsi="仿宋_GB2312" w:cs="仿宋_GB2312" w:eastAsia="仿宋_GB2312"/>
                <w:sz w:val="24"/>
              </w:rPr>
              <w:t>红萝卜、笋等</w:t>
            </w:r>
          </w:p>
        </w:tc>
        <w:tc>
          <w:tcPr>
            <w:tcW w:type="dxa" w:w="492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pPr>
            <w:r>
              <w:rPr>
                <w:rFonts w:ascii="仿宋_GB2312" w:hAnsi="仿宋_GB2312" w:cs="仿宋_GB2312" w:eastAsia="仿宋_GB2312"/>
                <w:sz w:val="24"/>
              </w:rPr>
              <w:t>属同一品种规格，皮细光滑，肉质脆嫩致密新鲜，无腐烂、裂痕、糠心、异味，不带泥沙，不带茎叶和须根。</w:t>
            </w:r>
          </w:p>
        </w:tc>
      </w:tr>
      <w:tr>
        <w:tc>
          <w:tcPr>
            <w:tcW w:type="dxa" w:w="735"/>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ind w:firstLine="210"/>
              <w:jc w:val="center"/>
            </w:pPr>
            <w:r>
              <w:rPr>
                <w:rFonts w:ascii="仿宋_GB2312" w:hAnsi="仿宋_GB2312" w:cs="仿宋_GB2312" w:eastAsia="仿宋_GB2312"/>
                <w:sz w:val="24"/>
              </w:rPr>
              <w:t>7</w:t>
            </w:r>
          </w:p>
        </w:tc>
        <w:tc>
          <w:tcPr>
            <w:tcW w:type="dxa" w:w="93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薯芋类</w:t>
            </w:r>
          </w:p>
        </w:tc>
        <w:tc>
          <w:tcPr>
            <w:tcW w:type="dxa" w:w="1275"/>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ind w:firstLine="210"/>
              <w:jc w:val="center"/>
            </w:pPr>
            <w:r>
              <w:rPr>
                <w:rFonts w:ascii="仿宋_GB2312" w:hAnsi="仿宋_GB2312" w:cs="仿宋_GB2312" w:eastAsia="仿宋_GB2312"/>
                <w:sz w:val="24"/>
              </w:rPr>
              <w:t>马铃薯、芋、姜等</w:t>
            </w:r>
          </w:p>
        </w:tc>
        <w:tc>
          <w:tcPr>
            <w:tcW w:type="dxa" w:w="492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pPr>
            <w:r>
              <w:rPr>
                <w:rFonts w:ascii="仿宋_GB2312" w:hAnsi="仿宋_GB2312" w:cs="仿宋_GB2312" w:eastAsia="仿宋_GB2312"/>
                <w:sz w:val="24"/>
              </w:rPr>
              <w:t>属同一品种规格，色泽一致，不带泥沙，不带须根、茎叶，不干瘪，无腐烂、异味、明显机械伤、病虫害斑，马铃薯无发芽，皮不变绿。</w:t>
            </w:r>
          </w:p>
        </w:tc>
      </w:tr>
      <w:tr>
        <w:tc>
          <w:tcPr>
            <w:tcW w:type="dxa" w:w="735"/>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ind w:firstLine="210"/>
              <w:jc w:val="center"/>
            </w:pPr>
            <w:r>
              <w:rPr>
                <w:rFonts w:ascii="仿宋_GB2312" w:hAnsi="仿宋_GB2312" w:cs="仿宋_GB2312" w:eastAsia="仿宋_GB2312"/>
                <w:sz w:val="24"/>
              </w:rPr>
              <w:t>8</w:t>
            </w:r>
          </w:p>
        </w:tc>
        <w:tc>
          <w:tcPr>
            <w:tcW w:type="dxa" w:w="93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葱蒜类</w:t>
            </w:r>
          </w:p>
        </w:tc>
        <w:tc>
          <w:tcPr>
            <w:tcW w:type="dxa" w:w="1275"/>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ind w:firstLine="210"/>
              <w:jc w:val="center"/>
            </w:pPr>
            <w:r>
              <w:rPr>
                <w:rFonts w:ascii="仿宋_GB2312" w:hAnsi="仿宋_GB2312" w:cs="仿宋_GB2312" w:eastAsia="仿宋_GB2312"/>
                <w:sz w:val="24"/>
              </w:rPr>
              <w:t>葱、蒜等</w:t>
            </w:r>
          </w:p>
        </w:tc>
        <w:tc>
          <w:tcPr>
            <w:tcW w:type="dxa" w:w="492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pPr>
            <w:r>
              <w:rPr>
                <w:rFonts w:ascii="仿宋_GB2312" w:hAnsi="仿宋_GB2312" w:cs="仿宋_GB2312" w:eastAsia="仿宋_GB2312"/>
                <w:sz w:val="24"/>
              </w:rPr>
              <w:t>属同一品种规格，允许葱、青蒜类保留干净须根，葱、蒜、韭菜不带老叶，蒜头、洋葱去根去枯叶，可食部分新鲜幼嫩，无腐烂、异味。</w:t>
            </w:r>
          </w:p>
        </w:tc>
      </w:tr>
      <w:tr>
        <w:tc>
          <w:tcPr>
            <w:tcW w:type="dxa" w:w="735"/>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ind w:firstLine="210"/>
              <w:jc w:val="center"/>
            </w:pPr>
            <w:r>
              <w:rPr>
                <w:rFonts w:ascii="仿宋_GB2312" w:hAnsi="仿宋_GB2312" w:cs="仿宋_GB2312" w:eastAsia="仿宋_GB2312"/>
                <w:sz w:val="24"/>
              </w:rPr>
              <w:t>9</w:t>
            </w:r>
          </w:p>
        </w:tc>
        <w:tc>
          <w:tcPr>
            <w:tcW w:type="dxa" w:w="93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芽苗类</w:t>
            </w:r>
          </w:p>
        </w:tc>
        <w:tc>
          <w:tcPr>
            <w:tcW w:type="dxa" w:w="1275"/>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ind w:firstLine="210"/>
              <w:jc w:val="center"/>
            </w:pPr>
            <w:r>
              <w:rPr>
                <w:rFonts w:ascii="仿宋_GB2312" w:hAnsi="仿宋_GB2312" w:cs="仿宋_GB2312" w:eastAsia="仿宋_GB2312"/>
                <w:sz w:val="24"/>
              </w:rPr>
              <w:t>绿豆芽、黄豆芽等</w:t>
            </w:r>
          </w:p>
        </w:tc>
        <w:tc>
          <w:tcPr>
            <w:tcW w:type="dxa" w:w="492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pPr>
            <w:r>
              <w:rPr>
                <w:rFonts w:ascii="仿宋_GB2312" w:hAnsi="仿宋_GB2312" w:cs="仿宋_GB2312" w:eastAsia="仿宋_GB2312"/>
                <w:sz w:val="24"/>
              </w:rPr>
              <w:t>芽苗幼嫩，不带豆壳杂质，新鲜，不浸水，无腐烂、异味。</w:t>
            </w:r>
          </w:p>
        </w:tc>
      </w:tr>
      <w:tr>
        <w:tc>
          <w:tcPr>
            <w:tcW w:type="dxa" w:w="735"/>
            <w:tcBorders>
              <w:top w:val="none" w:color="000000" w:sz="4"/>
              <w:left w:val="single" w:color="000000" w:sz="4"/>
              <w:bottom w:val="single" w:color="000000" w:sz="4"/>
              <w:right w:val="single" w:color="000000" w:sz="4"/>
            </w:tcBorders>
            <w:tcMar>
              <w:top w:type="dxa" w:w="0"/>
              <w:left w:type="dxa" w:w="75"/>
              <w:bottom w:type="dxa" w:w="0"/>
              <w:right w:type="dxa" w:w="75"/>
            </w:tcMar>
          </w:tcPr>
          <w:p>
            <w:pPr>
              <w:pStyle w:val="null3"/>
              <w:ind w:firstLine="210"/>
              <w:jc w:val="center"/>
            </w:pPr>
            <w:r>
              <w:rPr>
                <w:rFonts w:ascii="仿宋_GB2312" w:hAnsi="仿宋_GB2312" w:cs="仿宋_GB2312" w:eastAsia="仿宋_GB2312"/>
                <w:sz w:val="24"/>
              </w:rPr>
              <w:t>10</w:t>
            </w:r>
          </w:p>
        </w:tc>
        <w:tc>
          <w:tcPr>
            <w:tcW w:type="dxa" w:w="93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jc w:val="center"/>
            </w:pPr>
            <w:r>
              <w:rPr>
                <w:rFonts w:ascii="仿宋_GB2312" w:hAnsi="仿宋_GB2312" w:cs="仿宋_GB2312" w:eastAsia="仿宋_GB2312"/>
                <w:sz w:val="24"/>
              </w:rPr>
              <w:t>香辛类</w:t>
            </w:r>
          </w:p>
        </w:tc>
        <w:tc>
          <w:tcPr>
            <w:tcW w:type="dxa" w:w="1275"/>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ind w:firstLine="210"/>
              <w:jc w:val="center"/>
            </w:pPr>
            <w:r>
              <w:rPr>
                <w:rFonts w:ascii="仿宋_GB2312" w:hAnsi="仿宋_GB2312" w:cs="仿宋_GB2312" w:eastAsia="仿宋_GB2312"/>
                <w:sz w:val="24"/>
              </w:rPr>
              <w:t>西芹、芹菜、香菜等</w:t>
            </w:r>
          </w:p>
        </w:tc>
        <w:tc>
          <w:tcPr>
            <w:tcW w:type="dxa" w:w="4920"/>
            <w:tcBorders>
              <w:top w:val="none" w:color="000000" w:sz="4"/>
              <w:left w:val="none" w:color="000000" w:sz="4"/>
              <w:bottom w:val="single" w:color="000000" w:sz="4"/>
              <w:right w:val="single" w:color="000000" w:sz="4"/>
            </w:tcBorders>
            <w:tcMar>
              <w:top w:type="dxa" w:w="0"/>
              <w:left w:type="dxa" w:w="75"/>
              <w:bottom w:type="dxa" w:w="0"/>
              <w:right w:type="dxa" w:w="75"/>
            </w:tcMar>
          </w:tcPr>
          <w:p>
            <w:pPr>
              <w:pStyle w:val="null3"/>
            </w:pPr>
            <w:r>
              <w:rPr>
                <w:rFonts w:ascii="仿宋_GB2312" w:hAnsi="仿宋_GB2312" w:cs="仿宋_GB2312" w:eastAsia="仿宋_GB2312"/>
                <w:sz w:val="24"/>
              </w:rPr>
              <w:t>属同一品种规格，肉质鲜嫩形态好，色泽正常，无枯黄叶、病叶、泥土、明显机械伤和病虫害伤，无烧心焦边、腐烂等现象，具有该品种应有的味道。</w:t>
            </w:r>
          </w:p>
        </w:tc>
      </w:tr>
    </w:tbl>
    <w:p>
      <w:pPr>
        <w:pStyle w:val="null3"/>
      </w:pPr>
      <w:r>
        <w:rPr>
          <w:rFonts w:ascii="仿宋_GB2312" w:hAnsi="仿宋_GB2312" w:cs="仿宋_GB2312" w:eastAsia="仿宋_GB2312"/>
          <w:sz w:val="24"/>
          <w:b/>
        </w:rPr>
        <w:t>★（九）奶制品质量要求</w:t>
      </w:r>
    </w:p>
    <w:p>
      <w:pPr>
        <w:pStyle w:val="null3"/>
      </w:pPr>
      <w:r>
        <w:rPr>
          <w:rFonts w:ascii="仿宋_GB2312" w:hAnsi="仿宋_GB2312" w:cs="仿宋_GB2312" w:eastAsia="仿宋_GB2312"/>
          <w:sz w:val="24"/>
          <w:b/>
        </w:rPr>
        <w:t>1</w:t>
      </w:r>
      <w:r>
        <w:rPr>
          <w:rFonts w:ascii="仿宋_GB2312" w:hAnsi="仿宋_GB2312" w:cs="仿宋_GB2312" w:eastAsia="仿宋_GB2312"/>
          <w:sz w:val="24"/>
          <w:b/>
        </w:rPr>
        <w:t>、 除符合奶制品相关国家或行业标准外，</w:t>
      </w:r>
      <w:r>
        <w:rPr>
          <w:rFonts w:ascii="仿宋_GB2312" w:hAnsi="仿宋_GB2312" w:cs="仿宋_GB2312" w:eastAsia="仿宋_GB2312"/>
          <w:sz w:val="24"/>
        </w:rPr>
        <w:t>出厂及保质日期应清晰可见，剩余保质期不得少于该商品原有保质期的四分之三。</w:t>
      </w:r>
    </w:p>
    <w:p>
      <w:pPr>
        <w:pStyle w:val="null3"/>
      </w:pPr>
      <w:r>
        <w:rPr>
          <w:rFonts w:ascii="仿宋_GB2312" w:hAnsi="仿宋_GB2312" w:cs="仿宋_GB2312" w:eastAsia="仿宋_GB2312"/>
          <w:sz w:val="24"/>
          <w:b/>
        </w:rPr>
        <w:t>2</w:t>
      </w:r>
      <w:r>
        <w:rPr>
          <w:rFonts w:ascii="仿宋_GB2312" w:hAnsi="仿宋_GB2312" w:cs="仿宋_GB2312" w:eastAsia="仿宋_GB2312"/>
          <w:sz w:val="24"/>
          <w:b/>
        </w:rPr>
        <w:t>、包装要求：</w:t>
      </w:r>
    </w:p>
    <w:p>
      <w:pPr>
        <w:pStyle w:val="null3"/>
        <w:ind w:firstLine="495"/>
      </w:pPr>
      <w:r>
        <w:rPr>
          <w:rFonts w:ascii="仿宋_GB2312" w:hAnsi="仿宋_GB2312" w:cs="仿宋_GB2312" w:eastAsia="仿宋_GB2312"/>
          <w:sz w:val="24"/>
        </w:rPr>
        <w:t>2.1、包装要求：符合国家食品包装相关规范及标准。并应做到包装规格统一，清洁、卫生，无破损、漏气、漏罐、涨罐、涨包、穿孔、破碎等；采购人有其他要求的则从其要求；</w:t>
      </w:r>
    </w:p>
    <w:p>
      <w:pPr>
        <w:pStyle w:val="null3"/>
        <w:ind w:firstLine="495"/>
      </w:pPr>
      <w:r>
        <w:rPr>
          <w:rFonts w:ascii="仿宋_GB2312" w:hAnsi="仿宋_GB2312" w:cs="仿宋_GB2312" w:eastAsia="仿宋_GB2312"/>
          <w:sz w:val="24"/>
        </w:rPr>
        <w:t>2.2、食品为预包装的，其包装上标签至少应包括如下内容：名 称、规格、净含量、生产日期；生产者的名 称、地址、联系方式；保质期；产品标准代号；生产许可证编号等内容；</w:t>
      </w:r>
    </w:p>
    <w:p>
      <w:pPr>
        <w:pStyle w:val="null3"/>
        <w:ind w:firstLine="420"/>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、食品为散装的，应当在散装食品的容器、外包装上标明食品的名 称、生产日期或者生产批号、保质期以及生产经营者名 称、地址、联系方式等内容。</w:t>
      </w:r>
    </w:p>
    <w:p>
      <w:pPr>
        <w:pStyle w:val="null3"/>
        <w:ind w:firstLine="420"/>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、水产品包装要求按采购人其他要求履行。</w:t>
      </w:r>
    </w:p>
    <w:p>
      <w:pPr>
        <w:pStyle w:val="null3"/>
      </w:pPr>
      <w:r>
        <w:rPr>
          <w:rFonts w:ascii="仿宋_GB2312" w:hAnsi="仿宋_GB2312" w:cs="仿宋_GB2312" w:eastAsia="仿宋_GB2312"/>
          <w:sz w:val="24"/>
          <w:b/>
        </w:rPr>
        <w:t>3</w:t>
      </w:r>
      <w:r>
        <w:rPr>
          <w:rFonts w:ascii="仿宋_GB2312" w:hAnsi="仿宋_GB2312" w:cs="仿宋_GB2312" w:eastAsia="仿宋_GB2312"/>
          <w:sz w:val="24"/>
          <w:b/>
        </w:rPr>
        <w:t>、供货手续要求：</w:t>
      </w:r>
    </w:p>
    <w:p>
      <w:pPr>
        <w:pStyle w:val="null3"/>
        <w:ind w:firstLine="420"/>
      </w:pPr>
      <w:r>
        <w:rPr>
          <w:rFonts w:ascii="仿宋_GB2312" w:hAnsi="仿宋_GB2312" w:cs="仿宋_GB2312" w:eastAsia="仿宋_GB2312"/>
          <w:sz w:val="24"/>
        </w:rPr>
        <w:t>3.1、中标人首次供货时应提供相关资质证明：《营业执照》、《动物防疫合格证》及《食品卫生许可证》或《食品流通许可证》或《食品经营许可证》或《食品药品生产经营许可证》复印件并加盖投标人公章。在投标截止时间前，如因国家政策调整，国家有关行政部门有颁发新的食品方面许可证书的，应从其规定。</w:t>
      </w:r>
    </w:p>
    <w:p>
      <w:pPr>
        <w:pStyle w:val="null3"/>
        <w:ind w:firstLine="420"/>
      </w:pPr>
      <w:r>
        <w:rPr>
          <w:rFonts w:ascii="仿宋_GB2312" w:hAnsi="仿宋_GB2312" w:cs="仿宋_GB2312" w:eastAsia="仿宋_GB2312"/>
          <w:sz w:val="24"/>
        </w:rPr>
        <w:t>3.2、产品票证要求：除本招标内容及要求有相应要求的外，采购人有权根据各种产品的食品安全需要，要求中标人提供相关检测报告或合格证等材料，如：1.《动物产品检疫合格证明》（由生产厂家所在地或产品销售集散地当地政府动物检疫部门出具的证明）；2.《产品合格证》（交货时提供本批次产品的出厂（库）检验合格证明，随货同行）。</w:t>
      </w:r>
    </w:p>
    <w:p>
      <w:pPr>
        <w:pStyle w:val="null3"/>
        <w:ind w:firstLine="420"/>
      </w:pPr>
      <w:r>
        <w:rPr>
          <w:rFonts w:ascii="仿宋_GB2312" w:hAnsi="仿宋_GB2312" w:cs="仿宋_GB2312" w:eastAsia="仿宋_GB2312"/>
          <w:sz w:val="24"/>
        </w:rPr>
        <w:t>3.3、加盖公章的货物清单（送货单）。</w:t>
      </w:r>
    </w:p>
    <w:p>
      <w:pPr>
        <w:pStyle w:val="null3"/>
        <w:ind w:firstLine="420"/>
      </w:pPr>
      <w:r>
        <w:rPr>
          <w:rFonts w:ascii="仿宋_GB2312" w:hAnsi="仿宋_GB2312" w:cs="仿宋_GB2312" w:eastAsia="仿宋_GB2312"/>
          <w:sz w:val="24"/>
        </w:rPr>
        <w:t>3.4、采购人要求的与食品相关的其他检测报告、合格证等材料。</w:t>
      </w:r>
    </w:p>
    <w:p>
      <w:pPr>
        <w:pStyle w:val="null3"/>
      </w:pPr>
      <w:r>
        <w:rPr>
          <w:rFonts w:ascii="仿宋_GB2312" w:hAnsi="仿宋_GB2312" w:cs="仿宋_GB2312" w:eastAsia="仿宋_GB2312"/>
          <w:sz w:val="24"/>
          <w:b/>
        </w:rPr>
        <w:t>（十）其他</w:t>
      </w:r>
    </w:p>
    <w:p>
      <w:pPr>
        <w:pStyle w:val="null3"/>
      </w:pPr>
      <w:r>
        <w:rPr>
          <w:rFonts w:ascii="仿宋_GB2312" w:hAnsi="仿宋_GB2312" w:cs="仿宋_GB2312" w:eastAsia="仿宋_GB2312"/>
          <w:sz w:val="24"/>
          <w:b/>
        </w:rPr>
        <w:t>1</w:t>
      </w:r>
      <w:r>
        <w:rPr>
          <w:rFonts w:ascii="仿宋_GB2312" w:hAnsi="仿宋_GB2312" w:cs="仿宋_GB2312" w:eastAsia="仿宋_GB2312"/>
          <w:sz w:val="24"/>
          <w:b/>
        </w:rPr>
        <w:t>、配合采购人管理要求</w:t>
      </w:r>
    </w:p>
    <w:p>
      <w:pPr>
        <w:pStyle w:val="null3"/>
        <w:ind w:firstLine="480"/>
      </w:pPr>
      <w:r>
        <w:rPr>
          <w:rFonts w:ascii="仿宋_GB2312" w:hAnsi="仿宋_GB2312" w:cs="仿宋_GB2312" w:eastAsia="仿宋_GB2312"/>
          <w:sz w:val="24"/>
          <w:shd w:fill="FFFFFF" w:val="clear"/>
        </w:rPr>
        <w:t>1.1</w:t>
      </w:r>
      <w:r>
        <w:rPr>
          <w:rFonts w:ascii="仿宋_GB2312" w:hAnsi="仿宋_GB2312" w:cs="仿宋_GB2312" w:eastAsia="仿宋_GB2312"/>
          <w:sz w:val="24"/>
          <w:shd w:fill="FFFFFF" w:val="clear"/>
        </w:rPr>
        <w:t>中标人应按照《中华人民共和国食品安全法》相关规定。根据生产经营的相关环节，建立健全食品进货查验记录制度，明确食品来源，如实记录所供食品的名 称、规格、数量、生产日期或者生产批号、保质期、进货日期以及供货者名 称、地址、联系方式等内容，并保存相关凭证。</w:t>
      </w:r>
      <w:r>
        <w:rPr>
          <w:rFonts w:ascii="仿宋_GB2312" w:hAnsi="仿宋_GB2312" w:cs="仿宋_GB2312" w:eastAsia="仿宋_GB2312"/>
          <w:sz w:val="24"/>
          <w:b/>
          <w:shd w:fill="FFFFFF" w:val="clear"/>
        </w:rPr>
        <w:t>(</w:t>
      </w:r>
      <w:r>
        <w:rPr>
          <w:rFonts w:ascii="仿宋_GB2312" w:hAnsi="仿宋_GB2312" w:cs="仿宋_GB2312" w:eastAsia="仿宋_GB2312"/>
          <w:sz w:val="24"/>
          <w:shd w:fill="FFFFFF" w:val="clear"/>
        </w:rPr>
        <w:t>评审指标</w:t>
      </w:r>
      <w:r>
        <w:rPr>
          <w:rFonts w:ascii="仿宋_GB2312" w:hAnsi="仿宋_GB2312" w:cs="仿宋_GB2312" w:eastAsia="仿宋_GB2312"/>
          <w:sz w:val="24"/>
          <w:b/>
          <w:shd w:fill="FFFFFF" w:val="clear"/>
        </w:rPr>
        <w:t>1)</w:t>
      </w:r>
    </w:p>
    <w:p>
      <w:pPr>
        <w:pStyle w:val="null3"/>
        <w:ind w:firstLine="480"/>
      </w:pPr>
      <w:r>
        <w:rPr>
          <w:rFonts w:ascii="仿宋_GB2312" w:hAnsi="仿宋_GB2312" w:cs="仿宋_GB2312" w:eastAsia="仿宋_GB2312"/>
          <w:sz w:val="24"/>
          <w:shd w:fill="FFFFFF" w:val="clear"/>
        </w:rPr>
        <w:t>1.2</w:t>
      </w:r>
      <w:r>
        <w:rPr>
          <w:rFonts w:ascii="仿宋_GB2312" w:hAnsi="仿宋_GB2312" w:cs="仿宋_GB2312" w:eastAsia="仿宋_GB2312"/>
          <w:sz w:val="24"/>
          <w:shd w:fill="FFFFFF" w:val="clear"/>
        </w:rPr>
        <w:t>采购人有权对中标人有关本项目食品的前述相关记录材料进行查阅，以确保食品安全。</w:t>
      </w:r>
      <w:r>
        <w:rPr>
          <w:rFonts w:ascii="仿宋_GB2312" w:hAnsi="仿宋_GB2312" w:cs="仿宋_GB2312" w:eastAsia="仿宋_GB2312"/>
          <w:sz w:val="24"/>
          <w:b/>
          <w:shd w:fill="FFFFFF" w:val="clear"/>
        </w:rPr>
        <w:t>(</w:t>
      </w:r>
      <w:r>
        <w:rPr>
          <w:rFonts w:ascii="仿宋_GB2312" w:hAnsi="仿宋_GB2312" w:cs="仿宋_GB2312" w:eastAsia="仿宋_GB2312"/>
          <w:sz w:val="24"/>
          <w:shd w:fill="FFFFFF" w:val="clear"/>
        </w:rPr>
        <w:t>评审指标</w:t>
      </w:r>
      <w:r>
        <w:rPr>
          <w:rFonts w:ascii="仿宋_GB2312" w:hAnsi="仿宋_GB2312" w:cs="仿宋_GB2312" w:eastAsia="仿宋_GB2312"/>
          <w:sz w:val="24"/>
          <w:b/>
          <w:shd w:fill="FFFFFF" w:val="clear"/>
        </w:rPr>
        <w:t>2)</w:t>
      </w:r>
    </w:p>
    <w:p>
      <w:pPr>
        <w:pStyle w:val="null3"/>
      </w:pPr>
      <w:r>
        <w:rPr>
          <w:rFonts w:ascii="仿宋_GB2312" w:hAnsi="仿宋_GB2312" w:cs="仿宋_GB2312" w:eastAsia="仿宋_GB2312"/>
          <w:sz w:val="24"/>
          <w:shd w:fill="FFFFFF" w:val="clear"/>
        </w:rPr>
        <w:t xml:space="preserve">  1.3</w:t>
      </w:r>
      <w:r>
        <w:rPr>
          <w:rFonts w:ascii="仿宋_GB2312" w:hAnsi="仿宋_GB2312" w:cs="仿宋_GB2312" w:eastAsia="仿宋_GB2312"/>
          <w:sz w:val="24"/>
          <w:shd w:fill="FFFFFF" w:val="clear"/>
        </w:rPr>
        <w:t>中标人对相关运输车辆应定期消毒，避免在运输过程中导致交叉感染，确保食品安全。</w:t>
      </w:r>
      <w:r>
        <w:rPr>
          <w:rFonts w:ascii="仿宋_GB2312" w:hAnsi="仿宋_GB2312" w:cs="仿宋_GB2312" w:eastAsia="仿宋_GB2312"/>
          <w:sz w:val="24"/>
          <w:b/>
          <w:shd w:fill="FFFFFF" w:val="clear"/>
        </w:rPr>
        <w:t>(</w:t>
      </w:r>
      <w:r>
        <w:rPr>
          <w:rFonts w:ascii="仿宋_GB2312" w:hAnsi="仿宋_GB2312" w:cs="仿宋_GB2312" w:eastAsia="仿宋_GB2312"/>
          <w:sz w:val="24"/>
          <w:shd w:fill="FFFFFF" w:val="clear"/>
        </w:rPr>
        <w:t>评审指标</w:t>
      </w:r>
      <w:r>
        <w:rPr>
          <w:rFonts w:ascii="仿宋_GB2312" w:hAnsi="仿宋_GB2312" w:cs="仿宋_GB2312" w:eastAsia="仿宋_GB2312"/>
          <w:sz w:val="24"/>
          <w:b/>
          <w:shd w:fill="FFFFFF" w:val="clear"/>
        </w:rPr>
        <w:t>3)</w:t>
      </w:r>
    </w:p>
    <w:p>
      <w:pPr>
        <w:pStyle w:val="null3"/>
        <w:ind w:firstLine="480"/>
      </w:pPr>
      <w:r>
        <w:rPr>
          <w:rFonts w:ascii="仿宋_GB2312" w:hAnsi="仿宋_GB2312" w:cs="仿宋_GB2312" w:eastAsia="仿宋_GB2312"/>
          <w:sz w:val="24"/>
          <w:shd w:fill="FFFFFF" w:val="clear"/>
        </w:rPr>
        <w:t>1.4</w:t>
      </w:r>
      <w:r>
        <w:rPr>
          <w:rFonts w:ascii="仿宋_GB2312" w:hAnsi="仿宋_GB2312" w:cs="仿宋_GB2312" w:eastAsia="仿宋_GB2312"/>
          <w:sz w:val="24"/>
          <w:shd w:fill="FFFFFF" w:val="clear"/>
        </w:rPr>
        <w:t>采购人有权对中标人的相关相关运输车辆进行检查，对存在问题的有权要求中标人整改。</w:t>
      </w:r>
      <w:r>
        <w:rPr>
          <w:rFonts w:ascii="仿宋_GB2312" w:hAnsi="仿宋_GB2312" w:cs="仿宋_GB2312" w:eastAsia="仿宋_GB2312"/>
          <w:sz w:val="24"/>
          <w:b/>
          <w:shd w:fill="FFFFFF" w:val="clear"/>
        </w:rPr>
        <w:t>(</w:t>
      </w:r>
      <w:r>
        <w:rPr>
          <w:rFonts w:ascii="仿宋_GB2312" w:hAnsi="仿宋_GB2312" w:cs="仿宋_GB2312" w:eastAsia="仿宋_GB2312"/>
          <w:sz w:val="24"/>
          <w:shd w:fill="FFFFFF" w:val="clear"/>
        </w:rPr>
        <w:t>评审指标</w:t>
      </w:r>
      <w:r>
        <w:rPr>
          <w:rFonts w:ascii="仿宋_GB2312" w:hAnsi="仿宋_GB2312" w:cs="仿宋_GB2312" w:eastAsia="仿宋_GB2312"/>
          <w:sz w:val="24"/>
          <w:b/>
          <w:shd w:fill="FFFFFF" w:val="clear"/>
        </w:rPr>
        <w:t>4)</w:t>
      </w:r>
    </w:p>
    <w:p>
      <w:pPr>
        <w:pStyle w:val="null3"/>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1.5</w:t>
      </w:r>
      <w:r>
        <w:rPr>
          <w:rFonts w:ascii="仿宋_GB2312" w:hAnsi="仿宋_GB2312" w:cs="仿宋_GB2312" w:eastAsia="仿宋_GB2312"/>
          <w:sz w:val="24"/>
        </w:rPr>
        <w:t>采购人有权对中标人交付的相关食品取样送检，检验费用由中标人承担。</w:t>
      </w:r>
      <w:r>
        <w:rPr>
          <w:rFonts w:ascii="仿宋_GB2312" w:hAnsi="仿宋_GB2312" w:cs="仿宋_GB2312" w:eastAsia="仿宋_GB2312"/>
          <w:sz w:val="24"/>
          <w:b/>
        </w:rPr>
        <w:t>(</w:t>
      </w:r>
      <w:r>
        <w:rPr>
          <w:rFonts w:ascii="仿宋_GB2312" w:hAnsi="仿宋_GB2312" w:cs="仿宋_GB2312" w:eastAsia="仿宋_GB2312"/>
          <w:sz w:val="24"/>
        </w:rPr>
        <w:t>评审指标</w:t>
      </w:r>
      <w:r>
        <w:rPr>
          <w:rFonts w:ascii="仿宋_GB2312" w:hAnsi="仿宋_GB2312" w:cs="仿宋_GB2312" w:eastAsia="仿宋_GB2312"/>
          <w:sz w:val="24"/>
          <w:b/>
        </w:rPr>
        <w:t>5)</w:t>
      </w:r>
    </w:p>
    <w:p>
      <w:pPr>
        <w:pStyle w:val="null3"/>
      </w:pPr>
      <w:r>
        <w:rPr>
          <w:rFonts w:ascii="仿宋_GB2312" w:hAnsi="仿宋_GB2312" w:cs="仿宋_GB2312" w:eastAsia="仿宋_GB2312"/>
          <w:sz w:val="24"/>
          <w:b/>
        </w:rPr>
        <w:t>2</w:t>
      </w:r>
      <w:r>
        <w:rPr>
          <w:rFonts w:ascii="仿宋_GB2312" w:hAnsi="仿宋_GB2312" w:cs="仿宋_GB2312" w:eastAsia="仿宋_GB2312"/>
          <w:sz w:val="24"/>
          <w:b/>
        </w:rPr>
        <w:t>、其他要求</w:t>
      </w:r>
    </w:p>
    <w:p>
      <w:pPr>
        <w:pStyle w:val="null3"/>
        <w:ind w:firstLine="480"/>
      </w:pPr>
      <w:r>
        <w:rPr>
          <w:rFonts w:ascii="仿宋_GB2312" w:hAnsi="仿宋_GB2312" w:cs="仿宋_GB2312" w:eastAsia="仿宋_GB2312"/>
          <w:sz w:val="24"/>
        </w:rPr>
        <w:t>2.1除本项目有其他明确要求外，中标人所供应货物在送达采购人指定地点时的保质期不得少于该商品原有保质期的三分之二。</w:t>
      </w:r>
      <w:r>
        <w:rPr>
          <w:rFonts w:ascii="仿宋_GB2312" w:hAnsi="仿宋_GB2312" w:cs="仿宋_GB2312" w:eastAsia="仿宋_GB2312"/>
          <w:sz w:val="24"/>
          <w:b/>
        </w:rPr>
        <w:t>(</w:t>
      </w:r>
      <w:r>
        <w:rPr>
          <w:rFonts w:ascii="仿宋_GB2312" w:hAnsi="仿宋_GB2312" w:cs="仿宋_GB2312" w:eastAsia="仿宋_GB2312"/>
          <w:sz w:val="24"/>
        </w:rPr>
        <w:t>评审指标</w:t>
      </w:r>
      <w:r>
        <w:rPr>
          <w:rFonts w:ascii="仿宋_GB2312" w:hAnsi="仿宋_GB2312" w:cs="仿宋_GB2312" w:eastAsia="仿宋_GB2312"/>
          <w:sz w:val="24"/>
          <w:b/>
        </w:rPr>
        <w:t>6)</w:t>
      </w:r>
    </w:p>
    <w:p>
      <w:pPr>
        <w:pStyle w:val="null3"/>
        <w:ind w:firstLine="480"/>
      </w:pPr>
      <w:r>
        <w:rPr>
          <w:rFonts w:ascii="仿宋_GB2312" w:hAnsi="仿宋_GB2312" w:cs="仿宋_GB2312" w:eastAsia="仿宋_GB2312"/>
          <w:sz w:val="24"/>
        </w:rPr>
        <w:t>2.2 对采购人因包含但不限于在自然灾害、传染性疾病、重要或大型活动、停水、停电等情况下要求的紧急物资，中标人须有能力在2个小时内送至采购人要求地点。</w:t>
      </w:r>
      <w:r>
        <w:rPr>
          <w:rFonts w:ascii="仿宋_GB2312" w:hAnsi="仿宋_GB2312" w:cs="仿宋_GB2312" w:eastAsia="仿宋_GB2312"/>
          <w:sz w:val="24"/>
          <w:b/>
        </w:rPr>
        <w:t>(</w:t>
      </w:r>
      <w:r>
        <w:rPr>
          <w:rFonts w:ascii="仿宋_GB2312" w:hAnsi="仿宋_GB2312" w:cs="仿宋_GB2312" w:eastAsia="仿宋_GB2312"/>
          <w:sz w:val="24"/>
        </w:rPr>
        <w:t>评审指标</w:t>
      </w:r>
      <w:r>
        <w:rPr>
          <w:rFonts w:ascii="仿宋_GB2312" w:hAnsi="仿宋_GB2312" w:cs="仿宋_GB2312" w:eastAsia="仿宋_GB2312"/>
          <w:sz w:val="24"/>
          <w:b/>
        </w:rPr>
        <w:t>7)</w:t>
      </w:r>
    </w:p>
    <w:p>
      <w:pPr>
        <w:pStyle w:val="null3"/>
        <w:ind w:firstLine="480"/>
      </w:pPr>
      <w:r>
        <w:rPr>
          <w:rFonts w:ascii="仿宋_GB2312" w:hAnsi="仿宋_GB2312" w:cs="仿宋_GB2312" w:eastAsia="仿宋_GB2312"/>
          <w:sz w:val="24"/>
        </w:rPr>
        <w:t>2.3中标人及工作人员须遵守采购人防疫管理要求。</w:t>
      </w:r>
      <w:r>
        <w:rPr>
          <w:rFonts w:ascii="仿宋_GB2312" w:hAnsi="仿宋_GB2312" w:cs="仿宋_GB2312" w:eastAsia="仿宋_GB2312"/>
          <w:sz w:val="24"/>
          <w:b/>
        </w:rPr>
        <w:t>(</w:t>
      </w:r>
      <w:r>
        <w:rPr>
          <w:rFonts w:ascii="仿宋_GB2312" w:hAnsi="仿宋_GB2312" w:cs="仿宋_GB2312" w:eastAsia="仿宋_GB2312"/>
          <w:sz w:val="24"/>
        </w:rPr>
        <w:t>评审指标</w:t>
      </w:r>
      <w:r>
        <w:rPr>
          <w:rFonts w:ascii="仿宋_GB2312" w:hAnsi="仿宋_GB2312" w:cs="仿宋_GB2312" w:eastAsia="仿宋_GB2312"/>
          <w:sz w:val="24"/>
          <w:b/>
        </w:rPr>
        <w:t>8)</w:t>
      </w:r>
    </w:p>
    <w:p>
      <w:pPr>
        <w:pStyle w:val="null3"/>
        <w:ind w:firstLine="480"/>
      </w:pPr>
      <w:r>
        <w:rPr>
          <w:rFonts w:ascii="仿宋_GB2312" w:hAnsi="仿宋_GB2312" w:cs="仿宋_GB2312" w:eastAsia="仿宋_GB2312"/>
          <w:sz w:val="24"/>
        </w:rPr>
        <w:t>2.4中标人应支付的违约金直接从货款中扣除，不足部分由中标人缴纳补上。</w:t>
      </w:r>
      <w:r>
        <w:rPr>
          <w:rFonts w:ascii="仿宋_GB2312" w:hAnsi="仿宋_GB2312" w:cs="仿宋_GB2312" w:eastAsia="仿宋_GB2312"/>
          <w:sz w:val="24"/>
          <w:b/>
        </w:rPr>
        <w:t>(</w:t>
      </w:r>
      <w:r>
        <w:rPr>
          <w:rFonts w:ascii="仿宋_GB2312" w:hAnsi="仿宋_GB2312" w:cs="仿宋_GB2312" w:eastAsia="仿宋_GB2312"/>
          <w:sz w:val="24"/>
        </w:rPr>
        <w:t>评审指标</w:t>
      </w:r>
      <w:r>
        <w:rPr>
          <w:rFonts w:ascii="仿宋_GB2312" w:hAnsi="仿宋_GB2312" w:cs="仿宋_GB2312" w:eastAsia="仿宋_GB2312"/>
          <w:sz w:val="24"/>
          <w:b/>
        </w:rPr>
        <w:t>9)</w:t>
      </w:r>
    </w:p>
    <w:p>
      <w:pPr>
        <w:pStyle w:val="null3"/>
        <w:ind w:firstLine="480"/>
      </w:pPr>
      <w:r>
        <w:rPr>
          <w:rFonts w:ascii="仿宋_GB2312" w:hAnsi="仿宋_GB2312" w:cs="仿宋_GB2312" w:eastAsia="仿宋_GB2312"/>
          <w:sz w:val="24"/>
        </w:rPr>
        <w:t>2.5违约金不足以弥补给采购人造成的损失的，中标人还应承担相应的赔偿责任。</w:t>
      </w:r>
      <w:r>
        <w:rPr>
          <w:rFonts w:ascii="仿宋_GB2312" w:hAnsi="仿宋_GB2312" w:cs="仿宋_GB2312" w:eastAsia="仿宋_GB2312"/>
          <w:sz w:val="24"/>
          <w:b/>
        </w:rPr>
        <w:t>(</w:t>
      </w:r>
      <w:r>
        <w:rPr>
          <w:rFonts w:ascii="仿宋_GB2312" w:hAnsi="仿宋_GB2312" w:cs="仿宋_GB2312" w:eastAsia="仿宋_GB2312"/>
          <w:sz w:val="24"/>
        </w:rPr>
        <w:t>评审指标</w:t>
      </w:r>
      <w:r>
        <w:rPr>
          <w:rFonts w:ascii="仿宋_GB2312" w:hAnsi="仿宋_GB2312" w:cs="仿宋_GB2312" w:eastAsia="仿宋_GB2312"/>
          <w:sz w:val="24"/>
          <w:b/>
        </w:rPr>
        <w:t>10)</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自合同签订之日起730日</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福建省龙岩市新罗区中城凤凰北路2号</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验收合格后交付</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1、期次1，说明：按招标要求及合同约定执行</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1、本项目为固定格式无法修改，以本表格中序号8其他中的合同支付方式为准，达到付款条件起10日内，支付合同总金额的100.00%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本采购包履约保证金为合同金额的3%</w:t>
            </w:r>
          </w:p>
          <w:p>
            <w:pPr>
              <w:pStyle w:val="null3"/>
              <w:jc w:val="left"/>
            </w:pPr>
            <w:r>
              <w:rPr>
                <w:rFonts w:ascii="仿宋_GB2312" w:hAnsi="仿宋_GB2312" w:cs="仿宋_GB2312" w:eastAsia="仿宋_GB2312"/>
              </w:rPr>
              <w:t>缴纳方式：银行转账，支票/汇票/本票，保函/保险</w:t>
            </w:r>
          </w:p>
          <w:p>
            <w:pPr>
              <w:pStyle w:val="null3"/>
              <w:jc w:val="left"/>
            </w:pPr>
            <w:r>
              <w:rPr>
                <w:rFonts w:ascii="仿宋_GB2312" w:hAnsi="仿宋_GB2312" w:cs="仿宋_GB2312" w:eastAsia="仿宋_GB2312"/>
              </w:rPr>
              <w:t>说明：合同签订前中标人应以银行转账、支票、汇票、本票或金融机构出具的无条件支付保函等非现金形式，按合同金额的3%分别向采购人缴纳履约保证金【采购人不同的（福建省闽西监狱及福建龙岩锦泰工贸有限责任公司），则分别按合同金额计算履约保证金，分别缴纳，即闽西监狱名下履约保证金为13.2万元，锦泰公司名下履约保证金为1.35万元】, 该履约保证金在合同履约期结東后且中标人在履约过程中无违约扣款后，采购人在收到中标人书面申请30天内无息退还。</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合同支付方式（因系统固定模板问题，故以此为准）：1、次月结算上个月货款。经双方对账确认，达到付款条件后，采购人收到中标人提供的全额税务发票等完整报销材料后10个工作日内转账付款，支付结算对应金额的100%。</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rPr>
        <w:t>9</w:t>
      </w:r>
      <w:r>
        <w:rPr>
          <w:rFonts w:ascii="仿宋_GB2312" w:hAnsi="仿宋_GB2312" w:cs="仿宋_GB2312" w:eastAsia="仿宋_GB2312"/>
          <w:sz w:val="24"/>
          <w:b/>
        </w:rPr>
        <w:t>、交货地点及方式</w:t>
      </w:r>
    </w:p>
    <w:p>
      <w:pPr>
        <w:pStyle w:val="null3"/>
        <w:ind w:firstLine="405"/>
      </w:pPr>
      <w:r>
        <w:rPr>
          <w:rFonts w:ascii="仿宋_GB2312" w:hAnsi="仿宋_GB2312" w:cs="仿宋_GB2312" w:eastAsia="仿宋_GB2312"/>
          <w:sz w:val="24"/>
        </w:rPr>
        <w:t>9.1、中标人按采购人的采购需求分批送货。</w:t>
      </w:r>
    </w:p>
    <w:p>
      <w:pPr>
        <w:pStyle w:val="null3"/>
        <w:ind w:firstLine="405"/>
      </w:pPr>
      <w:r>
        <w:rPr>
          <w:rFonts w:ascii="仿宋_GB2312" w:hAnsi="仿宋_GB2312" w:cs="仿宋_GB2312" w:eastAsia="仿宋_GB2312"/>
          <w:sz w:val="24"/>
        </w:rPr>
        <w:t>9.2、由中标人负责在采购人通知的送货时限内送至采购人单位食堂（龙岩市凤凰北路2号）。</w:t>
      </w:r>
    </w:p>
    <w:p>
      <w:pPr>
        <w:pStyle w:val="null3"/>
        <w:ind w:firstLine="405"/>
      </w:pPr>
      <w:r>
        <w:rPr>
          <w:rFonts w:ascii="仿宋_GB2312" w:hAnsi="仿宋_GB2312" w:cs="仿宋_GB2312" w:eastAsia="仿宋_GB2312"/>
          <w:sz w:val="24"/>
        </w:rPr>
        <w:t>9.3、中标人应根据采购人的采购通知，不分节假日，全天候配送。</w:t>
      </w:r>
    </w:p>
    <w:p>
      <w:pPr>
        <w:pStyle w:val="null3"/>
        <w:ind w:firstLine="420"/>
      </w:pPr>
      <w:r>
        <w:rPr>
          <w:rFonts w:ascii="仿宋_GB2312" w:hAnsi="仿宋_GB2312" w:cs="仿宋_GB2312" w:eastAsia="仿宋_GB2312"/>
          <w:sz w:val="24"/>
        </w:rPr>
        <w:t>9.4、采购人对产品品种、包装、质量、重量等进行现场验收。</w:t>
      </w:r>
    </w:p>
    <w:p>
      <w:pPr>
        <w:pStyle w:val="null3"/>
      </w:pPr>
      <w:r>
        <w:rPr>
          <w:rFonts w:ascii="仿宋_GB2312" w:hAnsi="仿宋_GB2312" w:cs="仿宋_GB2312" w:eastAsia="仿宋_GB2312"/>
          <w:sz w:val="24"/>
          <w:b/>
        </w:rPr>
        <w:t>10</w:t>
      </w:r>
      <w:r>
        <w:rPr>
          <w:rFonts w:ascii="仿宋_GB2312" w:hAnsi="仿宋_GB2312" w:cs="仿宋_GB2312" w:eastAsia="仿宋_GB2312"/>
          <w:sz w:val="24"/>
          <w:b/>
        </w:rPr>
        <w:t>、违约责任</w:t>
      </w:r>
    </w:p>
    <w:p>
      <w:pPr>
        <w:pStyle w:val="null3"/>
        <w:ind w:firstLine="420"/>
      </w:pPr>
      <w:r>
        <w:rPr>
          <w:rFonts w:ascii="仿宋_GB2312" w:hAnsi="仿宋_GB2312" w:cs="仿宋_GB2312" w:eastAsia="仿宋_GB2312"/>
          <w:sz w:val="24"/>
          <w:b/>
        </w:rPr>
        <w:t>10.1</w:t>
      </w:r>
      <w:r>
        <w:rPr>
          <w:rFonts w:ascii="仿宋_GB2312" w:hAnsi="仿宋_GB2312" w:cs="仿宋_GB2312" w:eastAsia="仿宋_GB2312"/>
          <w:sz w:val="24"/>
          <w:b/>
        </w:rPr>
        <w:t>、</w:t>
      </w:r>
      <w:r>
        <w:rPr>
          <w:rFonts w:ascii="仿宋_GB2312" w:hAnsi="仿宋_GB2312" w:cs="仿宋_GB2312" w:eastAsia="仿宋_GB2312"/>
          <w:sz w:val="24"/>
        </w:rPr>
        <w:t>未经采购人同意中标人单方解除合同，或拒绝供货的，采购人有权没收全额履约保证金，要求中标人支付合同金额10%的违约金；对采购人造成损失的，中标人还应给予相应赔偿。</w:t>
      </w:r>
    </w:p>
    <w:p>
      <w:pPr>
        <w:pStyle w:val="null3"/>
        <w:ind w:firstLine="420"/>
      </w:pPr>
      <w:r>
        <w:rPr>
          <w:rFonts w:ascii="仿宋_GB2312" w:hAnsi="仿宋_GB2312" w:cs="仿宋_GB2312" w:eastAsia="仿宋_GB2312"/>
          <w:sz w:val="24"/>
          <w:b/>
        </w:rPr>
        <w:t>10.</w:t>
      </w:r>
      <w:r>
        <w:rPr>
          <w:rFonts w:ascii="仿宋_GB2312" w:hAnsi="仿宋_GB2312" w:cs="仿宋_GB2312" w:eastAsia="仿宋_GB2312"/>
          <w:sz w:val="24"/>
        </w:rPr>
        <w:t>2、采购人对中标人每批次供应的产品品种、数量进行查验，对超出采购人下单品种及数量的部分给予退货；对不足采购人下单品种及数量的部分，在接到采购人通知后在2个小时内应补货完整；对于每批次超出或不足下单品种或数量5%的，采购人有权要求中标人每次支付:1000元违约金，违约金直接从货款中扣除；合同期内累计超过5次的，则采购人有权终止合同，并没收全额履约保证金。对于中标人接到采购人补货通知2个小时后未补货完整的，采购人可以另行采购，货款由中标人支付，价格按采购人实际支付金额计算，直接从中标人货款中扣除。</w:t>
      </w:r>
    </w:p>
    <w:p>
      <w:pPr>
        <w:pStyle w:val="null3"/>
        <w:ind w:firstLine="420"/>
      </w:pPr>
      <w:r>
        <w:rPr>
          <w:rFonts w:ascii="仿宋_GB2312" w:hAnsi="仿宋_GB2312" w:cs="仿宋_GB2312" w:eastAsia="仿宋_GB2312"/>
          <w:sz w:val="24"/>
          <w:b/>
        </w:rPr>
        <w:t>10.</w:t>
      </w:r>
      <w:r>
        <w:rPr>
          <w:rFonts w:ascii="仿宋_GB2312" w:hAnsi="仿宋_GB2312" w:cs="仿宋_GB2312" w:eastAsia="仿宋_GB2312"/>
          <w:sz w:val="24"/>
        </w:rPr>
        <w:t>3、中标人若不按时供货，超过1个小时或超过采购人同意的其他延时供货时限的，采购人可另行通知他人供货，价格按照采购人与其他供货人商定的价格结算，所购货款直接从中标人货款中扣除；同时，采购人有权要求中标人每次支付1000元违约金，违约金直接从货款中扣除；合同期内累计超过5次的，则采购人有权终止合同，并没收全额履约保证金；采购人可以另行采购，货款由中标人支付，价格按采购人实际支付金额计算，直接从中标人货款中扣除。</w:t>
      </w:r>
    </w:p>
    <w:p>
      <w:pPr>
        <w:pStyle w:val="null3"/>
        <w:ind w:firstLine="420"/>
      </w:pPr>
      <w:r>
        <w:rPr>
          <w:rFonts w:ascii="仿宋_GB2312" w:hAnsi="仿宋_GB2312" w:cs="仿宋_GB2312" w:eastAsia="仿宋_GB2312"/>
          <w:sz w:val="24"/>
          <w:b/>
        </w:rPr>
        <w:t>10.</w:t>
      </w:r>
      <w:r>
        <w:rPr>
          <w:rFonts w:ascii="仿宋_GB2312" w:hAnsi="仿宋_GB2312" w:cs="仿宋_GB2312" w:eastAsia="仿宋_GB2312"/>
          <w:sz w:val="24"/>
        </w:rPr>
        <w:t>4、中标人所供货物质量、保质期、包装不符合同要求的，采购人有权拒收，并要求中标人无条件提供合格产品，采购人有权要求中标人每次应支付1000违约金；采购人可以另行采购，货款由乙方支付，价格按甲方实际支付金额计算，造成甲方损失的，乙方应予赔偿；合同期内累计超过3次的，则采购人有权终止合同，并没收全额履约保证金；采购人可以另行采购，货款由中标人支付，价格按采购人实际支付金额计算，直接从中标人货款中扣除。</w:t>
      </w:r>
    </w:p>
    <w:p>
      <w:pPr>
        <w:pStyle w:val="null3"/>
        <w:ind w:firstLine="420"/>
      </w:pPr>
      <w:r>
        <w:rPr>
          <w:rFonts w:ascii="仿宋_GB2312" w:hAnsi="仿宋_GB2312" w:cs="仿宋_GB2312" w:eastAsia="仿宋_GB2312"/>
          <w:sz w:val="24"/>
          <w:b/>
        </w:rPr>
        <w:t>10.</w:t>
      </w:r>
      <w:r>
        <w:rPr>
          <w:rFonts w:ascii="仿宋_GB2312" w:hAnsi="仿宋_GB2312" w:cs="仿宋_GB2312" w:eastAsia="仿宋_GB2312"/>
          <w:sz w:val="24"/>
        </w:rPr>
        <w:t>5、中标人必须无条件接受工商、卫生监督部门和采购人相关职能部门对食品安全方面的监督管理、检查考核。如因中标人原因造成食物中毒等事件，经卫生检疫部门认定后，中标人不仅要承担所有医疗费用、卫生检疫部门的罚金、赔偿采购人相关经济损失，同时要承担相关法律责任；采购人有权没收全部履约保证金，终止本合同，并要求中标人支付合同金额20%的违约金。</w:t>
      </w:r>
    </w:p>
    <w:p>
      <w:pPr>
        <w:pStyle w:val="null3"/>
        <w:ind w:firstLine="420"/>
      </w:pPr>
      <w:r>
        <w:rPr>
          <w:rFonts w:ascii="仿宋_GB2312" w:hAnsi="仿宋_GB2312" w:cs="仿宋_GB2312" w:eastAsia="仿宋_GB2312"/>
          <w:sz w:val="24"/>
          <w:b/>
        </w:rPr>
        <w:t>10.</w:t>
      </w:r>
      <w:r>
        <w:rPr>
          <w:rFonts w:ascii="仿宋_GB2312" w:hAnsi="仿宋_GB2312" w:cs="仿宋_GB2312" w:eastAsia="仿宋_GB2312"/>
          <w:sz w:val="24"/>
        </w:rPr>
        <w:t>6、中标人除存在本条款第1至第4项情形及其他条款相关明确约定并承担相应违约责任外，中标人在合同内未履行或未完全履行本招标文件其他要求的，每违约一次应向采购人支付违约金500元，若因此给采购人造成损失的，中标人还应赔偿采购人所受的损失；累计超过5次的，扣除全部履约保证金，采购人有权解除合同，并不予中标人任何赔偿或补偿，造成采购人经济损失的，中标人还应予以赔偿。</w:t>
      </w:r>
    </w:p>
    <w:p>
      <w:pPr>
        <w:pStyle w:val="null3"/>
        <w:ind w:firstLine="420"/>
      </w:pPr>
      <w:r>
        <w:rPr>
          <w:rFonts w:ascii="仿宋_GB2312" w:hAnsi="仿宋_GB2312" w:cs="仿宋_GB2312" w:eastAsia="仿宋_GB2312"/>
          <w:sz w:val="24"/>
          <w:b/>
        </w:rPr>
        <w:t>10.</w:t>
      </w:r>
      <w:r>
        <w:rPr>
          <w:rFonts w:ascii="仿宋_GB2312" w:hAnsi="仿宋_GB2312" w:cs="仿宋_GB2312" w:eastAsia="仿宋_GB2312"/>
          <w:sz w:val="24"/>
        </w:rPr>
        <w:t>7、在合同履行期间，中标人必须遵守采购人的各项规章制度，如有进出采购人监区的必须提供合法证件，中标人运送物资进入采购人所在监区的车辆、人员不得私自离开指 定的区域，不得与犯人及犯人家属有违反监狱规定的接触，不传递物品及信息如：手机、毒品、酒类、黄色书刊及图片、刀具、绳索、打火机、有价证券、信用卡、数码产品等一切物品，一旦发现有上述违规行为，中标人须马上更换工作人员，采购人每次有权视情要求中标人支付10000元违约金，发生2次（含）以上的采购人有权终止合同并没收履约保证金；若触犯法律移送司法机关处理。</w:t>
      </w:r>
    </w:p>
    <w:p>
      <w:pPr>
        <w:pStyle w:val="null3"/>
        <w:ind w:firstLine="420"/>
      </w:pPr>
      <w:r>
        <w:rPr>
          <w:rFonts w:ascii="仿宋_GB2312" w:hAnsi="仿宋_GB2312" w:cs="仿宋_GB2312" w:eastAsia="仿宋_GB2312"/>
          <w:sz w:val="24"/>
          <w:b/>
        </w:rPr>
        <w:t>10.</w:t>
      </w:r>
      <w:r>
        <w:rPr>
          <w:rFonts w:ascii="仿宋_GB2312" w:hAnsi="仿宋_GB2312" w:cs="仿宋_GB2312" w:eastAsia="仿宋_GB2312"/>
          <w:sz w:val="24"/>
        </w:rPr>
        <w:t>8、中标人不得给予采购人工作人员或其他相关人员任何形式不正当利益，在招投标、合同履行过程中，发现中标人以违规方式中标的，或中标人有行贿等违法行为，一经发现,采购人将视情予以取消中标资格,没收投标保证金，或终止合同并没收履约保证金。</w:t>
      </w:r>
    </w:p>
    <w:p>
      <w:pPr>
        <w:pStyle w:val="null3"/>
        <w:ind w:firstLine="420"/>
      </w:pPr>
      <w:r>
        <w:rPr>
          <w:rFonts w:ascii="仿宋_GB2312" w:hAnsi="仿宋_GB2312" w:cs="仿宋_GB2312" w:eastAsia="仿宋_GB2312"/>
          <w:sz w:val="24"/>
          <w:b/>
        </w:rPr>
        <w:t>10.</w:t>
      </w:r>
      <w:r>
        <w:rPr>
          <w:rFonts w:ascii="仿宋_GB2312" w:hAnsi="仿宋_GB2312" w:cs="仿宋_GB2312" w:eastAsia="仿宋_GB2312"/>
          <w:sz w:val="24"/>
        </w:rPr>
        <w:t>9、中标人应认真遵守国家保密法律、法规和采购人相关规章制度，履行保密、保守义务；其进入采购人工作区域的工作人员需签订《保密承诺书》，严格履行保密义务，所获得的采购人所有信息（包括并不限于工作信息）应严格保守，未经甲方允许不得违规记录、存储、复制国家秘密信息，不以任何方式泄露所接触和知悉的国家秘密和采购人相关信息，严禁将采购人工作文件等内部资料泄露出去，采购人根据中标人存在的前述违约行为（包括故意或过失）或因前述违约行为（包括故意或过失）造成采购人相关后果等实际情况，除了有权要求中标人承担相应法律责任外，还有权要求中标人偿付合同货款20%的违约金；造成采购人损失的，中标人还应予以赔偿。</w:t>
      </w:r>
    </w:p>
    <w:p>
      <w:pPr>
        <w:pStyle w:val="null3"/>
        <w:ind w:firstLine="315"/>
      </w:pPr>
      <w:r>
        <w:rPr>
          <w:rFonts w:ascii="仿宋_GB2312" w:hAnsi="仿宋_GB2312" w:cs="仿宋_GB2312" w:eastAsia="仿宋_GB2312"/>
          <w:sz w:val="24"/>
          <w:b/>
        </w:rPr>
        <w:t>10.</w:t>
      </w:r>
      <w:r>
        <w:rPr>
          <w:rFonts w:ascii="仿宋_GB2312" w:hAnsi="仿宋_GB2312" w:cs="仿宋_GB2312" w:eastAsia="仿宋_GB2312"/>
          <w:sz w:val="24"/>
        </w:rPr>
        <w:t>10、中标人应支付的违约金或赔偿金采购人有权从应付货款或履约保证金中直接扣除。</w:t>
      </w:r>
    </w:p>
    <w:p>
      <w:pPr>
        <w:pStyle w:val="null3"/>
        <w:ind w:firstLine="315"/>
      </w:pPr>
      <w:r>
        <w:rPr>
          <w:rFonts w:ascii="仿宋_GB2312" w:hAnsi="仿宋_GB2312" w:cs="仿宋_GB2312" w:eastAsia="仿宋_GB2312"/>
          <w:sz w:val="24"/>
          <w:b/>
        </w:rPr>
        <w:t>10.</w:t>
      </w:r>
      <w:r>
        <w:rPr>
          <w:rFonts w:ascii="仿宋_GB2312" w:hAnsi="仿宋_GB2312" w:cs="仿宋_GB2312" w:eastAsia="仿宋_GB2312"/>
          <w:sz w:val="24"/>
        </w:rPr>
        <w:t>11、上述违约责任内容与本招标要求中其他约定有冲突的，违约责任按就高不就低原则处理。</w:t>
      </w:r>
    </w:p>
    <w:p>
      <w:pPr>
        <w:pStyle w:val="null3"/>
        <w:jc w:val="both"/>
      </w:pPr>
      <w:r>
        <w:rPr>
          <w:rFonts w:ascii="仿宋_GB2312" w:hAnsi="仿宋_GB2312" w:cs="仿宋_GB2312" w:eastAsia="仿宋_GB2312"/>
          <w:sz w:val="24"/>
          <w:b/>
        </w:rPr>
        <w:t>11</w:t>
      </w:r>
      <w:r>
        <w:rPr>
          <w:rFonts w:ascii="仿宋_GB2312" w:hAnsi="仿宋_GB2312" w:cs="仿宋_GB2312" w:eastAsia="仿宋_GB2312"/>
          <w:sz w:val="24"/>
          <w:b/>
        </w:rPr>
        <w:t>、知识产权</w:t>
      </w:r>
    </w:p>
    <w:p>
      <w:pPr>
        <w:pStyle w:val="null3"/>
        <w:ind w:firstLine="480"/>
        <w:jc w:val="both"/>
      </w:pPr>
      <w:r>
        <w:rPr>
          <w:rFonts w:ascii="仿宋_GB2312" w:hAnsi="仿宋_GB2312" w:cs="仿宋_GB2312" w:eastAsia="仿宋_GB2312"/>
          <w:sz w:val="24"/>
        </w:rPr>
        <w:t>供应商须保障采购人在使用该货物或其任何一部分时不受到第三方关于侵犯专 利权、商 标权或工业设 计权等知识产权的指控。如果任何第三方提出侵权指控与采购人无关，供应商须与第三方交涉并承担可能发生的责任与一切费用。如采购人因此而遭致损失的，供应商应赔偿该损失。</w:t>
      </w:r>
    </w:p>
    <w:p>
      <w:pPr>
        <w:pStyle w:val="null3"/>
      </w:pPr>
      <w:r>
        <w:rPr>
          <w:rFonts w:ascii="仿宋_GB2312" w:hAnsi="仿宋_GB2312" w:cs="仿宋_GB2312" w:eastAsia="仿宋_GB2312"/>
          <w:sz w:val="24"/>
          <w:b/>
        </w:rPr>
        <w:t>12</w:t>
      </w:r>
      <w:r>
        <w:rPr>
          <w:rFonts w:ascii="仿宋_GB2312" w:hAnsi="仿宋_GB2312" w:cs="仿宋_GB2312" w:eastAsia="仿宋_GB2312"/>
          <w:sz w:val="24"/>
          <w:b/>
        </w:rPr>
        <w:t>、不可抗力</w:t>
      </w:r>
    </w:p>
    <w:p>
      <w:pPr>
        <w:pStyle w:val="null3"/>
        <w:ind w:firstLine="420"/>
      </w:pPr>
      <w:r>
        <w:rPr>
          <w:rFonts w:ascii="仿宋_GB2312" w:hAnsi="仿宋_GB2312" w:cs="仿宋_GB2312" w:eastAsia="仿宋_GB2312"/>
          <w:sz w:val="24"/>
        </w:rPr>
        <w:t>12.1、因不可抗力造成违约的，遭受不可抗力一方应及时向对方通报不能履行或不能完全履行的理由，并随后向另一方提供不可抗力发生及持续期间的充分证据。基于以上行为，允许遭受不可抗力一方延期履行、部分履行或不履行合同，并根据情况可部分或全部免于承担违约责任。</w:t>
      </w:r>
    </w:p>
    <w:p>
      <w:pPr>
        <w:pStyle w:val="null3"/>
        <w:ind w:firstLine="480"/>
      </w:pPr>
      <w:r>
        <w:rPr>
          <w:rFonts w:ascii="仿宋_GB2312" w:hAnsi="仿宋_GB2312" w:cs="仿宋_GB2312" w:eastAsia="仿宋_GB2312"/>
          <w:sz w:val="24"/>
        </w:rPr>
        <w:t>12.2、本合同中的不可抗力指不能预见、不能避免、不能克服的客观情况，包括但不限于：自然灾害如地震、台风、洪水、火灾及政府行为、法律规定或其适用的变化或其他任何无法预见、避免或控制的事件。</w:t>
      </w:r>
    </w:p>
    <w:p>
      <w:pPr>
        <w:pStyle w:val="null3"/>
      </w:pPr>
      <w:r>
        <w:rPr>
          <w:rFonts w:ascii="仿宋_GB2312" w:hAnsi="仿宋_GB2312" w:cs="仿宋_GB2312" w:eastAsia="仿宋_GB2312"/>
          <w:sz w:val="24"/>
          <w:b/>
        </w:rPr>
        <w:t>13</w:t>
      </w:r>
      <w:r>
        <w:rPr>
          <w:rFonts w:ascii="仿宋_GB2312" w:hAnsi="仿宋_GB2312" w:cs="仿宋_GB2312" w:eastAsia="仿宋_GB2312"/>
          <w:sz w:val="24"/>
          <w:b/>
        </w:rPr>
        <w:t>、合同争议处理方式</w:t>
      </w:r>
    </w:p>
    <w:p>
      <w:pPr>
        <w:pStyle w:val="null3"/>
        <w:ind w:firstLine="420"/>
      </w:pPr>
      <w:r>
        <w:rPr>
          <w:rFonts w:ascii="仿宋_GB2312" w:hAnsi="仿宋_GB2312" w:cs="仿宋_GB2312" w:eastAsia="仿宋_GB2312"/>
          <w:sz w:val="24"/>
        </w:rPr>
        <w:t>若发生争议，由双方友好协商解决；协商不成的可向龙岩仲裁委员会申请仲裁。</w:t>
      </w:r>
    </w:p>
    <w:p>
      <w:pPr>
        <w:pStyle w:val="null3"/>
      </w:pPr>
      <w:r>
        <w:rPr>
          <w:rFonts w:ascii="仿宋_GB2312" w:hAnsi="仿宋_GB2312" w:cs="仿宋_GB2312" w:eastAsia="仿宋_GB2312"/>
          <w:sz w:val="24"/>
          <w:b/>
        </w:rPr>
        <w:t>14</w:t>
      </w:r>
      <w:r>
        <w:rPr>
          <w:rFonts w:ascii="仿宋_GB2312" w:hAnsi="仿宋_GB2312" w:cs="仿宋_GB2312" w:eastAsia="仿宋_GB2312"/>
          <w:sz w:val="24"/>
          <w:b/>
        </w:rPr>
        <w:t>、食品安全责任保险</w:t>
      </w:r>
    </w:p>
    <w:p>
      <w:pPr>
        <w:pStyle w:val="null3"/>
        <w:ind w:firstLine="480"/>
      </w:pPr>
      <w:r>
        <w:rPr>
          <w:rFonts w:ascii="仿宋_GB2312" w:hAnsi="仿宋_GB2312" w:cs="仿宋_GB2312" w:eastAsia="仿宋_GB2312"/>
          <w:sz w:val="24"/>
        </w:rPr>
        <w:t>合同期间,中标人应分别投保至少250万元及50万元 保险金额以上(含本数)的食品安全责任保险，对应的保险受益人应分别为福建省闽西监狱及福建龙岩锦泰工贸有限责任公司。中标人应于合同签订后10天内将投保单复印件送采购人存档，原件核对。虽有承诺但拒不履行的采购人有权单方面解除合同并有权没收履约保证金。</w:t>
      </w:r>
    </w:p>
    <w:p>
      <w:pPr>
        <w:pStyle w:val="null3"/>
      </w:pPr>
      <w:r>
        <w:rPr>
          <w:rFonts w:ascii="仿宋_GB2312" w:hAnsi="仿宋_GB2312" w:cs="仿宋_GB2312" w:eastAsia="仿宋_GB2312"/>
          <w:sz w:val="24"/>
          <w:b/>
        </w:rPr>
        <w:t>15</w:t>
      </w:r>
      <w:r>
        <w:rPr>
          <w:rFonts w:ascii="仿宋_GB2312" w:hAnsi="仿宋_GB2312" w:cs="仿宋_GB2312" w:eastAsia="仿宋_GB2312"/>
          <w:sz w:val="24"/>
          <w:b/>
        </w:rPr>
        <w:t>、其他约定</w:t>
      </w:r>
    </w:p>
    <w:p>
      <w:pPr>
        <w:pStyle w:val="null3"/>
        <w:ind w:firstLine="420"/>
      </w:pPr>
      <w:r>
        <w:rPr>
          <w:rFonts w:ascii="仿宋_GB2312" w:hAnsi="仿宋_GB2312" w:cs="仿宋_GB2312" w:eastAsia="仿宋_GB2312"/>
          <w:sz w:val="24"/>
        </w:rPr>
        <w:t>15.1 除招标文件另有规定外，若出现有关法律、法规和规章有强制性规定但招标文件未列明的情形，则中标人应按照有关法律、法规和规章强制性规定执行。</w:t>
      </w:r>
    </w:p>
    <w:p>
      <w:pPr>
        <w:pStyle w:val="null3"/>
        <w:ind w:firstLine="420"/>
      </w:pPr>
      <w:r>
        <w:rPr>
          <w:rFonts w:ascii="仿宋_GB2312" w:hAnsi="仿宋_GB2312" w:cs="仿宋_GB2312" w:eastAsia="仿宋_GB2312"/>
          <w:sz w:val="24"/>
        </w:rPr>
        <w:t>15.2 本项目不允许中标人以任何名义和理由进行转包、分包，如有发现，采购人有权终止合同,没收履约保证金,要求中标人支付合同金额20%的违约金，造成采购人经济损失的，成交供 应商还应予赔偿。</w:t>
      </w:r>
    </w:p>
    <w:p>
      <w:pPr>
        <w:pStyle w:val="null3"/>
      </w:pPr>
      <w:r>
        <w:rPr>
          <w:rFonts w:ascii="仿宋_GB2312" w:hAnsi="仿宋_GB2312" w:cs="仿宋_GB2312" w:eastAsia="仿宋_GB2312"/>
          <w:sz w:val="24"/>
          <w:b/>
        </w:rPr>
        <w:t xml:space="preserve">  </w:t>
      </w:r>
      <w:r>
        <w:rPr>
          <w:rFonts w:ascii="仿宋_GB2312" w:hAnsi="仿宋_GB2312" w:cs="仿宋_GB2312" w:eastAsia="仿宋_GB2312"/>
          <w:sz w:val="24"/>
        </w:rPr>
        <w:t>15.3  若遇国家政策调整或采购人上级管理机关通知要求变更或终止采购合同等特殊情况的，采购人有权变更或终止合同，并无需承担任何赔偿或补偿等责任。</w:t>
      </w:r>
    </w:p>
    <w:p>
      <w:pPr>
        <w:pStyle w:val="null3"/>
        <w:ind w:firstLine="525"/>
      </w:pPr>
      <w:r>
        <w:rPr>
          <w:rFonts w:ascii="仿宋_GB2312" w:hAnsi="仿宋_GB2312" w:cs="仿宋_GB2312" w:eastAsia="仿宋_GB2312"/>
          <w:sz w:val="24"/>
        </w:rPr>
        <w:t>15.</w:t>
      </w:r>
      <w:r>
        <w:rPr>
          <w:rFonts w:ascii="仿宋_GB2312" w:hAnsi="仿宋_GB2312" w:cs="仿宋_GB2312" w:eastAsia="仿宋_GB2312"/>
          <w:sz w:val="24"/>
          <w:b/>
        </w:rPr>
        <w:t>4</w:t>
      </w:r>
      <w:r>
        <w:rPr>
          <w:rFonts w:ascii="仿宋_GB2312" w:hAnsi="仿宋_GB2312" w:cs="仿宋_GB2312" w:eastAsia="仿宋_GB2312"/>
          <w:sz w:val="24"/>
        </w:rPr>
        <w:t xml:space="preserve">  合同签订前采购人有权对中标人企业、经营场所、投标文件提供的相关材料进行核查，若核查后发现中标人提供虚假材料骗取中标，将按程序取消其中标资格，并报上级主管部门。</w:t>
      </w:r>
    </w:p>
    <w:p>
      <w:pPr>
        <w:pStyle w:val="null3"/>
        <w:ind w:firstLine="480"/>
        <w:jc w:val="both"/>
      </w:pPr>
      <w:r>
        <w:rPr>
          <w:rFonts w:ascii="仿宋_GB2312" w:hAnsi="仿宋_GB2312" w:cs="仿宋_GB2312" w:eastAsia="仿宋_GB2312"/>
          <w:sz w:val="24"/>
        </w:rPr>
        <w:t xml:space="preserve">15.5 </w:t>
      </w:r>
      <w:r>
        <w:rPr>
          <w:rFonts w:ascii="仿宋_GB2312" w:hAnsi="仿宋_GB2312" w:cs="仿宋_GB2312" w:eastAsia="仿宋_GB2312"/>
          <w:sz w:val="24"/>
        </w:rPr>
        <w:t>因供应商未履行合同项下义务导致采购人所产生的一切损失（包括但不限于人身财产的损失、律师费、诉讼费、保全费、鉴定费等），均由供应商承担赔偿责任。</w:t>
      </w:r>
    </w:p>
    <w:p>
      <w:pPr>
        <w:pStyle w:val="null3"/>
        <w:ind w:firstLine="480"/>
      </w:pPr>
      <w:r>
        <w:rPr>
          <w:rFonts w:ascii="仿宋_GB2312" w:hAnsi="仿宋_GB2312" w:cs="仿宋_GB2312" w:eastAsia="仿宋_GB2312"/>
          <w:sz w:val="24"/>
        </w:rPr>
        <w:t>15.6 通知与送达：供应商确认其送达地址为：</w:t>
      </w:r>
      <w:r>
        <w:rPr>
          <w:rFonts w:ascii="仿宋_GB2312" w:hAnsi="仿宋_GB2312" w:cs="仿宋_GB2312" w:eastAsia="仿宋_GB2312"/>
          <w:sz w:val="24"/>
          <w:u w:val="single"/>
        </w:rPr>
        <w:t xml:space="preserve">      </w:t>
      </w:r>
      <w:r>
        <w:rPr>
          <w:rFonts w:ascii="仿宋_GB2312" w:hAnsi="仿宋_GB2312" w:cs="仿宋_GB2312" w:eastAsia="仿宋_GB2312"/>
          <w:sz w:val="24"/>
        </w:rPr>
        <w:t>，联系人：</w:t>
      </w:r>
      <w:r>
        <w:rPr>
          <w:rFonts w:ascii="仿宋_GB2312" w:hAnsi="仿宋_GB2312" w:cs="仿宋_GB2312" w:eastAsia="仿宋_GB2312"/>
          <w:sz w:val="24"/>
          <w:u w:val="single"/>
        </w:rPr>
        <w:t xml:space="preserve">      </w:t>
      </w:r>
      <w:r>
        <w:rPr>
          <w:rFonts w:ascii="仿宋_GB2312" w:hAnsi="仿宋_GB2312" w:cs="仿宋_GB2312" w:eastAsia="仿宋_GB2312"/>
          <w:sz w:val="24"/>
        </w:rPr>
        <w:t>，联系电话：</w:t>
      </w:r>
      <w:r>
        <w:rPr>
          <w:rFonts w:ascii="仿宋_GB2312" w:hAnsi="仿宋_GB2312" w:cs="仿宋_GB2312" w:eastAsia="仿宋_GB2312"/>
          <w:sz w:val="24"/>
          <w:u w:val="single"/>
        </w:rPr>
        <w:t xml:space="preserve">     </w:t>
      </w:r>
      <w:r>
        <w:rPr>
          <w:rFonts w:ascii="仿宋_GB2312" w:hAnsi="仿宋_GB2312" w:cs="仿宋_GB2312" w:eastAsia="仿宋_GB2312"/>
          <w:sz w:val="24"/>
        </w:rPr>
        <w:t>，邮箱：</w:t>
      </w:r>
      <w:r>
        <w:rPr>
          <w:rFonts w:ascii="仿宋_GB2312" w:hAnsi="仿宋_GB2312" w:cs="仿宋_GB2312" w:eastAsia="仿宋_GB2312"/>
          <w:sz w:val="24"/>
          <w:u w:val="single"/>
        </w:rPr>
        <w:t xml:space="preserve">    </w:t>
      </w:r>
      <w:r>
        <w:rPr>
          <w:rFonts w:ascii="仿宋_GB2312" w:hAnsi="仿宋_GB2312" w:cs="仿宋_GB2312" w:eastAsia="仿宋_GB2312"/>
          <w:sz w:val="24"/>
        </w:rPr>
        <w:t>。以上约定的单位地址、联系人、电话、邮箱等联系方式作为送达地址，适用范围包括但不限于各类告知书、通知书、工作联系单、协议文件、诉讼或仲裁文书，送达主体可以是本项目各方、人民法院、仲裁委员会及各行政机关。送达主体按照上述送达地址进行送达，视为有效送达；上述送达地址、受送达人、联系方式发生变更的，供应商应履行通知义务，因送达地址变更后未及时书面告知，导致未能被送达主体实际接收的，邮寄送达的，以邮寄件退回之日视为送达之日；直接送达的，送达人当场在送达回证上记明情况之日视为送达之日；履行送达地址变更通知义务的，以变更后的送达地址为有效送达地址。</w:t>
      </w:r>
    </w:p>
    <w:p>
      <w:pPr>
        <w:pStyle w:val="null3"/>
      </w:pPr>
      <w:r>
        <w:rPr>
          <w:rFonts w:ascii="仿宋_GB2312" w:hAnsi="仿宋_GB2312" w:cs="仿宋_GB2312" w:eastAsia="仿宋_GB2312"/>
          <w:sz w:val="24"/>
        </w:rPr>
        <w:t>16、其他商务响应要求</w:t>
      </w:r>
    </w:p>
    <w:p>
      <w:pPr>
        <w:pStyle w:val="null3"/>
      </w:pPr>
      <w:r>
        <w:rPr>
          <w:rFonts w:ascii="仿宋_GB2312" w:hAnsi="仿宋_GB2312" w:cs="仿宋_GB2312" w:eastAsia="仿宋_GB2312"/>
          <w:sz w:val="24"/>
        </w:rPr>
        <w:t>16.1投标人应具备类似项目的业绩经验和承接并履行完毕、服务良好的业主单位满意评价。</w:t>
      </w:r>
    </w:p>
    <w:p>
      <w:pPr>
        <w:pStyle w:val="null3"/>
      </w:pPr>
      <w:r>
        <w:rPr>
          <w:rFonts w:ascii="仿宋_GB2312" w:hAnsi="仿宋_GB2312" w:cs="仿宋_GB2312" w:eastAsia="仿宋_GB2312"/>
          <w:sz w:val="24"/>
          <w:color w:val="000000"/>
        </w:rPr>
        <w:t>16.2</w:t>
      </w:r>
      <w:r>
        <w:rPr>
          <w:rFonts w:ascii="仿宋_GB2312" w:hAnsi="仿宋_GB2312" w:cs="仿宋_GB2312" w:eastAsia="仿宋_GB2312"/>
          <w:sz w:val="24"/>
          <w:color w:val="000000"/>
        </w:rPr>
        <w:t>投标人按照市场监督管理部门规定的“一品一码”要求，做到食品采购信息可追溯，</w:t>
      </w:r>
      <w:r>
        <w:rPr>
          <w:rFonts w:ascii="仿宋_GB2312" w:hAnsi="仿宋_GB2312" w:cs="仿宋_GB2312" w:eastAsia="仿宋_GB2312"/>
          <w:sz w:val="24"/>
        </w:rPr>
        <w:t>将每日配送食材的食品追溯码发送到相应的食品追溯码平台上。</w:t>
      </w:r>
    </w:p>
    <w:p>
      <w:pPr>
        <w:pStyle w:val="null3"/>
      </w:pPr>
      <w:r>
        <w:rPr>
          <w:rFonts w:ascii="仿宋_GB2312" w:hAnsi="仿宋_GB2312" w:cs="仿宋_GB2312" w:eastAsia="仿宋_GB2312"/>
          <w:sz w:val="24"/>
        </w:rPr>
        <w:t>16.3投标人（含分公司、分店等分支机构）在投标截止时间前三年内，在食品安全质量方面均未出现行政处罚（含整改、整顿）的。</w:t>
      </w:r>
    </w:p>
    <w:p>
      <w:pPr>
        <w:pStyle w:val="null3"/>
      </w:pPr>
      <w:r>
        <w:rPr>
          <w:rFonts w:ascii="仿宋_GB2312" w:hAnsi="仿宋_GB2312" w:cs="仿宋_GB2312" w:eastAsia="仿宋_GB2312"/>
          <w:sz w:val="24"/>
        </w:rPr>
        <w:t>16.4为保障售后的及时性，沟通交流方便，根据本项目的特点，供应商应具有较强的应急处理能力，突发故障响应时间的服务能力。</w:t>
      </w:r>
    </w:p>
    <w:p>
      <w:pPr>
        <w:pStyle w:val="null3"/>
        <w:jc w:val="both"/>
      </w:pPr>
      <w:r>
        <w:rPr>
          <w:rFonts w:ascii="仿宋_GB2312" w:hAnsi="仿宋_GB2312" w:cs="仿宋_GB2312" w:eastAsia="仿宋_GB2312"/>
          <w:sz w:val="24"/>
          <w:b/>
          <w:shd w:fill="FFFFFF" w:val="clear"/>
        </w:rPr>
        <w:t>★17、以上商务条件(除“16、其他商务响应要求”)均为不允许负偏离的实质性要求。</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福建省政府网上电子合同与纸质合同不一致的，以纸质合同为准。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[350001]FJGC[GK]2025018</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福建省闽西监狱民警食堂物资配送服务采购</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1(福建省闽西监狱民警食堂物资配送服务项目)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福建省闽西监狱民警食堂物资配送服务项目</w:t>
            </w:r>
          </w:p>
        </w:tc>
        <w:tc>
          <w:tcPr>
            <w:tcW w:type="dxa" w:w="1661"/>
          </w:tcPr>
          <w:p>
            <w:pPr>
              <w:pStyle w:val="null3"/>
              <w:jc w:val="left"/>
            </w:pPr>
            <w:r>
              <w:rPr>
                <w:rFonts w:ascii="仿宋_GB2312" w:hAnsi="仿宋_GB2312" w:cs="仿宋_GB2312" w:eastAsia="仿宋_GB2312"/>
              </w:rPr>
              <w:t xml:space="preserve"> 4400000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[350001]FJGC[GK]2025018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福建省闽西监狱民警食堂物资配送服务采购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福建省闽西监狱民警食堂物资配送服务项目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福建省闽西监狱民警食堂物资配送服务</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服务名称</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服务时间</w:t>
            </w:r>
          </w:p>
        </w:tc>
        <w:tc>
          <w:tcPr>
            <w:tcW w:type="dxa" w:w="639"/>
          </w:tcPr>
          <w:p>
            <w:pPr>
              <w:pStyle w:val="null3"/>
              <w:jc w:val="left"/>
            </w:pPr>
            <w:r>
              <w:rPr>
                <w:rFonts w:ascii="仿宋_GB2312" w:hAnsi="仿宋_GB2312" w:cs="仿宋_GB2312" w:eastAsia="仿宋_GB2312"/>
              </w:rPr>
              <w:t xml:space="preserve"> 服务标准</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福建省闽西监狱民警食堂物资配送服务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4400000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年</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