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福建省闽西监狱</w:t>
      </w:r>
    </w:p>
    <w:p>
      <w:pPr>
        <w:snapToGrid w:val="0"/>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 请 减 刑 建 议 书</w:t>
      </w:r>
    </w:p>
    <w:p>
      <w:pPr>
        <w:jc w:val="right"/>
        <w:rPr>
          <w:rFonts w:hint="eastAsia"/>
        </w:rPr>
      </w:pPr>
      <w:r>
        <w:rPr>
          <w:rFonts w:hint="eastAsia" w:ascii="Times New Roman" w:hAnsi="Times New Roman" w:eastAsia="楷体_GB2312" w:cs="楷体_GB2312"/>
          <w:szCs w:val="32"/>
        </w:rPr>
        <w:t>〔202</w:t>
      </w:r>
      <w:r>
        <w:rPr>
          <w:rFonts w:hint="eastAsia" w:ascii="Times New Roman" w:hAnsi="Times New Roman" w:eastAsia="楷体_GB2312" w:cs="楷体_GB2312"/>
          <w:szCs w:val="32"/>
          <w:lang w:val="en-US" w:eastAsia="zh-CN"/>
        </w:rPr>
        <w:t>6</w:t>
      </w:r>
      <w:r>
        <w:rPr>
          <w:rFonts w:hint="eastAsia" w:ascii="Times New Roman" w:hAnsi="Times New Roman" w:eastAsia="楷体_GB2312" w:cs="楷体_GB2312"/>
          <w:szCs w:val="32"/>
        </w:rPr>
        <w:t>〕闽西监减字第</w:t>
      </w:r>
      <w:r>
        <w:rPr>
          <w:rFonts w:hint="eastAsia" w:ascii="Times New Roman" w:hAnsi="Times New Roman" w:eastAsia="楷体_GB2312" w:cs="楷体_GB2312"/>
          <w:szCs w:val="32"/>
          <w:lang w:val="en-US" w:eastAsia="zh-CN"/>
        </w:rPr>
        <w:t>55</w:t>
      </w:r>
      <w:r>
        <w:rPr>
          <w:rFonts w:hint="eastAsia" w:ascii="Times New Roman" w:hAnsi="Times New Roman" w:eastAsia="楷体_GB2312" w:cs="楷体_GB2312"/>
          <w:szCs w:val="32"/>
        </w:rPr>
        <w:t>号</w:t>
      </w:r>
    </w:p>
    <w:p>
      <w:pPr>
        <w:spacing w:line="520" w:lineRule="exact"/>
        <w:ind w:firstLine="640" w:firstLineChars="200"/>
        <w:rPr>
          <w:rFonts w:hint="eastAsia"/>
        </w:rPr>
      </w:pPr>
      <w:r>
        <w:rPr>
          <w:rFonts w:hint="eastAsia"/>
        </w:rPr>
        <w:t>罪犯黄金泉，男，1962年7月7日出生，汉族，小学文化，</w:t>
      </w:r>
      <w:r>
        <w:rPr>
          <w:rFonts w:hint="eastAsia"/>
          <w:lang w:eastAsia="zh-CN"/>
        </w:rPr>
        <w:t>户籍所在地为</w:t>
      </w:r>
      <w:r>
        <w:rPr>
          <w:rFonts w:hint="eastAsia"/>
        </w:rPr>
        <w:t>福建省宁德市蕉城区</w:t>
      </w:r>
      <w:bookmarkStart w:id="0" w:name="_GoBack"/>
      <w:bookmarkEnd w:id="0"/>
      <w:r>
        <w:rPr>
          <w:rFonts w:hint="eastAsia"/>
        </w:rPr>
        <w:t>，捕前系农民。</w:t>
      </w:r>
    </w:p>
    <w:p>
      <w:pPr>
        <w:spacing w:line="520" w:lineRule="exact"/>
        <w:ind w:firstLine="640" w:firstLineChars="200"/>
        <w:rPr>
          <w:rFonts w:hint="eastAsia"/>
        </w:rPr>
      </w:pPr>
      <w:r>
        <w:rPr>
          <w:rFonts w:hint="eastAsia"/>
        </w:rPr>
        <w:t>福建省福州市中级人民法院于2020年1月2日作出（2018）闽01刑初148号刑事</w:t>
      </w:r>
      <w:r>
        <w:rPr>
          <w:rFonts w:hint="eastAsia"/>
          <w:lang w:eastAsia="zh-CN"/>
        </w:rPr>
        <w:t>判决</w:t>
      </w:r>
      <w:r>
        <w:rPr>
          <w:rFonts w:hint="eastAsia"/>
        </w:rPr>
        <w:t>，以被告人黄金泉犯走私国家禁止进出口的货物罪，判处有期徒刑九年二个月，</w:t>
      </w:r>
      <w:r>
        <w:rPr>
          <w:rFonts w:hint="eastAsia"/>
          <w:lang w:eastAsia="zh-CN"/>
        </w:rPr>
        <w:t>并处罚金人民币二十万元，继续追缴违法所得全部。</w:t>
      </w:r>
      <w:r>
        <w:rPr>
          <w:rFonts w:hint="eastAsia"/>
        </w:rPr>
        <w:t>宣判后，被告人不服，提出上诉。福建省高级人民法院于2021年2月23日作出(2020)闽刑终88号刑事</w:t>
      </w:r>
      <w:r>
        <w:rPr>
          <w:rFonts w:hint="eastAsia"/>
          <w:lang w:eastAsia="zh-CN"/>
        </w:rPr>
        <w:t>判决</w:t>
      </w:r>
      <w:r>
        <w:rPr>
          <w:rFonts w:hint="eastAsia"/>
        </w:rPr>
        <w:t>，对</w:t>
      </w:r>
      <w:r>
        <w:rPr>
          <w:rFonts w:hint="eastAsia"/>
          <w:lang w:eastAsia="zh-CN"/>
        </w:rPr>
        <w:t>被告人黄金泉维持原判</w:t>
      </w:r>
      <w:r>
        <w:rPr>
          <w:rFonts w:hint="eastAsia"/>
        </w:rPr>
        <w:t>。</w:t>
      </w:r>
      <w:r>
        <w:rPr>
          <w:rFonts w:hint="eastAsia"/>
          <w:lang w:eastAsia="zh-CN"/>
        </w:rPr>
        <w:t>刑期自</w:t>
      </w:r>
      <w:r>
        <w:rPr>
          <w:rFonts w:hint="eastAsia"/>
          <w:lang w:val="en-US" w:eastAsia="zh-CN"/>
        </w:rPr>
        <w:t>2018年1月30日起至2027年3月29日止。</w:t>
      </w:r>
      <w:r>
        <w:rPr>
          <w:rFonts w:hint="eastAsia"/>
        </w:rPr>
        <w:t>2021年3月19日交付福建省闽西监狱执行刑罚。福建省龙岩市中级人民法院</w:t>
      </w:r>
      <w:r>
        <w:rPr>
          <w:rFonts w:hint="eastAsia"/>
          <w:lang w:eastAsia="zh-CN"/>
        </w:rPr>
        <w:t>于</w:t>
      </w:r>
      <w:r>
        <w:rPr>
          <w:rFonts w:hint="eastAsia"/>
        </w:rPr>
        <w:t>2023年5月26日</w:t>
      </w:r>
      <w:r>
        <w:rPr>
          <w:rFonts w:hint="eastAsia"/>
          <w:lang w:eastAsia="zh-CN"/>
        </w:rPr>
        <w:t>作出</w:t>
      </w:r>
      <w:r>
        <w:rPr>
          <w:rFonts w:hint="eastAsia"/>
        </w:rPr>
        <w:t>（2023）闽08刑更487号刑事裁定，对其减</w:t>
      </w:r>
      <w:r>
        <w:rPr>
          <w:rFonts w:hint="eastAsia"/>
          <w:lang w:eastAsia="zh-CN"/>
        </w:rPr>
        <w:t>去有期徒</w:t>
      </w:r>
      <w:r>
        <w:rPr>
          <w:rFonts w:hint="eastAsia"/>
        </w:rPr>
        <w:t>刑六个月。2023年5月31日送达。现刑期至2026年9月29日止。现属普管级罪犯。</w:t>
      </w:r>
    </w:p>
    <w:p>
      <w:pPr>
        <w:spacing w:line="520" w:lineRule="exact"/>
        <w:ind w:firstLine="640" w:firstLineChars="200"/>
        <w:rPr>
          <w:rFonts w:hint="eastAsia"/>
        </w:rPr>
      </w:pPr>
      <w:r>
        <w:rPr>
          <w:rFonts w:hint="eastAsia"/>
        </w:rPr>
        <w:t>该犯自</w:t>
      </w:r>
      <w:r>
        <w:rPr>
          <w:rFonts w:hint="eastAsia"/>
          <w:lang w:eastAsia="zh-CN"/>
        </w:rPr>
        <w:t>上次减刑</w:t>
      </w:r>
      <w:r>
        <w:rPr>
          <w:rFonts w:hint="eastAsia"/>
        </w:rPr>
        <w:t>以来确有悔改表现，具体事实如下：</w:t>
      </w:r>
    </w:p>
    <w:p>
      <w:pPr>
        <w:spacing w:line="520" w:lineRule="exact"/>
        <w:ind w:firstLine="640" w:firstLineChars="200"/>
        <w:rPr>
          <w:rFonts w:hint="eastAsia"/>
        </w:rPr>
      </w:pPr>
      <w:r>
        <w:rPr>
          <w:rFonts w:hint="eastAsia"/>
        </w:rPr>
        <w:t>认罪悔罪：能服从法院判决，自书认罪悔罪书。</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rPr>
      </w:pPr>
      <w:r>
        <w:rPr>
          <w:rFonts w:hint="eastAsia"/>
        </w:rPr>
        <w:t>遵守监规：</w:t>
      </w:r>
      <w:r>
        <w:rPr>
          <w:rFonts w:hint="eastAsia" w:cs="Times New Roman"/>
          <w:lang w:val="zh-CN"/>
        </w:rPr>
        <w:t>考核期内虽有违规，</w:t>
      </w:r>
      <w:r>
        <w:rPr>
          <w:rFonts w:hint="eastAsia" w:ascii="仿宋_GB2312" w:hAnsi="仿宋" w:cs="宋体"/>
          <w:szCs w:val="32"/>
          <w:lang w:val="zh-CN"/>
        </w:rPr>
        <w:t>经民警教育后能深刻认识自身错误行为，遵守监规纪律，至本次提请前未出现违规扣分行为</w:t>
      </w:r>
      <w:r>
        <w:rPr>
          <w:rFonts w:hint="eastAsia"/>
        </w:rPr>
        <w:t>。</w:t>
      </w:r>
    </w:p>
    <w:p>
      <w:pPr>
        <w:spacing w:line="520" w:lineRule="exact"/>
        <w:ind w:firstLine="640" w:firstLineChars="200"/>
        <w:rPr>
          <w:rFonts w:hint="eastAsia"/>
        </w:rPr>
      </w:pPr>
      <w:r>
        <w:rPr>
          <w:rFonts w:hint="eastAsia"/>
        </w:rPr>
        <w:t>学习情况：能参加思想、文化、职业技术教育。</w:t>
      </w:r>
    </w:p>
    <w:p>
      <w:pPr>
        <w:spacing w:line="520" w:lineRule="exact"/>
        <w:ind w:firstLine="640" w:firstLineChars="200"/>
        <w:rPr>
          <w:rFonts w:hint="eastAsia"/>
        </w:rPr>
      </w:pPr>
      <w:r>
        <w:rPr>
          <w:rFonts w:hint="eastAsia"/>
        </w:rPr>
        <w:t>劳动改造：能参加劳动，努力完成劳动任务。</w:t>
      </w:r>
    </w:p>
    <w:p>
      <w:pPr>
        <w:spacing w:line="520" w:lineRule="exact"/>
        <w:ind w:firstLine="640" w:firstLineChars="200"/>
        <w:rPr>
          <w:rFonts w:hint="eastAsia"/>
        </w:rPr>
      </w:pPr>
      <w:r>
        <w:rPr>
          <w:rFonts w:hint="eastAsia"/>
        </w:rPr>
        <w:t>奖惩情况：</w:t>
      </w:r>
    </w:p>
    <w:p>
      <w:pPr>
        <w:spacing w:line="520" w:lineRule="exact"/>
        <w:ind w:firstLine="640" w:firstLineChars="200"/>
        <w:rPr>
          <w:rFonts w:hint="eastAsia" w:ascii="Times New Roman" w:hAnsi="Times New Roman" w:cs="Times New Roman"/>
          <w:szCs w:val="32"/>
          <w:lang w:eastAsia="zh-CN"/>
        </w:rPr>
      </w:pPr>
      <w:r>
        <w:rPr>
          <w:rFonts w:hint="eastAsia" w:ascii="Times New Roman" w:hAnsi="Times New Roman" w:cs="Times New Roman"/>
          <w:szCs w:val="32"/>
          <w:lang w:eastAsia="zh-CN"/>
        </w:rPr>
        <w:t>该犯上轮提请周期评定表扬剩余考核分</w:t>
      </w:r>
      <w:r>
        <w:rPr>
          <w:rFonts w:hint="eastAsia" w:ascii="Times New Roman" w:hAnsi="Times New Roman" w:cs="Times New Roman"/>
          <w:szCs w:val="32"/>
          <w:lang w:val="en-US" w:eastAsia="zh-CN"/>
        </w:rPr>
        <w:t>273分，</w:t>
      </w:r>
      <w:r>
        <w:rPr>
          <w:rFonts w:hint="eastAsia" w:ascii="Times New Roman" w:hAnsi="Times New Roman" w:cs="Times New Roman"/>
          <w:szCs w:val="32"/>
          <w:lang w:eastAsia="zh-CN"/>
        </w:rPr>
        <w:t>本轮考核期内累计获得</w:t>
      </w:r>
      <w:r>
        <w:rPr>
          <w:rFonts w:hint="eastAsia" w:ascii="Times New Roman" w:hAnsi="Times New Roman" w:cs="Times New Roman"/>
          <w:szCs w:val="32"/>
          <w:lang w:val="en-US" w:eastAsia="zh-CN"/>
        </w:rPr>
        <w:t>3326</w:t>
      </w:r>
      <w:r>
        <w:rPr>
          <w:rFonts w:hint="eastAsia" w:ascii="Times New Roman" w:hAnsi="Times New Roman" w:cs="Times New Roman"/>
          <w:szCs w:val="32"/>
          <w:lang w:eastAsia="zh-CN"/>
        </w:rPr>
        <w:t>分，</w:t>
      </w:r>
      <w:r>
        <w:rPr>
          <w:rFonts w:hint="eastAsia" w:ascii="Times New Roman" w:hAnsi="Times New Roman" w:cs="Times New Roman"/>
          <w:szCs w:val="32"/>
          <w:lang w:val="en-US" w:eastAsia="zh-CN"/>
        </w:rPr>
        <w:t>总计获得3599分，</w:t>
      </w:r>
      <w:r>
        <w:rPr>
          <w:rFonts w:hint="eastAsia" w:ascii="Times New Roman" w:hAnsi="Times New Roman" w:cs="Times New Roman"/>
          <w:szCs w:val="32"/>
          <w:lang w:eastAsia="zh-CN"/>
        </w:rPr>
        <w:t>表扬三次，物质奖励二次。间隔期自</w:t>
      </w:r>
      <w:r>
        <w:rPr>
          <w:rFonts w:hint="eastAsia" w:ascii="Times New Roman" w:hAnsi="Times New Roman" w:cs="Times New Roman"/>
          <w:szCs w:val="32"/>
          <w:lang w:val="en-US" w:eastAsia="zh-CN"/>
        </w:rPr>
        <w:t>2023</w:t>
      </w:r>
      <w:r>
        <w:rPr>
          <w:rFonts w:hint="eastAsia" w:ascii="Times New Roman" w:hAnsi="Times New Roman" w:cs="Times New Roman"/>
          <w:szCs w:val="32"/>
          <w:lang w:eastAsia="zh-CN"/>
        </w:rPr>
        <w:t>年</w:t>
      </w:r>
      <w:r>
        <w:rPr>
          <w:rFonts w:hint="eastAsia" w:ascii="Times New Roman" w:hAnsi="Times New Roman" w:cs="Times New Roman"/>
          <w:szCs w:val="32"/>
          <w:lang w:val="en-US" w:eastAsia="zh-CN"/>
        </w:rPr>
        <w:t>5</w:t>
      </w:r>
      <w:r>
        <w:rPr>
          <w:rFonts w:hint="eastAsia" w:ascii="Times New Roman" w:hAnsi="Times New Roman" w:cs="Times New Roman"/>
          <w:szCs w:val="32"/>
          <w:lang w:eastAsia="zh-CN"/>
        </w:rPr>
        <w:t>月</w:t>
      </w:r>
      <w:r>
        <w:rPr>
          <w:rFonts w:hint="eastAsia" w:ascii="Times New Roman" w:hAnsi="Times New Roman" w:cs="Times New Roman"/>
          <w:szCs w:val="32"/>
          <w:lang w:val="en-US" w:eastAsia="zh-CN"/>
        </w:rPr>
        <w:t>31日</w:t>
      </w:r>
      <w:r>
        <w:rPr>
          <w:rFonts w:hint="eastAsia" w:ascii="Times New Roman" w:hAnsi="Times New Roman" w:cs="Times New Roman"/>
          <w:szCs w:val="32"/>
          <w:lang w:eastAsia="zh-CN"/>
        </w:rPr>
        <w:t>至</w:t>
      </w:r>
      <w:r>
        <w:rPr>
          <w:rFonts w:hint="eastAsia" w:ascii="Times New Roman" w:hAnsi="Times New Roman" w:cs="Times New Roman"/>
          <w:szCs w:val="32"/>
          <w:lang w:val="en-US" w:eastAsia="zh-CN"/>
        </w:rPr>
        <w:t>2025</w:t>
      </w:r>
      <w:r>
        <w:rPr>
          <w:rFonts w:hint="eastAsia" w:ascii="Times New Roman" w:hAnsi="Times New Roman" w:cs="Times New Roman"/>
          <w:szCs w:val="32"/>
          <w:lang w:eastAsia="zh-CN"/>
        </w:rPr>
        <w:t>年</w:t>
      </w:r>
      <w:r>
        <w:rPr>
          <w:rFonts w:hint="eastAsia" w:ascii="Times New Roman" w:hAnsi="Times New Roman" w:cs="Times New Roman"/>
          <w:szCs w:val="32"/>
          <w:lang w:val="en-US" w:eastAsia="zh-CN"/>
        </w:rPr>
        <w:t>9</w:t>
      </w:r>
      <w:r>
        <w:rPr>
          <w:rFonts w:hint="eastAsia" w:ascii="Times New Roman" w:hAnsi="Times New Roman" w:cs="Times New Roman"/>
          <w:szCs w:val="32"/>
          <w:lang w:eastAsia="zh-CN"/>
        </w:rPr>
        <w:t>月，获得考核分</w:t>
      </w:r>
      <w:r>
        <w:rPr>
          <w:rFonts w:hint="eastAsia" w:ascii="Times New Roman" w:hAnsi="Times New Roman" w:cs="Times New Roman"/>
          <w:szCs w:val="32"/>
          <w:lang w:val="en-US" w:eastAsia="zh-CN"/>
        </w:rPr>
        <w:t>2911</w:t>
      </w:r>
      <w:r>
        <w:rPr>
          <w:rFonts w:hint="eastAsia" w:ascii="Times New Roman" w:hAnsi="Times New Roman" w:cs="Times New Roman"/>
          <w:szCs w:val="32"/>
          <w:lang w:eastAsia="zh-CN"/>
        </w:rPr>
        <w:t>分。考核期内违规扣分二次，累计扣5分。</w:t>
      </w:r>
    </w:p>
    <w:p>
      <w:pPr>
        <w:spacing w:line="520" w:lineRule="exact"/>
        <w:ind w:firstLine="640" w:firstLineChars="200"/>
        <w:rPr>
          <w:rFonts w:hint="eastAsia" w:ascii="Times New Roman" w:hAnsi="Times New Roman" w:cs="Times New Roman"/>
          <w:szCs w:val="32"/>
        </w:rPr>
      </w:pPr>
      <w:r>
        <w:rPr>
          <w:rFonts w:hint="eastAsia" w:ascii="Times New Roman" w:hAnsi="Times New Roman" w:cs="Times New Roman"/>
          <w:szCs w:val="32"/>
        </w:rPr>
        <w:t>该犯原判财产性判项已履行人民币</w:t>
      </w:r>
      <w:r>
        <w:rPr>
          <w:rFonts w:hint="eastAsia" w:ascii="Times New Roman" w:hAnsi="Times New Roman" w:cs="Times New Roman"/>
          <w:szCs w:val="32"/>
          <w:lang w:val="en-US" w:eastAsia="zh-CN"/>
        </w:rPr>
        <w:t>200000</w:t>
      </w:r>
      <w:r>
        <w:rPr>
          <w:rFonts w:hint="eastAsia" w:ascii="Times New Roman" w:hAnsi="Times New Roman" w:cs="Times New Roman"/>
          <w:szCs w:val="32"/>
        </w:rPr>
        <w:t>元，</w:t>
      </w:r>
      <w:r>
        <w:rPr>
          <w:rFonts w:hint="eastAsia" w:ascii="Times New Roman" w:hAnsi="Times New Roman" w:cs="Times New Roman"/>
          <w:szCs w:val="32"/>
          <w:lang w:eastAsia="zh-CN"/>
        </w:rPr>
        <w:t>其中本次提请前向福建省福州市中级人民法院缴纳财产性判项人民币</w:t>
      </w:r>
      <w:r>
        <w:rPr>
          <w:rFonts w:hint="eastAsia" w:ascii="Times New Roman" w:hAnsi="Times New Roman" w:cs="Times New Roman"/>
          <w:szCs w:val="32"/>
          <w:lang w:val="en-US" w:eastAsia="zh-CN"/>
        </w:rPr>
        <w:t>48600元，福建省福州市中级人民法院出具执行裁定书裁定终结该犯财产刑的执行</w:t>
      </w:r>
      <w:r>
        <w:rPr>
          <w:rFonts w:hint="eastAsia" w:ascii="Times New Roman" w:hAnsi="Times New Roman" w:cs="Times New Roman"/>
          <w:szCs w:val="32"/>
        </w:rPr>
        <w:t>。</w:t>
      </w:r>
    </w:p>
    <w:p>
      <w:pPr>
        <w:spacing w:line="520" w:lineRule="exact"/>
        <w:ind w:firstLine="640" w:firstLineChars="200"/>
        <w:rPr>
          <w:rFonts w:hint="eastAsia" w:ascii="Times New Roman" w:hAnsi="Times New Roman"/>
          <w:szCs w:val="32"/>
        </w:rPr>
      </w:pPr>
      <w:r>
        <w:rPr>
          <w:rFonts w:hint="eastAsia" w:ascii="Times New Roman" w:hAnsi="Times New Roman"/>
          <w:szCs w:val="32"/>
        </w:rPr>
        <w:t>本案于2025年12月16日至2025年12月22日在狱内公示未收到不同意见。</w:t>
      </w:r>
    </w:p>
    <w:p>
      <w:pPr>
        <w:spacing w:line="520" w:lineRule="exact"/>
        <w:rPr>
          <w:rFonts w:hint="eastAsia" w:ascii="Times New Roman" w:hAnsi="Times New Roman"/>
          <w:szCs w:val="32"/>
        </w:rPr>
      </w:pPr>
      <w:r>
        <w:rPr>
          <w:rFonts w:hint="eastAsia" w:ascii="Times New Roman" w:hAnsi="Times New Roman"/>
          <w:szCs w:val="32"/>
        </w:rPr>
        <w:t>　　因此，</w:t>
      </w:r>
      <w:r>
        <w:rPr>
          <w:rFonts w:hint="eastAsia"/>
          <w:szCs w:val="32"/>
        </w:rPr>
        <w:t>依照</w:t>
      </w:r>
      <w:r>
        <w:rPr>
          <w:rFonts w:hint="eastAsia" w:ascii="仿宋_GB2312" w:hAnsi="仿宋_GB2312" w:cs="仿宋_GB2312"/>
          <w:szCs w:val="32"/>
        </w:rPr>
        <w:t>《中华人民共和国刑法》第七十八条、第七十九条</w:t>
      </w:r>
      <w:r>
        <w:rPr>
          <w:rFonts w:hint="eastAsia" w:ascii="仿宋_GB2312" w:hAnsi="仿宋_GB2312" w:cs="仿宋_GB2312"/>
          <w:szCs w:val="32"/>
          <w:lang w:eastAsia="zh-CN"/>
        </w:rPr>
        <w:t>、</w:t>
      </w:r>
      <w:r>
        <w:rPr>
          <w:rFonts w:hint="eastAsia" w:ascii="仿宋_GB2312" w:hAnsi="仿宋_GB2312" w:cs="仿宋_GB2312"/>
          <w:szCs w:val="32"/>
        </w:rPr>
        <w:t>《中华人民共和国刑事诉讼法》第二百七十三条第二款、《中华人民共和国监狱法》第二十九条的规定，</w:t>
      </w:r>
      <w:r>
        <w:rPr>
          <w:rFonts w:hint="eastAsia" w:ascii="Times New Roman" w:hAnsi="Times New Roman"/>
          <w:szCs w:val="32"/>
        </w:rPr>
        <w:t>建议对罪犯</w:t>
      </w:r>
      <w:r>
        <w:rPr>
          <w:rFonts w:hint="eastAsia" w:ascii="Times New Roman" w:hAnsi="Times New Roman"/>
          <w:szCs w:val="32"/>
          <w:lang w:eastAsia="zh-CN"/>
        </w:rPr>
        <w:t>黄金泉</w:t>
      </w:r>
      <w:r>
        <w:rPr>
          <w:rFonts w:hint="eastAsia" w:ascii="Times New Roman" w:hAnsi="Times New Roman"/>
          <w:szCs w:val="32"/>
        </w:rPr>
        <w:t>予以减去有期徒刑</w:t>
      </w:r>
      <w:r>
        <w:rPr>
          <w:rFonts w:hint="eastAsia" w:ascii="Times New Roman" w:hAnsi="Times New Roman"/>
          <w:szCs w:val="32"/>
          <w:lang w:eastAsia="zh-CN"/>
        </w:rPr>
        <w:t>六</w:t>
      </w:r>
      <w:r>
        <w:rPr>
          <w:rFonts w:hint="eastAsia" w:ascii="Times New Roman" w:hAnsi="Times New Roman"/>
          <w:szCs w:val="32"/>
        </w:rPr>
        <w:t>个月，特提请你院审理裁定。</w:t>
      </w:r>
    </w:p>
    <w:p>
      <w:pPr>
        <w:pStyle w:val="3"/>
        <w:spacing w:line="620" w:lineRule="exact"/>
        <w:ind w:firstLine="614" w:firstLineChars="192"/>
        <w:rPr>
          <w:rFonts w:hint="eastAsia" w:ascii="Times New Roman" w:hAnsi="Times New Roman"/>
          <w:szCs w:val="32"/>
        </w:rPr>
      </w:pPr>
      <w:r>
        <w:rPr>
          <w:rFonts w:hint="eastAsia" w:ascii="Times New Roman" w:hAnsi="Times New Roman"/>
          <w:szCs w:val="32"/>
        </w:rPr>
        <w:t>此致</w:t>
      </w:r>
    </w:p>
    <w:p>
      <w:pPr>
        <w:spacing w:line="620" w:lineRule="exact"/>
        <w:rPr>
          <w:rFonts w:hint="eastAsia" w:ascii="Times New Roman" w:hAnsi="Times New Roman"/>
          <w:szCs w:val="32"/>
        </w:rPr>
      </w:pPr>
      <w:r>
        <w:rPr>
          <w:rFonts w:hint="eastAsia" w:ascii="Times New Roman" w:hAnsi="Times New Roman"/>
          <w:szCs w:val="32"/>
        </w:rPr>
        <w:t>福建省龙岩市中级人民法院</w:t>
      </w:r>
    </w:p>
    <w:p>
      <w:pPr>
        <w:pStyle w:val="13"/>
        <w:spacing w:line="430" w:lineRule="exact"/>
        <w:ind w:left="640" w:firstLine="0" w:firstLineChars="0"/>
        <w:rPr>
          <w:rFonts w:hint="eastAsia" w:cs="仿宋_GB2312"/>
          <w:szCs w:val="32"/>
        </w:rPr>
      </w:pPr>
    </w:p>
    <w:p>
      <w:pPr>
        <w:pStyle w:val="13"/>
        <w:spacing w:line="430" w:lineRule="exact"/>
        <w:ind w:left="640" w:firstLine="0" w:firstLineChars="0"/>
        <w:rPr>
          <w:rFonts w:cs="仿宋_GB2312"/>
          <w:szCs w:val="32"/>
        </w:rPr>
      </w:pPr>
      <w:r>
        <w:rPr>
          <w:rFonts w:hint="eastAsia" w:cs="仿宋_GB2312"/>
          <w:szCs w:val="32"/>
        </w:rPr>
        <w:t>附件：⒈罪犯</w:t>
      </w:r>
      <w:r>
        <w:rPr>
          <w:rFonts w:hint="eastAsia" w:cs="仿宋_GB2312"/>
          <w:szCs w:val="32"/>
          <w:lang w:eastAsia="zh-CN"/>
        </w:rPr>
        <w:t>黄金泉</w:t>
      </w:r>
      <w:r>
        <w:rPr>
          <w:rFonts w:hint="eastAsia" w:cs="仿宋_GB2312"/>
          <w:szCs w:val="32"/>
        </w:rPr>
        <w:t>卷宗贰册</w:t>
      </w:r>
    </w:p>
    <w:p>
      <w:pPr>
        <w:pStyle w:val="13"/>
        <w:spacing w:line="430" w:lineRule="exact"/>
        <w:ind w:left="680" w:right="-48" w:rightChars="-15" w:firstLine="960" w:firstLineChars="300"/>
        <w:rPr>
          <w:rFonts w:cs="仿宋_GB2312"/>
          <w:szCs w:val="32"/>
        </w:rPr>
      </w:pPr>
      <w:r>
        <w:rPr>
          <w:rFonts w:hint="eastAsia" w:cs="仿宋_GB2312"/>
          <w:szCs w:val="32"/>
        </w:rPr>
        <w:t>⒉减刑建议书壹份</w:t>
      </w:r>
    </w:p>
    <w:p>
      <w:pPr>
        <w:spacing w:line="620" w:lineRule="exact"/>
        <w:rPr>
          <w:rFonts w:hint="eastAsia" w:ascii="Times New Roman" w:hAnsi="Times New Roman"/>
          <w:szCs w:val="32"/>
        </w:rPr>
      </w:pPr>
    </w:p>
    <w:p>
      <w:pPr>
        <w:spacing w:line="620" w:lineRule="exact"/>
        <w:ind w:right="640" w:rightChars="200" w:firstLine="614" w:firstLineChars="192"/>
        <w:jc w:val="right"/>
        <w:rPr>
          <w:rFonts w:hint="eastAsia" w:ascii="Times New Roman" w:hAnsi="Times New Roman"/>
          <w:szCs w:val="32"/>
        </w:rPr>
      </w:pPr>
      <w:r>
        <w:rPr>
          <w:rFonts w:hint="eastAsia" w:ascii="Times New Roman" w:hAnsi="Times New Roman"/>
          <w:szCs w:val="32"/>
        </w:rPr>
        <w:t xml:space="preserve">                             福建省闽西监狱</w:t>
      </w:r>
    </w:p>
    <w:p>
      <w:pPr>
        <w:spacing w:line="620" w:lineRule="exact"/>
        <w:ind w:right="640" w:rightChars="200"/>
        <w:jc w:val="right"/>
        <w:rPr>
          <w:rFonts w:hint="eastAsia" w:ascii="Times New Roman" w:hAnsi="Times New Roman"/>
          <w:szCs w:val="32"/>
        </w:rPr>
      </w:pPr>
      <w:r>
        <w:rPr>
          <w:rFonts w:hint="eastAsia" w:ascii="Times New Roman" w:hAnsi="Times New Roman"/>
          <w:szCs w:val="32"/>
        </w:rPr>
        <w:t xml:space="preserve">              </w:t>
      </w:r>
      <w:r>
        <w:rPr>
          <w:rFonts w:hint="eastAsia" w:ascii="Times New Roman" w:hAnsi="Times New Roman"/>
          <w:szCs w:val="32"/>
          <w:lang w:val="en-US" w:eastAsia="zh-CN"/>
        </w:rPr>
        <w:t>2025</w:t>
      </w:r>
      <w:r>
        <w:rPr>
          <w:rFonts w:hint="eastAsia" w:ascii="Times New Roman" w:hAnsi="Times New Roman"/>
          <w:szCs w:val="32"/>
        </w:rPr>
        <w:t>年</w:t>
      </w:r>
      <w:r>
        <w:rPr>
          <w:rFonts w:hint="eastAsia" w:ascii="Times New Roman" w:hAnsi="Times New Roman"/>
          <w:szCs w:val="32"/>
          <w:lang w:val="en-US" w:eastAsia="zh-CN"/>
        </w:rPr>
        <w:t>12</w:t>
      </w:r>
      <w:r>
        <w:rPr>
          <w:rFonts w:hint="eastAsia" w:ascii="Times New Roman" w:hAnsi="Times New Roman"/>
          <w:szCs w:val="32"/>
        </w:rPr>
        <w:t>月</w:t>
      </w:r>
      <w:r>
        <w:rPr>
          <w:rFonts w:hint="eastAsia" w:ascii="Times New Roman" w:hAnsi="Times New Roman"/>
          <w:szCs w:val="32"/>
          <w:lang w:val="en-US" w:eastAsia="zh-CN"/>
        </w:rPr>
        <w:t>23</w:t>
      </w:r>
      <w:r>
        <w:rPr>
          <w:rFonts w:hint="eastAsia" w:ascii="Times New Roman" w:hAnsi="Times New Roman"/>
          <w:szCs w:val="32"/>
        </w:rPr>
        <w:t>日</w:t>
      </w:r>
    </w:p>
    <w:sectPr>
      <w:headerReference r:id="rId3" w:type="default"/>
      <w:footerReference r:id="rId4" w:type="default"/>
      <w:footerReference r:id="rId5" w:type="even"/>
      <w:pgSz w:w="11907" w:h="16840"/>
      <w:pgMar w:top="1871" w:right="1304" w:bottom="1871" w:left="1588" w:header="1588" w:footer="1588" w:gutter="0"/>
      <w:cols w:space="720" w:num="1"/>
      <w:docGrid w:type="lines" w:linePitch="595" w:charSpace="-6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ind w:left="320" w:leftChars="100" w:right="320" w:rightChars="100"/>
      <w:rPr>
        <w:rStyle w:val="9"/>
        <w:rFonts w:hint="eastAsia"/>
        <w:sz w:val="28"/>
        <w:szCs w:val="28"/>
      </w:rPr>
    </w:pPr>
    <w:r>
      <w:rPr>
        <w:rStyle w:val="9"/>
        <w:rFonts w:hint="eastAsia"/>
        <w:sz w:val="28"/>
        <w:szCs w:val="28"/>
      </w:rPr>
      <w:t xml:space="preserve">— </w:t>
    </w:r>
    <w:r>
      <w:rPr>
        <w:sz w:val="28"/>
        <w:szCs w:val="28"/>
      </w:rPr>
      <w:fldChar w:fldCharType="begin"/>
    </w:r>
    <w:r>
      <w:rPr>
        <w:rStyle w:val="9"/>
        <w:sz w:val="28"/>
        <w:szCs w:val="28"/>
      </w:rPr>
      <w:instrText xml:space="preserve">PAGE  </w:instrText>
    </w:r>
    <w:r>
      <w:rPr>
        <w:sz w:val="28"/>
        <w:szCs w:val="28"/>
      </w:rPr>
      <w:fldChar w:fldCharType="separate"/>
    </w:r>
    <w:r>
      <w:rPr>
        <w:rStyle w:val="9"/>
        <w:sz w:val="28"/>
        <w:szCs w:val="28"/>
      </w:rPr>
      <w:t>2</w:t>
    </w:r>
    <w:r>
      <w:rPr>
        <w:sz w:val="28"/>
        <w:szCs w:val="28"/>
      </w:rPr>
      <w:fldChar w:fldCharType="end"/>
    </w:r>
    <w:r>
      <w:rPr>
        <w:rStyle w:val="9"/>
        <w:rFonts w:hint="eastAsia"/>
        <w:sz w:val="28"/>
        <w:szCs w:val="28"/>
      </w:rPr>
      <w:t xml:space="preserve"> —</w: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2042" w:y="1"/>
      <w:rPr>
        <w:rStyle w:val="9"/>
      </w:rPr>
    </w:pPr>
    <w:r>
      <w:fldChar w:fldCharType="begin"/>
    </w:r>
    <w:r>
      <w:rPr>
        <w:rStyle w:val="9"/>
      </w:rPr>
      <w:instrText xml:space="preserve">PAGE  </w:instrText>
    </w:r>
    <w:r>
      <w:fldChar w:fldCharType="separate"/>
    </w:r>
    <w:r>
      <w:rPr>
        <w:rStyle w:val="9"/>
      </w:rPr>
      <w:t>2</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5"/>
  <w:hyphenationZone w:val="360"/>
  <w:drawingGridHorizontalSpacing w:val="287"/>
  <w:drawingGridVerticalSpacing w:val="595"/>
  <w:displayHorizontalDrawingGridEvery w:val="1"/>
  <w:displayVerticalDrawingGridEvery w:val="1"/>
  <w:noPunctuationKerning w:val="1"/>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725619"/>
    <w:rsid w:val="000141C4"/>
    <w:rsid w:val="000154B4"/>
    <w:rsid w:val="0003017C"/>
    <w:rsid w:val="00032ABB"/>
    <w:rsid w:val="00036271"/>
    <w:rsid w:val="000456EC"/>
    <w:rsid w:val="00047EE2"/>
    <w:rsid w:val="000575EE"/>
    <w:rsid w:val="000660BD"/>
    <w:rsid w:val="000876C2"/>
    <w:rsid w:val="00095801"/>
    <w:rsid w:val="0009741F"/>
    <w:rsid w:val="000A2C91"/>
    <w:rsid w:val="000A54D1"/>
    <w:rsid w:val="000A609C"/>
    <w:rsid w:val="000A7ED7"/>
    <w:rsid w:val="000B0AA4"/>
    <w:rsid w:val="000B2219"/>
    <w:rsid w:val="000B36C2"/>
    <w:rsid w:val="000B3744"/>
    <w:rsid w:val="000F464D"/>
    <w:rsid w:val="000F5EC0"/>
    <w:rsid w:val="000F6405"/>
    <w:rsid w:val="000F75BB"/>
    <w:rsid w:val="00106115"/>
    <w:rsid w:val="00114CDE"/>
    <w:rsid w:val="001234C3"/>
    <w:rsid w:val="001249FC"/>
    <w:rsid w:val="00127F50"/>
    <w:rsid w:val="00134CC2"/>
    <w:rsid w:val="001436F9"/>
    <w:rsid w:val="00147948"/>
    <w:rsid w:val="00147C54"/>
    <w:rsid w:val="00185013"/>
    <w:rsid w:val="00185D10"/>
    <w:rsid w:val="001905C1"/>
    <w:rsid w:val="00191AAF"/>
    <w:rsid w:val="0019236D"/>
    <w:rsid w:val="001B05E5"/>
    <w:rsid w:val="001C2689"/>
    <w:rsid w:val="001C6A2A"/>
    <w:rsid w:val="001D0790"/>
    <w:rsid w:val="00204BFC"/>
    <w:rsid w:val="002102D5"/>
    <w:rsid w:val="00216E0B"/>
    <w:rsid w:val="00223E8F"/>
    <w:rsid w:val="002374B0"/>
    <w:rsid w:val="00240BD2"/>
    <w:rsid w:val="002471D8"/>
    <w:rsid w:val="00255F0D"/>
    <w:rsid w:val="00260044"/>
    <w:rsid w:val="00267B99"/>
    <w:rsid w:val="002716D4"/>
    <w:rsid w:val="002733EC"/>
    <w:rsid w:val="00273857"/>
    <w:rsid w:val="00285E1C"/>
    <w:rsid w:val="0028781C"/>
    <w:rsid w:val="0029154A"/>
    <w:rsid w:val="00292582"/>
    <w:rsid w:val="002A0896"/>
    <w:rsid w:val="002A0923"/>
    <w:rsid w:val="002A58A9"/>
    <w:rsid w:val="002B7BF1"/>
    <w:rsid w:val="002C077C"/>
    <w:rsid w:val="002D1ACD"/>
    <w:rsid w:val="002D4FD1"/>
    <w:rsid w:val="002E0747"/>
    <w:rsid w:val="002F1C4F"/>
    <w:rsid w:val="002F5DB9"/>
    <w:rsid w:val="00305568"/>
    <w:rsid w:val="00306CEC"/>
    <w:rsid w:val="00315B92"/>
    <w:rsid w:val="00324D8D"/>
    <w:rsid w:val="003300EB"/>
    <w:rsid w:val="0033739A"/>
    <w:rsid w:val="0034091F"/>
    <w:rsid w:val="00342820"/>
    <w:rsid w:val="00355748"/>
    <w:rsid w:val="0036386F"/>
    <w:rsid w:val="003B24DD"/>
    <w:rsid w:val="003B4841"/>
    <w:rsid w:val="003C68A8"/>
    <w:rsid w:val="003D61FA"/>
    <w:rsid w:val="003E3E45"/>
    <w:rsid w:val="003F67CA"/>
    <w:rsid w:val="0042186D"/>
    <w:rsid w:val="00447D4F"/>
    <w:rsid w:val="004666D2"/>
    <w:rsid w:val="00474F2C"/>
    <w:rsid w:val="00476C4A"/>
    <w:rsid w:val="00481050"/>
    <w:rsid w:val="00485D69"/>
    <w:rsid w:val="00495B8A"/>
    <w:rsid w:val="004A2CF7"/>
    <w:rsid w:val="004A4EFA"/>
    <w:rsid w:val="004C053B"/>
    <w:rsid w:val="004E040D"/>
    <w:rsid w:val="004F209A"/>
    <w:rsid w:val="00512D34"/>
    <w:rsid w:val="005244B2"/>
    <w:rsid w:val="00531A3B"/>
    <w:rsid w:val="00531F0D"/>
    <w:rsid w:val="00533E79"/>
    <w:rsid w:val="00536201"/>
    <w:rsid w:val="005373F7"/>
    <w:rsid w:val="005409BB"/>
    <w:rsid w:val="00540A30"/>
    <w:rsid w:val="00556E8E"/>
    <w:rsid w:val="005662D1"/>
    <w:rsid w:val="005755A3"/>
    <w:rsid w:val="00577C5D"/>
    <w:rsid w:val="005B4C82"/>
    <w:rsid w:val="005B6DBD"/>
    <w:rsid w:val="005C02C7"/>
    <w:rsid w:val="005C1A48"/>
    <w:rsid w:val="005C1FD6"/>
    <w:rsid w:val="005C4425"/>
    <w:rsid w:val="005C5A63"/>
    <w:rsid w:val="005C6758"/>
    <w:rsid w:val="005D611C"/>
    <w:rsid w:val="005E137A"/>
    <w:rsid w:val="005F1945"/>
    <w:rsid w:val="005F38A5"/>
    <w:rsid w:val="005F6776"/>
    <w:rsid w:val="00603CF6"/>
    <w:rsid w:val="00612ABA"/>
    <w:rsid w:val="006236B1"/>
    <w:rsid w:val="00634CB9"/>
    <w:rsid w:val="00642194"/>
    <w:rsid w:val="006430D0"/>
    <w:rsid w:val="00645512"/>
    <w:rsid w:val="006470BE"/>
    <w:rsid w:val="00676103"/>
    <w:rsid w:val="00676FA3"/>
    <w:rsid w:val="00682C9A"/>
    <w:rsid w:val="006A4AB5"/>
    <w:rsid w:val="006A67AD"/>
    <w:rsid w:val="006B13C3"/>
    <w:rsid w:val="006B6E6F"/>
    <w:rsid w:val="006C4DEE"/>
    <w:rsid w:val="006D0DC7"/>
    <w:rsid w:val="006D2179"/>
    <w:rsid w:val="00716A44"/>
    <w:rsid w:val="0073056B"/>
    <w:rsid w:val="007318C1"/>
    <w:rsid w:val="00735C40"/>
    <w:rsid w:val="007428A4"/>
    <w:rsid w:val="0074490C"/>
    <w:rsid w:val="00745F18"/>
    <w:rsid w:val="0075370B"/>
    <w:rsid w:val="00754211"/>
    <w:rsid w:val="0076171C"/>
    <w:rsid w:val="0076636C"/>
    <w:rsid w:val="007678E0"/>
    <w:rsid w:val="00771B9F"/>
    <w:rsid w:val="00777B14"/>
    <w:rsid w:val="0078090A"/>
    <w:rsid w:val="007824E9"/>
    <w:rsid w:val="00786D9A"/>
    <w:rsid w:val="00790BB6"/>
    <w:rsid w:val="007A51EA"/>
    <w:rsid w:val="007A6DBD"/>
    <w:rsid w:val="007B3F4A"/>
    <w:rsid w:val="007C1C9F"/>
    <w:rsid w:val="007D496F"/>
    <w:rsid w:val="007E6890"/>
    <w:rsid w:val="007F0991"/>
    <w:rsid w:val="007F25CC"/>
    <w:rsid w:val="00801A32"/>
    <w:rsid w:val="0082522C"/>
    <w:rsid w:val="0082619E"/>
    <w:rsid w:val="00830E92"/>
    <w:rsid w:val="00834658"/>
    <w:rsid w:val="00840483"/>
    <w:rsid w:val="00841735"/>
    <w:rsid w:val="008434EC"/>
    <w:rsid w:val="00845771"/>
    <w:rsid w:val="00851208"/>
    <w:rsid w:val="0086551E"/>
    <w:rsid w:val="00875426"/>
    <w:rsid w:val="008810EB"/>
    <w:rsid w:val="00881CFA"/>
    <w:rsid w:val="00883EBC"/>
    <w:rsid w:val="00893E39"/>
    <w:rsid w:val="008A14AA"/>
    <w:rsid w:val="008A3BF9"/>
    <w:rsid w:val="008A6150"/>
    <w:rsid w:val="008B0527"/>
    <w:rsid w:val="008B2D16"/>
    <w:rsid w:val="008B2F3B"/>
    <w:rsid w:val="008B38C5"/>
    <w:rsid w:val="008D2B4A"/>
    <w:rsid w:val="008E1488"/>
    <w:rsid w:val="008F4791"/>
    <w:rsid w:val="008F4969"/>
    <w:rsid w:val="00900FCC"/>
    <w:rsid w:val="00905236"/>
    <w:rsid w:val="00913912"/>
    <w:rsid w:val="009145A5"/>
    <w:rsid w:val="009179EA"/>
    <w:rsid w:val="009337AA"/>
    <w:rsid w:val="00935495"/>
    <w:rsid w:val="00945CFB"/>
    <w:rsid w:val="00974A7B"/>
    <w:rsid w:val="00984D46"/>
    <w:rsid w:val="00986234"/>
    <w:rsid w:val="00987085"/>
    <w:rsid w:val="009B48F2"/>
    <w:rsid w:val="009D1069"/>
    <w:rsid w:val="009D2501"/>
    <w:rsid w:val="009D6EFB"/>
    <w:rsid w:val="009E1EDF"/>
    <w:rsid w:val="009E1F08"/>
    <w:rsid w:val="009E4A2A"/>
    <w:rsid w:val="009F2087"/>
    <w:rsid w:val="00A02337"/>
    <w:rsid w:val="00A045ED"/>
    <w:rsid w:val="00A130A5"/>
    <w:rsid w:val="00A142E3"/>
    <w:rsid w:val="00A17731"/>
    <w:rsid w:val="00A31294"/>
    <w:rsid w:val="00A31BEE"/>
    <w:rsid w:val="00A44E5E"/>
    <w:rsid w:val="00A53292"/>
    <w:rsid w:val="00A56AC9"/>
    <w:rsid w:val="00A6117F"/>
    <w:rsid w:val="00A727B4"/>
    <w:rsid w:val="00A72F7C"/>
    <w:rsid w:val="00A821AC"/>
    <w:rsid w:val="00AA3892"/>
    <w:rsid w:val="00AB37B3"/>
    <w:rsid w:val="00AB6C59"/>
    <w:rsid w:val="00AB7A05"/>
    <w:rsid w:val="00AD2704"/>
    <w:rsid w:val="00AD4290"/>
    <w:rsid w:val="00AD4865"/>
    <w:rsid w:val="00AE7DFE"/>
    <w:rsid w:val="00AF6B56"/>
    <w:rsid w:val="00B040FE"/>
    <w:rsid w:val="00B206EA"/>
    <w:rsid w:val="00B267AA"/>
    <w:rsid w:val="00B44F5B"/>
    <w:rsid w:val="00B632B3"/>
    <w:rsid w:val="00B842C0"/>
    <w:rsid w:val="00B84E79"/>
    <w:rsid w:val="00BA681F"/>
    <w:rsid w:val="00BB4EE3"/>
    <w:rsid w:val="00BC2F33"/>
    <w:rsid w:val="00BC607F"/>
    <w:rsid w:val="00BD767A"/>
    <w:rsid w:val="00BD789E"/>
    <w:rsid w:val="00BF1173"/>
    <w:rsid w:val="00BF3B65"/>
    <w:rsid w:val="00BF4685"/>
    <w:rsid w:val="00BF6019"/>
    <w:rsid w:val="00C00C3C"/>
    <w:rsid w:val="00C0237E"/>
    <w:rsid w:val="00C2676F"/>
    <w:rsid w:val="00C36201"/>
    <w:rsid w:val="00C45C68"/>
    <w:rsid w:val="00C51D70"/>
    <w:rsid w:val="00C51E28"/>
    <w:rsid w:val="00C60A02"/>
    <w:rsid w:val="00C76BE1"/>
    <w:rsid w:val="00C8287A"/>
    <w:rsid w:val="00C923BA"/>
    <w:rsid w:val="00CA2D49"/>
    <w:rsid w:val="00CA56CF"/>
    <w:rsid w:val="00CA62A8"/>
    <w:rsid w:val="00CB33F7"/>
    <w:rsid w:val="00CC3372"/>
    <w:rsid w:val="00CC744F"/>
    <w:rsid w:val="00CD0CAC"/>
    <w:rsid w:val="00CD2269"/>
    <w:rsid w:val="00CF4AD3"/>
    <w:rsid w:val="00CF4B5E"/>
    <w:rsid w:val="00D03882"/>
    <w:rsid w:val="00D12BFC"/>
    <w:rsid w:val="00D30BF1"/>
    <w:rsid w:val="00D417A6"/>
    <w:rsid w:val="00D46D39"/>
    <w:rsid w:val="00D47F72"/>
    <w:rsid w:val="00D51C31"/>
    <w:rsid w:val="00D56503"/>
    <w:rsid w:val="00D642FC"/>
    <w:rsid w:val="00D7039E"/>
    <w:rsid w:val="00D73A47"/>
    <w:rsid w:val="00D7605A"/>
    <w:rsid w:val="00D76E7E"/>
    <w:rsid w:val="00D77FC5"/>
    <w:rsid w:val="00D80302"/>
    <w:rsid w:val="00D82FCC"/>
    <w:rsid w:val="00D86BF4"/>
    <w:rsid w:val="00D913CF"/>
    <w:rsid w:val="00D948C8"/>
    <w:rsid w:val="00DB730D"/>
    <w:rsid w:val="00DC1F89"/>
    <w:rsid w:val="00DC6627"/>
    <w:rsid w:val="00DD3898"/>
    <w:rsid w:val="00DE77E3"/>
    <w:rsid w:val="00E020C6"/>
    <w:rsid w:val="00E02C2C"/>
    <w:rsid w:val="00E05B34"/>
    <w:rsid w:val="00E061F8"/>
    <w:rsid w:val="00E255A1"/>
    <w:rsid w:val="00E52C07"/>
    <w:rsid w:val="00E619BF"/>
    <w:rsid w:val="00E71AE8"/>
    <w:rsid w:val="00EA35D7"/>
    <w:rsid w:val="00EA62F0"/>
    <w:rsid w:val="00EB457A"/>
    <w:rsid w:val="00EC0B75"/>
    <w:rsid w:val="00ED00DC"/>
    <w:rsid w:val="00ED05E5"/>
    <w:rsid w:val="00ED22E7"/>
    <w:rsid w:val="00ED552C"/>
    <w:rsid w:val="00ED6B52"/>
    <w:rsid w:val="00EE1C30"/>
    <w:rsid w:val="00EE521E"/>
    <w:rsid w:val="00EE721A"/>
    <w:rsid w:val="00EF0677"/>
    <w:rsid w:val="00EF26A6"/>
    <w:rsid w:val="00EF2BA4"/>
    <w:rsid w:val="00EF37EE"/>
    <w:rsid w:val="00F05427"/>
    <w:rsid w:val="00F12F6F"/>
    <w:rsid w:val="00F372EA"/>
    <w:rsid w:val="00F55A94"/>
    <w:rsid w:val="00F569CC"/>
    <w:rsid w:val="00F72566"/>
    <w:rsid w:val="00F74606"/>
    <w:rsid w:val="00F77776"/>
    <w:rsid w:val="00F81362"/>
    <w:rsid w:val="00F903A7"/>
    <w:rsid w:val="00F93BE6"/>
    <w:rsid w:val="00FA414F"/>
    <w:rsid w:val="00FB3B4D"/>
    <w:rsid w:val="00FC402D"/>
    <w:rsid w:val="00FC60D6"/>
    <w:rsid w:val="00FE0268"/>
    <w:rsid w:val="00FE13D6"/>
    <w:rsid w:val="00FF398D"/>
    <w:rsid w:val="010212D3"/>
    <w:rsid w:val="01752EEC"/>
    <w:rsid w:val="01AC54CC"/>
    <w:rsid w:val="0432222E"/>
    <w:rsid w:val="06F1205B"/>
    <w:rsid w:val="07193A6D"/>
    <w:rsid w:val="09055EDD"/>
    <w:rsid w:val="094B5E78"/>
    <w:rsid w:val="09D65705"/>
    <w:rsid w:val="0C081499"/>
    <w:rsid w:val="0DC31288"/>
    <w:rsid w:val="0DD146F3"/>
    <w:rsid w:val="0DEA4C3F"/>
    <w:rsid w:val="0DFE3F97"/>
    <w:rsid w:val="0F327100"/>
    <w:rsid w:val="0F417E94"/>
    <w:rsid w:val="10435587"/>
    <w:rsid w:val="105459B2"/>
    <w:rsid w:val="11635930"/>
    <w:rsid w:val="11B14AB6"/>
    <w:rsid w:val="12DB4186"/>
    <w:rsid w:val="12FA27EF"/>
    <w:rsid w:val="13186808"/>
    <w:rsid w:val="149C6ED6"/>
    <w:rsid w:val="156F6517"/>
    <w:rsid w:val="163B32DA"/>
    <w:rsid w:val="1713100E"/>
    <w:rsid w:val="17C67BCF"/>
    <w:rsid w:val="17CF1E12"/>
    <w:rsid w:val="1A804B59"/>
    <w:rsid w:val="1A9B4AAD"/>
    <w:rsid w:val="1C0C3C77"/>
    <w:rsid w:val="1C8222DC"/>
    <w:rsid w:val="1DA10CC1"/>
    <w:rsid w:val="1DF801B2"/>
    <w:rsid w:val="23F30F1C"/>
    <w:rsid w:val="2494750E"/>
    <w:rsid w:val="251B1BA0"/>
    <w:rsid w:val="25251132"/>
    <w:rsid w:val="25AB3D60"/>
    <w:rsid w:val="264A4F8F"/>
    <w:rsid w:val="26653B78"/>
    <w:rsid w:val="266A70CB"/>
    <w:rsid w:val="279C1A64"/>
    <w:rsid w:val="2808627D"/>
    <w:rsid w:val="288973D9"/>
    <w:rsid w:val="2A03587F"/>
    <w:rsid w:val="2A605831"/>
    <w:rsid w:val="2ABA4B49"/>
    <w:rsid w:val="2B485E02"/>
    <w:rsid w:val="2B4F2784"/>
    <w:rsid w:val="2C1A52FA"/>
    <w:rsid w:val="2C202412"/>
    <w:rsid w:val="2C2D0B4A"/>
    <w:rsid w:val="2C91644C"/>
    <w:rsid w:val="2DB00638"/>
    <w:rsid w:val="2E782D03"/>
    <w:rsid w:val="2F006439"/>
    <w:rsid w:val="30D47492"/>
    <w:rsid w:val="31192F1A"/>
    <w:rsid w:val="32AC3AD3"/>
    <w:rsid w:val="32E36C3E"/>
    <w:rsid w:val="331C7A3F"/>
    <w:rsid w:val="33CA2808"/>
    <w:rsid w:val="33DC12A7"/>
    <w:rsid w:val="344E0782"/>
    <w:rsid w:val="344F456B"/>
    <w:rsid w:val="346F16AA"/>
    <w:rsid w:val="359A44C2"/>
    <w:rsid w:val="36AA1AAF"/>
    <w:rsid w:val="37C335B5"/>
    <w:rsid w:val="38497FF0"/>
    <w:rsid w:val="385B4CC9"/>
    <w:rsid w:val="3A46238F"/>
    <w:rsid w:val="3A5D68B8"/>
    <w:rsid w:val="3B790662"/>
    <w:rsid w:val="3BFF6B0B"/>
    <w:rsid w:val="3C322526"/>
    <w:rsid w:val="3C6F0354"/>
    <w:rsid w:val="3D5868FB"/>
    <w:rsid w:val="3F081032"/>
    <w:rsid w:val="3F235BE8"/>
    <w:rsid w:val="40094FBB"/>
    <w:rsid w:val="404572B9"/>
    <w:rsid w:val="41662FA6"/>
    <w:rsid w:val="42500371"/>
    <w:rsid w:val="444450FB"/>
    <w:rsid w:val="44C63E7E"/>
    <w:rsid w:val="44C77B6B"/>
    <w:rsid w:val="459317E9"/>
    <w:rsid w:val="45E81812"/>
    <w:rsid w:val="46591125"/>
    <w:rsid w:val="46C72C76"/>
    <w:rsid w:val="49A45029"/>
    <w:rsid w:val="4A037E9C"/>
    <w:rsid w:val="4A0E7F9A"/>
    <w:rsid w:val="4B725619"/>
    <w:rsid w:val="4CDA310C"/>
    <w:rsid w:val="4E016B22"/>
    <w:rsid w:val="4E096A6B"/>
    <w:rsid w:val="4E470991"/>
    <w:rsid w:val="4F2E566D"/>
    <w:rsid w:val="4F454AFF"/>
    <w:rsid w:val="4FFE3514"/>
    <w:rsid w:val="509427E0"/>
    <w:rsid w:val="50CC27E1"/>
    <w:rsid w:val="52385D0F"/>
    <w:rsid w:val="52782A7B"/>
    <w:rsid w:val="53CC0384"/>
    <w:rsid w:val="54842746"/>
    <w:rsid w:val="54E6709D"/>
    <w:rsid w:val="55FB3E3B"/>
    <w:rsid w:val="57D350CB"/>
    <w:rsid w:val="58641705"/>
    <w:rsid w:val="59715213"/>
    <w:rsid w:val="599F4978"/>
    <w:rsid w:val="5AA83904"/>
    <w:rsid w:val="5AC025E0"/>
    <w:rsid w:val="5CB8517D"/>
    <w:rsid w:val="5CD33A8C"/>
    <w:rsid w:val="5D1C7825"/>
    <w:rsid w:val="5D423C53"/>
    <w:rsid w:val="5EFE3752"/>
    <w:rsid w:val="61050509"/>
    <w:rsid w:val="63B63274"/>
    <w:rsid w:val="63D22688"/>
    <w:rsid w:val="63F85F50"/>
    <w:rsid w:val="65140308"/>
    <w:rsid w:val="659F4886"/>
    <w:rsid w:val="66747437"/>
    <w:rsid w:val="66C84AAE"/>
    <w:rsid w:val="66CC759D"/>
    <w:rsid w:val="66DA0A03"/>
    <w:rsid w:val="67097636"/>
    <w:rsid w:val="67D873D3"/>
    <w:rsid w:val="68C226E4"/>
    <w:rsid w:val="6A302052"/>
    <w:rsid w:val="6B9133FC"/>
    <w:rsid w:val="6D367BBF"/>
    <w:rsid w:val="6D4A7888"/>
    <w:rsid w:val="6E1A7D08"/>
    <w:rsid w:val="6E8E14A3"/>
    <w:rsid w:val="706B694B"/>
    <w:rsid w:val="70706C59"/>
    <w:rsid w:val="7180525E"/>
    <w:rsid w:val="719459D5"/>
    <w:rsid w:val="72F92F64"/>
    <w:rsid w:val="740B34BA"/>
    <w:rsid w:val="77E172B0"/>
    <w:rsid w:val="783E0E99"/>
    <w:rsid w:val="784F77BB"/>
    <w:rsid w:val="79E0017F"/>
    <w:rsid w:val="7B650D27"/>
    <w:rsid w:val="7B972A5D"/>
    <w:rsid w:val="7C9C14A2"/>
    <w:rsid w:val="7E27012F"/>
    <w:rsid w:val="7E6F4FD7"/>
    <w:rsid w:val="7F613BF7"/>
    <w:rsid w:val="7FDC4D7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32"/>
      <w:sz w:val="32"/>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624"/>
    </w:pPr>
  </w:style>
  <w:style w:type="paragraph" w:styleId="3">
    <w:name w:val="Salutation"/>
    <w:basedOn w:val="1"/>
    <w:next w:val="1"/>
    <w:qFormat/>
    <w:uiPriority w:val="0"/>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paragraph" w:customStyle="1" w:styleId="10">
    <w:name w:val="小小标题"/>
    <w:basedOn w:val="1"/>
    <w:qFormat/>
    <w:uiPriority w:val="0"/>
    <w:pPr>
      <w:ind w:firstLine="624"/>
    </w:pPr>
    <w:rPr>
      <w:rFonts w:eastAsia="楷体_GB2312"/>
      <w:b/>
    </w:rPr>
  </w:style>
  <w:style w:type="paragraph" w:customStyle="1" w:styleId="11">
    <w:name w:val="小标题"/>
    <w:basedOn w:val="1"/>
    <w:qFormat/>
    <w:uiPriority w:val="0"/>
    <w:pPr>
      <w:ind w:firstLine="624"/>
    </w:pPr>
    <w:rPr>
      <w:rFonts w:eastAsia="黑体"/>
    </w:rPr>
  </w:style>
  <w:style w:type="paragraph" w:customStyle="1" w:styleId="12">
    <w:name w:val="大标题"/>
    <w:basedOn w:val="1"/>
    <w:qFormat/>
    <w:uiPriority w:val="0"/>
    <w:pPr>
      <w:snapToGrid w:val="0"/>
      <w:jc w:val="center"/>
    </w:pPr>
    <w:rPr>
      <w:rFonts w:eastAsia="方正大标宋简体"/>
      <w:sz w:val="44"/>
    </w:rPr>
  </w:style>
  <w:style w:type="paragraph" w:customStyle="1" w:styleId="13">
    <w:name w:val="列表段落1"/>
    <w:basedOn w:val="1"/>
    <w:qFormat/>
    <w:uiPriority w:val="99"/>
    <w:pPr>
      <w:ind w:firstLine="420" w:firstLineChars="200"/>
    </w:pPr>
    <w:rPr>
      <w:rFonts w:ascii="Times New Roman" w:hAnsi="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24120;&#29992;&#25991;&#20214;\&#31119;&#24314;&#30465;&#30417;&#29425;&#31649;&#29702;&#23616;&#20415;&#31546;.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福建省监狱管理局便笺</Template>
  <Company>Microsoft</Company>
  <Pages>2</Pages>
  <Words>133</Words>
  <Characters>761</Characters>
  <Lines>6</Lines>
  <Paragraphs>1</Paragraphs>
  <TotalTime>34</TotalTime>
  <ScaleCrop>false</ScaleCrop>
  <LinksUpToDate>false</LinksUpToDate>
  <CharactersWithSpaces>893</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2023-12-07T09:36:00Z</dcterms:created>
  <dc:creator>郑凯宁</dc:creator>
  <cp:lastModifiedBy>Administrator</cp:lastModifiedBy>
  <cp:lastPrinted>2025-12-24T07:21:00Z</cp:lastPrinted>
  <dcterms:modified xsi:type="dcterms:W3CDTF">2026-01-04T00:59:12Z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F81F3805EF7A40D59E4855AEE71CCA2A</vt:lpwstr>
  </property>
</Properties>
</file>