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pacing w:line="440" w:lineRule="exact"/>
        <w:ind w:left="0" w:leftChars="0" w:firstLine="0" w:firstLineChars="0"/>
        <w:jc w:val="center"/>
        <w:textAlignment w:val="auto"/>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福建省</w:t>
      </w:r>
      <w:r>
        <w:rPr>
          <w:rFonts w:hint="eastAsia" w:ascii="方正小标宋简体" w:hAnsi="方正小标宋简体" w:eastAsia="方正小标宋简体" w:cs="方正小标宋简体"/>
          <w:sz w:val="44"/>
          <w:szCs w:val="44"/>
          <w:highlight w:val="none"/>
          <w:lang w:eastAsia="zh-CN"/>
        </w:rPr>
        <w:t>闽西</w:t>
      </w:r>
      <w:r>
        <w:rPr>
          <w:rFonts w:hint="eastAsia" w:ascii="方正小标宋简体" w:hAnsi="方正小标宋简体" w:eastAsia="方正小标宋简体" w:cs="方正小标宋简体"/>
          <w:sz w:val="44"/>
          <w:szCs w:val="44"/>
          <w:highlight w:val="none"/>
        </w:rPr>
        <w:t>监狱</w:t>
      </w:r>
    </w:p>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提请</w:t>
      </w:r>
      <w:r>
        <w:rPr>
          <w:rFonts w:hint="eastAsia" w:ascii="方正小标宋简体" w:hAnsi="方正小标宋简体" w:eastAsia="方正小标宋简体" w:cs="方正小标宋简体"/>
          <w:sz w:val="44"/>
          <w:szCs w:val="44"/>
          <w:highlight w:val="none"/>
          <w:lang w:val="en-US" w:eastAsia="zh-CN"/>
        </w:rPr>
        <w:t>减刑</w:t>
      </w:r>
      <w:r>
        <w:rPr>
          <w:rFonts w:hint="eastAsia" w:ascii="方正小标宋简体" w:hAnsi="方正小标宋简体" w:eastAsia="方正小标宋简体" w:cs="方正小标宋简体"/>
          <w:sz w:val="44"/>
          <w:szCs w:val="44"/>
          <w:highlight w:val="none"/>
        </w:rPr>
        <w:t>假释建议书</w:t>
      </w:r>
    </w:p>
    <w:p>
      <w:pPr>
        <w:keepNext w:val="0"/>
        <w:keepLines w:val="0"/>
        <w:pageBreakBefore w:val="0"/>
        <w:widowControl w:val="0"/>
        <w:kinsoku/>
        <w:wordWrap w:val="0"/>
        <w:overflowPunct/>
        <w:topLinePunct w:val="0"/>
        <w:autoSpaceDE/>
        <w:autoSpaceDN/>
        <w:bidi w:val="0"/>
        <w:adjustRightInd/>
        <w:snapToGrid/>
        <w:spacing w:line="520" w:lineRule="exact"/>
        <w:jc w:val="right"/>
        <w:textAlignment w:val="auto"/>
        <w:rPr>
          <w:rFonts w:hint="eastAsia" w:ascii="CESI楷体-GB2312" w:hAnsi="CESI楷体-GB2312" w:eastAsia="CESI楷体-GB2312" w:cs="CESI楷体-GB2312"/>
          <w:sz w:val="32"/>
          <w:szCs w:val="32"/>
        </w:rPr>
      </w:pPr>
      <w:r>
        <w:rPr>
          <w:rFonts w:hint="eastAsia" w:ascii="楷体_GB2312" w:hAnsi="楷体_GB2312" w:eastAsia="楷体_GB2312" w:cs="楷体_GB2312"/>
          <w:sz w:val="32"/>
          <w:szCs w:val="32"/>
        </w:rPr>
        <w:t>〔202</w:t>
      </w:r>
      <w:r>
        <w:rPr>
          <w:rFonts w:hint="eastAsia" w:ascii="楷体_GB2312" w:hAnsi="楷体_GB2312" w:eastAsia="楷体_GB2312" w:cs="楷体_GB2312"/>
          <w:sz w:val="32"/>
          <w:szCs w:val="32"/>
          <w:lang w:val="en-US" w:eastAsia="zh-CN"/>
        </w:rPr>
        <w:t>6</w:t>
      </w:r>
      <w:r>
        <w:rPr>
          <w:rFonts w:hint="eastAsia" w:ascii="楷体_GB2312" w:hAnsi="楷体_GB2312" w:eastAsia="楷体_GB2312" w:cs="楷体_GB2312"/>
          <w:sz w:val="32"/>
          <w:szCs w:val="32"/>
        </w:rPr>
        <w:t>〕闽西监减</w:t>
      </w:r>
      <w:r>
        <w:rPr>
          <w:rFonts w:hint="eastAsia" w:ascii="楷体_GB2312" w:hAnsi="楷体_GB2312" w:eastAsia="楷体_GB2312" w:cs="楷体_GB2312"/>
          <w:sz w:val="32"/>
          <w:szCs w:val="32"/>
          <w:lang w:eastAsia="zh-CN"/>
        </w:rPr>
        <w:t>假</w:t>
      </w:r>
      <w:r>
        <w:rPr>
          <w:rFonts w:hint="eastAsia" w:ascii="楷体_GB2312" w:hAnsi="楷体_GB2312" w:eastAsia="楷体_GB2312" w:cs="楷体_GB2312"/>
          <w:sz w:val="32"/>
          <w:szCs w:val="32"/>
        </w:rPr>
        <w:t>字</w:t>
      </w:r>
      <w:r>
        <w:rPr>
          <w:rFonts w:hint="eastAsia" w:ascii="楷体_GB2312" w:hAnsi="楷体_GB2312" w:eastAsia="楷体_GB2312" w:cs="楷体_GB2312"/>
          <w:color w:val="000000"/>
          <w:sz w:val="32"/>
          <w:szCs w:val="32"/>
        </w:rPr>
        <w:t>第</w:t>
      </w:r>
      <w:r>
        <w:rPr>
          <w:rFonts w:hint="eastAsia" w:ascii="楷体_GB2312" w:hAnsi="楷体_GB2312" w:eastAsia="楷体_GB2312" w:cs="楷体_GB2312"/>
          <w:sz w:val="32"/>
          <w:szCs w:val="32"/>
          <w:lang w:val="en-US" w:eastAsia="zh-CN"/>
        </w:rPr>
        <w:t>649</w:t>
      </w:r>
      <w:r>
        <w:rPr>
          <w:rFonts w:hint="eastAsia" w:ascii="楷体_GB2312" w:hAnsi="楷体_GB2312" w:eastAsia="楷体_GB2312" w:cs="楷体_GB2312"/>
          <w:sz w:val="32"/>
          <w:szCs w:val="32"/>
        </w:rPr>
        <w:t>号</w:t>
      </w: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罪犯吴达聪，男，1961年9月29日出生，汉族，小学文化，户籍地福建省云霄县，捕前系个体经营者。</w:t>
      </w:r>
    </w:p>
    <w:p>
      <w:pPr>
        <w:spacing w:line="580" w:lineRule="exact"/>
        <w:ind w:firstLine="640" w:firstLineChars="200"/>
        <w:rPr>
          <w:rFonts w:hint="eastAsia" w:ascii="仿宋_GB2312" w:hAnsi="仿宋_GB2312" w:eastAsia="仿宋_GB2312" w:cs="仿宋_GB2312"/>
          <w:color w:val="000000"/>
          <w:szCs w:val="32"/>
          <w:lang w:eastAsia="zh-CN"/>
        </w:rPr>
      </w:pPr>
      <w:r>
        <w:rPr>
          <w:rFonts w:hint="eastAsia" w:ascii="仿宋_GB2312" w:hAnsi="仿宋_GB2312" w:eastAsia="仿宋_GB2312" w:cs="仿宋_GB2312"/>
          <w:color w:val="000000"/>
          <w:szCs w:val="32"/>
          <w:lang w:eastAsia="zh-CN"/>
        </w:rPr>
        <w:t>福建省漳州市龙海区人民法院于2025年8月20日作出（2025）闽0681刑初459号刑事判决，</w:t>
      </w:r>
      <w:r>
        <w:rPr>
          <w:rFonts w:hint="eastAsia" w:ascii="仿宋_GB2312" w:hAnsi="仿宋_GB2312" w:cs="仿宋_GB2312"/>
          <w:color w:val="000000"/>
          <w:szCs w:val="32"/>
          <w:lang w:eastAsia="zh-CN"/>
        </w:rPr>
        <w:t>以</w:t>
      </w:r>
      <w:r>
        <w:rPr>
          <w:rFonts w:hint="eastAsia" w:ascii="仿宋_GB2312" w:hAnsi="仿宋_GB2312" w:eastAsia="仿宋_GB2312" w:cs="仿宋_GB2312"/>
          <w:color w:val="000000"/>
          <w:szCs w:val="32"/>
          <w:lang w:eastAsia="zh-CN"/>
        </w:rPr>
        <w:t>被告人吴达聪犯行贿罪，判处有期徒刑二年一个月，并处罚金人民币十万元；犯串通投标罪，判处有期徒刑六个月，并处罚金人民币十万元，决定执行有期徒刑二年二个月，并处罚金人民币二十万（已缴纳），退出违法所得25210.55元（已缴纳）。刑期自2024年12月10日起至2026年11月24日止。2025年9月22日交付福建省闽西监狱执行刑罚。现属普管级罪犯。</w:t>
      </w:r>
    </w:p>
    <w:p>
      <w:pPr>
        <w:spacing w:line="580" w:lineRule="exact"/>
        <w:ind w:firstLine="640" w:firstLineChars="200"/>
        <w:rPr>
          <w:rFonts w:hint="eastAsia" w:ascii="仿宋_GB2312" w:hAnsi="仿宋_GB2312" w:eastAsia="仿宋_GB2312" w:cs="仿宋_GB2312"/>
          <w:color w:val="000000"/>
          <w:szCs w:val="32"/>
          <w:lang w:val="en-US" w:eastAsia="zh-CN"/>
        </w:rPr>
      </w:pPr>
      <w:r>
        <w:rPr>
          <w:rFonts w:hint="eastAsia" w:ascii="仿宋_GB2312" w:hAnsi="仿宋_GB2312" w:eastAsia="仿宋_GB2312" w:cs="仿宋_GB2312"/>
          <w:color w:val="000000"/>
          <w:szCs w:val="32"/>
        </w:rPr>
        <w:t>原判主要犯罪事实：</w:t>
      </w:r>
      <w:r>
        <w:rPr>
          <w:rFonts w:hint="eastAsia" w:ascii="仿宋_GB2312" w:hAnsi="仿宋_GB2312" w:eastAsia="仿宋_GB2312" w:cs="仿宋_GB2312"/>
          <w:color w:val="000000"/>
          <w:szCs w:val="32"/>
          <w:lang w:val="en-US" w:eastAsia="zh-CN"/>
        </w:rPr>
        <w:t>2019年底的一天，该犯为了谋取承接业主为云霄县住房和城乡建设局的绿化类等项目的竞争优势，并希望在项目验收、款项拨付等方面得到时任云霄县住建局局长柳</w:t>
      </w:r>
      <w:r>
        <w:rPr>
          <w:rFonts w:hint="eastAsia" w:ascii="仿宋_GB2312" w:hAnsi="仿宋_GB2312" w:cs="仿宋_GB2312"/>
          <w:color w:val="000000"/>
          <w:szCs w:val="32"/>
          <w:lang w:val="en-US" w:eastAsia="zh-CN"/>
        </w:rPr>
        <w:t>某</w:t>
      </w:r>
      <w:r>
        <w:rPr>
          <w:rFonts w:hint="eastAsia" w:ascii="仿宋_GB2312" w:hAnsi="仿宋_GB2312" w:eastAsia="仿宋_GB2312" w:cs="仿宋_GB2312"/>
          <w:color w:val="000000"/>
          <w:szCs w:val="32"/>
          <w:lang w:val="en-US" w:eastAsia="zh-CN"/>
        </w:rPr>
        <w:t>的关照和支持，即向柳</w:t>
      </w:r>
      <w:r>
        <w:rPr>
          <w:rFonts w:hint="eastAsia" w:ascii="仿宋_GB2312" w:hAnsi="仿宋_GB2312" w:cs="仿宋_GB2312"/>
          <w:color w:val="000000"/>
          <w:szCs w:val="32"/>
          <w:lang w:val="en-US" w:eastAsia="zh-CN"/>
        </w:rPr>
        <w:t>某</w:t>
      </w:r>
      <w:r>
        <w:rPr>
          <w:rFonts w:hint="eastAsia" w:ascii="仿宋_GB2312" w:hAnsi="仿宋_GB2312" w:eastAsia="仿宋_GB2312" w:cs="仿宋_GB2312"/>
          <w:color w:val="000000"/>
          <w:szCs w:val="32"/>
          <w:lang w:val="en-US" w:eastAsia="zh-CN"/>
        </w:rPr>
        <w:t>提出将云霄县住建局绿化类等项目继续让其承接，并承诺每月向柳</w:t>
      </w:r>
      <w:r>
        <w:rPr>
          <w:rFonts w:hint="eastAsia" w:ascii="仿宋_GB2312" w:hAnsi="仿宋_GB2312" w:cs="仿宋_GB2312"/>
          <w:color w:val="000000"/>
          <w:szCs w:val="32"/>
          <w:lang w:val="en-US" w:eastAsia="zh-CN"/>
        </w:rPr>
        <w:t>某</w:t>
      </w:r>
      <w:r>
        <w:rPr>
          <w:rFonts w:hint="eastAsia" w:ascii="仿宋_GB2312" w:hAnsi="仿宋_GB2312" w:eastAsia="仿宋_GB2312" w:cs="仿宋_GB2312"/>
          <w:color w:val="000000"/>
          <w:szCs w:val="32"/>
          <w:lang w:val="en-US" w:eastAsia="zh-CN"/>
        </w:rPr>
        <w:t>送款人民币2万元，柳</w:t>
      </w:r>
      <w:r>
        <w:rPr>
          <w:rFonts w:hint="eastAsia" w:ascii="仿宋_GB2312" w:hAnsi="仿宋_GB2312" w:cs="仿宋_GB2312"/>
          <w:color w:val="000000"/>
          <w:szCs w:val="32"/>
          <w:lang w:val="en-US" w:eastAsia="zh-CN"/>
        </w:rPr>
        <w:t>某</w:t>
      </w:r>
      <w:r>
        <w:rPr>
          <w:rFonts w:hint="eastAsia" w:ascii="仿宋_GB2312" w:hAnsi="仿宋_GB2312" w:eastAsia="仿宋_GB2312" w:cs="仿宋_GB2312"/>
          <w:color w:val="000000"/>
          <w:szCs w:val="32"/>
          <w:lang w:val="en-US" w:eastAsia="zh-CN"/>
        </w:rPr>
        <w:t>同意并要求将钱款折算成同等价值的香烟。2020年1月至2023年7月间，该犯均将2万元折成22条香烟，先后37次贿送给柳</w:t>
      </w:r>
      <w:r>
        <w:rPr>
          <w:rFonts w:hint="eastAsia" w:ascii="仿宋_GB2312" w:hAnsi="仿宋_GB2312" w:cs="仿宋_GB2312"/>
          <w:color w:val="000000"/>
          <w:szCs w:val="32"/>
          <w:lang w:val="en-US" w:eastAsia="zh-CN"/>
        </w:rPr>
        <w:t>某</w:t>
      </w:r>
      <w:bookmarkStart w:id="0" w:name="_GoBack"/>
      <w:bookmarkEnd w:id="0"/>
      <w:r>
        <w:rPr>
          <w:rFonts w:hint="eastAsia" w:ascii="仿宋_GB2312" w:hAnsi="仿宋_GB2312" w:eastAsia="仿宋_GB2312" w:cs="仿宋_GB2312"/>
          <w:color w:val="000000"/>
          <w:szCs w:val="32"/>
          <w:lang w:val="en-US" w:eastAsia="zh-CN"/>
        </w:rPr>
        <w:t>。2018年8、9月间，该犯挂靠漳州凯盛公司参与投标，并安排公司进行陪标。后凯盛公司顺利中标该项目，中标金额为691.2万元，该犯取得该项目的经营权。2021年8、9月间，该犯挂靠凯盛公司参与投标，并安排公司进行陪标</w:t>
      </w:r>
      <w:r>
        <w:rPr>
          <w:rFonts w:hint="eastAsia" w:ascii="仿宋_GB2312" w:hAnsi="仿宋_GB2312" w:cs="仿宋_GB2312"/>
          <w:color w:val="000000"/>
          <w:szCs w:val="32"/>
          <w:lang w:val="en-US" w:eastAsia="zh-CN"/>
        </w:rPr>
        <w:t>，</w:t>
      </w:r>
      <w:r>
        <w:rPr>
          <w:rFonts w:hint="eastAsia" w:ascii="仿宋_GB2312" w:hAnsi="仿宋_GB2312" w:eastAsia="仿宋_GB2312" w:cs="仿宋_GB2312"/>
          <w:color w:val="000000"/>
          <w:szCs w:val="32"/>
          <w:lang w:val="en-US" w:eastAsia="zh-CN"/>
        </w:rPr>
        <w:t>后凯盛公司顺利中标，中标金额601.262468万元，该犯取得该项目的经营权。</w:t>
      </w: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该犯</w:t>
      </w:r>
      <w:r>
        <w:rPr>
          <w:rFonts w:hint="eastAsia" w:ascii="仿宋_GB2312" w:hAnsi="仿宋_GB2312" w:eastAsia="仿宋_GB2312" w:cs="仿宋_GB2312"/>
          <w:color w:val="000000"/>
          <w:szCs w:val="32"/>
          <w:lang w:val="en-US" w:eastAsia="zh-CN"/>
        </w:rPr>
        <w:t>在刑罚执行期间</w:t>
      </w:r>
      <w:r>
        <w:rPr>
          <w:rFonts w:hint="eastAsia" w:ascii="仿宋_GB2312" w:hAnsi="仿宋_GB2312" w:eastAsia="仿宋_GB2312" w:cs="仿宋_GB2312"/>
          <w:color w:val="000000"/>
          <w:szCs w:val="32"/>
        </w:rPr>
        <w:t>确有悔改表现</w:t>
      </w:r>
      <w:r>
        <w:rPr>
          <w:rFonts w:hint="eastAsia" w:ascii="仿宋_GB2312" w:hAnsi="仿宋_GB2312" w:eastAsia="仿宋_GB2312" w:cs="仿宋_GB2312"/>
          <w:color w:val="000000"/>
          <w:szCs w:val="32"/>
          <w:lang w:eastAsia="zh-CN"/>
        </w:rPr>
        <w:t>，</w:t>
      </w:r>
      <w:r>
        <w:rPr>
          <w:rFonts w:hint="eastAsia" w:ascii="仿宋_GB2312" w:hAnsi="仿宋_GB2312" w:eastAsia="仿宋_GB2312" w:cs="仿宋_GB2312"/>
          <w:color w:val="000000"/>
          <w:szCs w:val="32"/>
        </w:rPr>
        <w:t>具体事实如下：</w:t>
      </w: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认罪悔罪：能服从法院判决，自书认罪悔罪书。</w:t>
      </w: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遵守监规：能遵守法律法规及监规纪律，接受教育改造。</w:t>
      </w: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学习情况：能参加思想、文化、职业技术教育。</w:t>
      </w: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劳动改造：能参加劳动，努力完成劳动任务。</w:t>
      </w: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奖惩情况：该犯考核期2025年9月22日至2026年3月累计获考核分445分；</w:t>
      </w:r>
      <w:r>
        <w:rPr>
          <w:rFonts w:hint="eastAsia" w:ascii="仿宋_GB2312" w:hAnsi="仿宋_GB2312" w:cs="仿宋_GB2312"/>
          <w:color w:val="000000"/>
          <w:szCs w:val="32"/>
          <w:lang w:eastAsia="zh-CN"/>
        </w:rPr>
        <w:t>考核期内</w:t>
      </w:r>
      <w:r>
        <w:rPr>
          <w:rFonts w:hint="eastAsia" w:ascii="仿宋_GB2312" w:hAnsi="仿宋_GB2312" w:eastAsia="仿宋_GB2312" w:cs="仿宋_GB2312"/>
          <w:color w:val="000000"/>
          <w:szCs w:val="32"/>
        </w:rPr>
        <w:t xml:space="preserve">无违规扣分。 </w:t>
      </w: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该犯原判财产性判项已</w:t>
      </w:r>
      <w:r>
        <w:rPr>
          <w:rFonts w:hint="eastAsia" w:ascii="仿宋_GB2312" w:hAnsi="仿宋_GB2312" w:cs="仿宋_GB2312"/>
          <w:color w:val="000000"/>
          <w:szCs w:val="32"/>
          <w:lang w:eastAsia="zh-CN"/>
        </w:rPr>
        <w:t>履行</w:t>
      </w:r>
      <w:r>
        <w:rPr>
          <w:rFonts w:hint="eastAsia" w:ascii="仿宋_GB2312" w:hAnsi="仿宋_GB2312" w:eastAsia="仿宋_GB2312" w:cs="仿宋_GB2312"/>
          <w:color w:val="000000"/>
          <w:szCs w:val="32"/>
        </w:rPr>
        <w:t>完毕，本事实有福建省漳州市龙海区人民法院</w:t>
      </w:r>
      <w:r>
        <w:rPr>
          <w:rFonts w:hint="eastAsia" w:ascii="仿宋_GB2312" w:hAnsi="仿宋_GB2312" w:cs="仿宋_GB2312"/>
          <w:color w:val="000000"/>
          <w:szCs w:val="32"/>
          <w:lang w:eastAsia="zh-CN"/>
        </w:rPr>
        <w:t>出具的</w:t>
      </w:r>
      <w:r>
        <w:rPr>
          <w:rFonts w:hint="eastAsia" w:ascii="仿宋_GB2312" w:hAnsi="仿宋_GB2312" w:eastAsia="仿宋_GB2312" w:cs="仿宋_GB2312"/>
          <w:color w:val="000000"/>
          <w:szCs w:val="32"/>
        </w:rPr>
        <w:t>（2025）闽0681刑初459号刑事判决书、《罪犯刑事附带民事赔偿及刑事裁定中财产刑等执行情况一览表》等证据予以证实，足以认定。</w:t>
      </w:r>
    </w:p>
    <w:p>
      <w:pPr>
        <w:spacing w:line="580" w:lineRule="exact"/>
        <w:ind w:firstLine="640" w:firstLineChars="200"/>
        <w:rPr>
          <w:rFonts w:hint="eastAsia" w:ascii="仿宋_GB2312" w:hAnsi="仿宋_GB2312" w:eastAsia="仿宋_GB2312" w:cs="仿宋_GB2312"/>
          <w:color w:val="000000"/>
          <w:szCs w:val="32"/>
          <w:lang w:eastAsia="zh-CN"/>
        </w:rPr>
      </w:pPr>
      <w:r>
        <w:rPr>
          <w:rFonts w:hint="eastAsia" w:ascii="仿宋_GB2312" w:hAnsi="仿宋_GB2312" w:eastAsia="仿宋_GB2312" w:cs="仿宋_GB2312"/>
          <w:color w:val="000000"/>
          <w:szCs w:val="32"/>
          <w:lang w:val="en-US" w:eastAsia="zh-CN"/>
        </w:rPr>
        <w:t>社会帮教情况：福建省</w:t>
      </w:r>
      <w:r>
        <w:rPr>
          <w:rFonts w:hint="eastAsia" w:ascii="仿宋_GB2312" w:hAnsi="仿宋" w:eastAsia="仿宋_GB2312" w:cs="仿宋"/>
          <w:kern w:val="0"/>
          <w:sz w:val="32"/>
          <w:szCs w:val="32"/>
          <w:shd w:val="clear" w:color="auto" w:fill="FFFFFF"/>
          <w:lang w:eastAsia="zh-CN"/>
        </w:rPr>
        <w:t>漳州市云霄县</w:t>
      </w:r>
      <w:r>
        <w:rPr>
          <w:rFonts w:hint="eastAsia" w:ascii="仿宋_GB2312" w:hAnsi="仿宋" w:eastAsia="仿宋_GB2312" w:cs="仿宋"/>
          <w:kern w:val="0"/>
          <w:sz w:val="32"/>
          <w:szCs w:val="32"/>
          <w:shd w:val="clear" w:color="auto" w:fill="FFFFFF"/>
        </w:rPr>
        <w:t>社区矫正管理局</w:t>
      </w:r>
      <w:r>
        <w:rPr>
          <w:rFonts w:hint="eastAsia" w:ascii="仿宋_GB2312" w:hAnsi="仿宋_GB2312" w:eastAsia="仿宋_GB2312" w:cs="仿宋_GB2312"/>
          <w:color w:val="000000"/>
          <w:szCs w:val="32"/>
        </w:rPr>
        <w:t>于</w:t>
      </w:r>
      <w:r>
        <w:rPr>
          <w:rFonts w:hint="eastAsia" w:ascii="仿宋_GB2312" w:hAnsi="仿宋_GB2312" w:eastAsia="仿宋_GB2312" w:cs="仿宋_GB2312"/>
          <w:color w:val="000000"/>
          <w:szCs w:val="32"/>
          <w:lang w:val="en-US" w:eastAsia="zh-CN"/>
        </w:rPr>
        <w:t>2026</w:t>
      </w:r>
      <w:r>
        <w:rPr>
          <w:rFonts w:hint="eastAsia" w:ascii="仿宋_GB2312" w:hAnsi="仿宋_GB2312" w:eastAsia="仿宋_GB2312" w:cs="仿宋_GB2312"/>
          <w:color w:val="000000"/>
          <w:szCs w:val="32"/>
        </w:rPr>
        <w:t>年</w:t>
      </w:r>
      <w:r>
        <w:rPr>
          <w:rFonts w:hint="eastAsia" w:ascii="仿宋_GB2312" w:hAnsi="仿宋_GB2312" w:eastAsia="仿宋_GB2312" w:cs="仿宋_GB2312"/>
          <w:color w:val="000000"/>
          <w:szCs w:val="32"/>
          <w:lang w:val="en-US" w:eastAsia="zh-CN"/>
        </w:rPr>
        <w:t>4</w:t>
      </w:r>
      <w:r>
        <w:rPr>
          <w:rFonts w:hint="eastAsia" w:ascii="仿宋_GB2312" w:hAnsi="仿宋_GB2312" w:eastAsia="仿宋_GB2312" w:cs="仿宋_GB2312"/>
          <w:color w:val="000000"/>
          <w:szCs w:val="32"/>
        </w:rPr>
        <w:t>月</w:t>
      </w:r>
      <w:r>
        <w:rPr>
          <w:rFonts w:hint="eastAsia" w:ascii="仿宋_GB2312" w:hAnsi="仿宋_GB2312" w:eastAsia="仿宋_GB2312" w:cs="仿宋_GB2312"/>
          <w:color w:val="000000"/>
          <w:szCs w:val="32"/>
          <w:lang w:val="en-US" w:eastAsia="zh-CN"/>
        </w:rPr>
        <w:t>2</w:t>
      </w:r>
      <w:r>
        <w:rPr>
          <w:rFonts w:hint="eastAsia" w:ascii="仿宋_GB2312" w:hAnsi="仿宋_GB2312" w:cs="仿宋_GB2312"/>
          <w:color w:val="000000"/>
          <w:szCs w:val="32"/>
          <w:lang w:val="en-US" w:eastAsia="zh-CN"/>
        </w:rPr>
        <w:t>8</w:t>
      </w:r>
      <w:r>
        <w:rPr>
          <w:rFonts w:hint="eastAsia" w:ascii="仿宋_GB2312" w:hAnsi="仿宋_GB2312" w:eastAsia="仿宋_GB2312" w:cs="仿宋_GB2312"/>
          <w:color w:val="000000"/>
          <w:szCs w:val="32"/>
        </w:rPr>
        <w:t>日出具</w:t>
      </w:r>
      <w:r>
        <w:rPr>
          <w:rFonts w:hint="eastAsia" w:ascii="仿宋_GB2312" w:hAnsi="仿宋" w:eastAsia="仿宋_GB2312" w:cs="仿宋"/>
          <w:kern w:val="0"/>
          <w:sz w:val="32"/>
          <w:szCs w:val="32"/>
          <w:shd w:val="clear" w:color="auto" w:fill="FFFFFF"/>
        </w:rPr>
        <w:t>[20</w:t>
      </w:r>
      <w:r>
        <w:rPr>
          <w:rFonts w:hint="eastAsia" w:ascii="仿宋_GB2312" w:hAnsi="仿宋" w:eastAsia="仿宋_GB2312" w:cs="仿宋"/>
          <w:kern w:val="0"/>
          <w:sz w:val="32"/>
          <w:szCs w:val="32"/>
          <w:shd w:val="clear" w:color="auto" w:fill="FFFFFF"/>
          <w:lang w:val="en-US" w:eastAsia="zh-CN"/>
        </w:rPr>
        <w:t>26</w:t>
      </w:r>
      <w:r>
        <w:rPr>
          <w:rFonts w:hint="eastAsia" w:ascii="仿宋_GB2312" w:hAnsi="仿宋" w:eastAsia="仿宋_GB2312" w:cs="仿宋"/>
          <w:kern w:val="0"/>
          <w:sz w:val="32"/>
          <w:szCs w:val="32"/>
          <w:shd w:val="clear" w:color="auto" w:fill="FFFFFF"/>
        </w:rPr>
        <w:t>]</w:t>
      </w:r>
      <w:r>
        <w:rPr>
          <w:rFonts w:hint="eastAsia" w:ascii="仿宋_GB2312" w:hAnsi="仿宋" w:eastAsia="仿宋_GB2312" w:cs="仿宋"/>
          <w:kern w:val="0"/>
          <w:sz w:val="32"/>
          <w:szCs w:val="32"/>
          <w:shd w:val="clear" w:color="auto" w:fill="FFFFFF"/>
          <w:lang w:eastAsia="zh-CN"/>
        </w:rPr>
        <w:t>云矫</w:t>
      </w:r>
      <w:r>
        <w:rPr>
          <w:rFonts w:hint="eastAsia" w:ascii="仿宋_GB2312" w:hAnsi="仿宋" w:eastAsia="仿宋_GB2312" w:cs="仿宋"/>
          <w:kern w:val="0"/>
          <w:sz w:val="32"/>
          <w:szCs w:val="32"/>
          <w:shd w:val="clear" w:color="auto" w:fill="FFFFFF"/>
        </w:rPr>
        <w:t>调字第</w:t>
      </w:r>
      <w:r>
        <w:rPr>
          <w:rFonts w:hint="eastAsia" w:ascii="仿宋_GB2312" w:hAnsi="仿宋" w:eastAsia="仿宋_GB2312" w:cs="仿宋"/>
          <w:kern w:val="0"/>
          <w:sz w:val="32"/>
          <w:szCs w:val="32"/>
          <w:shd w:val="clear" w:color="auto" w:fill="FFFFFF"/>
          <w:lang w:val="en-US" w:eastAsia="zh-CN"/>
        </w:rPr>
        <w:t>76</w:t>
      </w:r>
      <w:r>
        <w:rPr>
          <w:rFonts w:hint="eastAsia" w:ascii="仿宋_GB2312" w:hAnsi="仿宋" w:eastAsia="仿宋_GB2312" w:cs="仿宋"/>
          <w:kern w:val="0"/>
          <w:sz w:val="32"/>
          <w:szCs w:val="32"/>
          <w:shd w:val="clear" w:color="auto" w:fill="FFFFFF"/>
        </w:rPr>
        <w:t>号</w:t>
      </w:r>
      <w:r>
        <w:rPr>
          <w:rFonts w:hint="eastAsia" w:ascii="仿宋_GB2312" w:hAnsi="仿宋_GB2312" w:eastAsia="仿宋_GB2312" w:cs="仿宋_GB2312"/>
          <w:color w:val="000000"/>
          <w:szCs w:val="32"/>
        </w:rPr>
        <w:t>《调查评估意见书》</w:t>
      </w:r>
      <w:r>
        <w:rPr>
          <w:rFonts w:hint="eastAsia" w:ascii="仿宋_GB2312" w:hAnsi="仿宋_GB2312" w:eastAsia="仿宋_GB2312" w:cs="仿宋_GB2312"/>
          <w:color w:val="000000"/>
          <w:szCs w:val="32"/>
          <w:lang w:val="en-US" w:eastAsia="zh-CN"/>
        </w:rPr>
        <w:t>:</w:t>
      </w:r>
      <w:r>
        <w:rPr>
          <w:rFonts w:hint="eastAsia" w:ascii="仿宋_GB2312" w:hAnsi="仿宋_GB2312" w:eastAsia="仿宋_GB2312" w:cs="仿宋_GB2312"/>
          <w:color w:val="000000"/>
          <w:szCs w:val="32"/>
        </w:rPr>
        <w:t>评估意见为罪犯</w:t>
      </w:r>
      <w:r>
        <w:rPr>
          <w:rFonts w:hint="eastAsia" w:ascii="仿宋_GB2312" w:hAnsi="仿宋_GB2312" w:cs="仿宋_GB2312"/>
          <w:color w:val="000000"/>
          <w:szCs w:val="32"/>
          <w:lang w:val="en-US" w:eastAsia="zh-CN"/>
        </w:rPr>
        <w:t>吴达聪</w:t>
      </w:r>
      <w:r>
        <w:rPr>
          <w:rFonts w:hint="eastAsia" w:ascii="仿宋_GB2312" w:hAnsi="仿宋_GB2312" w:eastAsia="仿宋_GB2312" w:cs="仿宋_GB2312"/>
          <w:color w:val="000000"/>
          <w:szCs w:val="32"/>
        </w:rPr>
        <w:t>适用社区矫正。</w:t>
      </w:r>
    </w:p>
    <w:p>
      <w:pPr>
        <w:spacing w:line="580" w:lineRule="exact"/>
        <w:ind w:firstLine="640" w:firstLineChars="200"/>
        <w:rPr>
          <w:rFonts w:hint="eastAsia" w:ascii="仿宋_GB2312" w:hAnsi="仿宋_GB2312" w:eastAsia="仿宋_GB2312" w:cs="仿宋_GB2312"/>
          <w:color w:val="000000"/>
          <w:szCs w:val="32"/>
          <w:lang w:val="en-US" w:eastAsia="zh-CN"/>
        </w:rPr>
      </w:pPr>
      <w:r>
        <w:rPr>
          <w:rFonts w:hint="eastAsia" w:ascii="仿宋_GB2312" w:hAnsi="仿宋_GB2312" w:eastAsia="仿宋_GB2312" w:cs="仿宋_GB2312"/>
          <w:color w:val="000000"/>
          <w:szCs w:val="32"/>
          <w:lang w:val="en-US" w:eastAsia="zh-CN"/>
        </w:rPr>
        <w:t>危险性评估情况：</w:t>
      </w:r>
      <w:r>
        <w:rPr>
          <w:rFonts w:hint="eastAsia" w:ascii="仿宋_GB2312" w:hAnsi="仿宋_GB2312" w:eastAsia="仿宋_GB2312" w:cs="仿宋_GB2312"/>
          <w:color w:val="000000"/>
          <w:szCs w:val="32"/>
        </w:rPr>
        <w:t>一般风险等级。</w:t>
      </w: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本案于</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日至</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日</w:t>
      </w:r>
      <w:r>
        <w:rPr>
          <w:rFonts w:hint="eastAsia" w:ascii="仿宋_GB2312" w:hAnsi="仿宋_GB2312" w:eastAsia="仿宋_GB2312" w:cs="仿宋_GB2312"/>
          <w:color w:val="000000"/>
          <w:szCs w:val="32"/>
        </w:rPr>
        <w:t>在狱内公示未收到不同意见。</w:t>
      </w: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lang w:val="en-US" w:eastAsia="zh-CN"/>
        </w:rPr>
        <w:t>综上，罪犯</w:t>
      </w:r>
      <w:r>
        <w:rPr>
          <w:rFonts w:hint="eastAsia" w:ascii="仿宋_GB2312" w:hAnsi="仿宋_GB2312" w:cs="仿宋_GB2312"/>
          <w:color w:val="000000"/>
          <w:szCs w:val="32"/>
          <w:lang w:val="en-US" w:eastAsia="zh-CN"/>
        </w:rPr>
        <w:t>吴达聪</w:t>
      </w:r>
      <w:r>
        <w:rPr>
          <w:rFonts w:hint="eastAsia" w:ascii="仿宋_GB2312" w:hAnsi="仿宋_GB2312" w:eastAsia="仿宋_GB2312" w:cs="仿宋_GB2312"/>
          <w:color w:val="000000"/>
          <w:szCs w:val="32"/>
          <w:lang w:val="en-US" w:eastAsia="zh-CN"/>
        </w:rPr>
        <w:t>在刑罚执行期间确有悔改表现，执行刑期已过二分之一，符合假释和减刑条件，</w:t>
      </w:r>
      <w:r>
        <w:rPr>
          <w:rFonts w:hint="eastAsia" w:ascii="仿宋_GB2312" w:hAnsi="仿宋_GB2312" w:eastAsia="仿宋_GB2312" w:cs="仿宋_GB2312"/>
          <w:color w:val="000000"/>
          <w:szCs w:val="32"/>
        </w:rPr>
        <w:t>依照《中华人民共和国刑法》第七十八条、第七十九条</w:t>
      </w:r>
      <w:r>
        <w:rPr>
          <w:rFonts w:hint="eastAsia" w:ascii="仿宋_GB2312" w:hAnsi="仿宋_GB2312" w:eastAsia="仿宋_GB2312" w:cs="仿宋_GB2312"/>
          <w:color w:val="000000"/>
          <w:szCs w:val="32"/>
          <w:lang w:eastAsia="zh-CN"/>
        </w:rPr>
        <w:t>、</w:t>
      </w:r>
      <w:r>
        <w:rPr>
          <w:rFonts w:hint="eastAsia" w:ascii="仿宋_GB2312" w:hAnsi="仿宋_GB2312" w:eastAsia="仿宋_GB2312" w:cs="仿宋_GB2312"/>
          <w:color w:val="000000"/>
          <w:szCs w:val="32"/>
        </w:rPr>
        <w:t>第八十一条、八十三条，《中华人民共和国刑事诉讼法》第二百七十三条第二款</w:t>
      </w:r>
      <w:r>
        <w:rPr>
          <w:rFonts w:hint="eastAsia" w:ascii="仿宋_GB2312" w:hAnsi="仿宋_GB2312" w:eastAsia="仿宋_GB2312" w:cs="仿宋_GB2312"/>
          <w:color w:val="000000"/>
          <w:szCs w:val="32"/>
          <w:lang w:eastAsia="zh-CN"/>
        </w:rPr>
        <w:t>，</w:t>
      </w:r>
      <w:r>
        <w:rPr>
          <w:rFonts w:hint="eastAsia" w:ascii="仿宋_GB2312" w:hAnsi="仿宋_GB2312" w:eastAsia="仿宋_GB2312" w:cs="仿宋_GB2312"/>
          <w:color w:val="000000"/>
          <w:szCs w:val="32"/>
        </w:rPr>
        <w:t>《中华人民共和国监狱法》</w:t>
      </w:r>
      <w:r>
        <w:rPr>
          <w:rFonts w:hint="eastAsia" w:ascii="仿宋_GB2312" w:hAnsi="仿宋_GB2312" w:eastAsia="仿宋_GB2312" w:cs="仿宋_GB2312"/>
          <w:color w:val="000000"/>
          <w:szCs w:val="32"/>
          <w:lang w:val="en-US" w:eastAsia="zh-CN"/>
        </w:rPr>
        <w:t>第二十九条、</w:t>
      </w:r>
      <w:r>
        <w:rPr>
          <w:rFonts w:hint="eastAsia" w:ascii="仿宋_GB2312" w:hAnsi="仿宋_GB2312" w:eastAsia="仿宋_GB2312" w:cs="仿宋_GB2312"/>
          <w:color w:val="000000"/>
          <w:szCs w:val="32"/>
        </w:rPr>
        <w:t>第三十二条，</w:t>
      </w:r>
      <w:r>
        <w:rPr>
          <w:rFonts w:hint="eastAsia" w:ascii="仿宋_GB2312" w:hAnsi="仿宋_GB2312" w:eastAsia="仿宋_GB2312" w:cs="仿宋_GB2312"/>
          <w:color w:val="000000"/>
          <w:szCs w:val="32"/>
          <w:lang w:eastAsia="zh-CN"/>
        </w:rPr>
        <w:t>《</w:t>
      </w:r>
      <w:r>
        <w:rPr>
          <w:rFonts w:hint="eastAsia" w:ascii="仿宋_GB2312" w:hAnsi="仿宋_GB2312" w:eastAsia="仿宋_GB2312" w:cs="仿宋_GB2312"/>
          <w:color w:val="000000"/>
          <w:szCs w:val="32"/>
          <w:lang w:val="en-US" w:eastAsia="zh-CN"/>
        </w:rPr>
        <w:t>最高人民法院</w:t>
      </w:r>
      <w:r>
        <w:rPr>
          <w:rFonts w:hint="eastAsia" w:ascii="仿宋_GB2312" w:hAnsi="仿宋_GB2312" w:eastAsia="仿宋_GB2312" w:cs="仿宋_GB2312"/>
          <w:color w:val="000000"/>
          <w:szCs w:val="32"/>
        </w:rPr>
        <w:t>关于办理减刑、假释案件具体应用法律的规定</w:t>
      </w:r>
      <w:r>
        <w:rPr>
          <w:rFonts w:hint="eastAsia" w:ascii="仿宋_GB2312" w:hAnsi="仿宋_GB2312" w:eastAsia="仿宋_GB2312" w:cs="仿宋_GB2312"/>
          <w:color w:val="000000"/>
          <w:szCs w:val="32"/>
          <w:lang w:eastAsia="zh-CN"/>
        </w:rPr>
        <w:t>》</w:t>
      </w:r>
      <w:r>
        <w:rPr>
          <w:rFonts w:hint="eastAsia" w:ascii="仿宋_GB2312" w:hAnsi="仿宋_GB2312" w:eastAsia="仿宋_GB2312" w:cs="仿宋_GB2312"/>
          <w:color w:val="000000"/>
          <w:szCs w:val="32"/>
          <w:lang w:val="en-US" w:eastAsia="zh-CN"/>
        </w:rPr>
        <w:t>第二十六条、第三十一条之规定，</w:t>
      </w:r>
      <w:r>
        <w:rPr>
          <w:rFonts w:hint="eastAsia" w:ascii="仿宋_GB2312" w:hAnsi="仿宋_GB2312" w:eastAsia="仿宋_GB2312" w:cs="仿宋_GB2312"/>
          <w:color w:val="000000"/>
          <w:szCs w:val="32"/>
        </w:rPr>
        <w:t>建议对</w:t>
      </w:r>
      <w:r>
        <w:rPr>
          <w:rFonts w:hint="eastAsia" w:ascii="仿宋_GB2312" w:hAnsi="仿宋_GB2312" w:eastAsia="仿宋_GB2312" w:cs="仿宋_GB2312"/>
          <w:color w:val="000000"/>
          <w:szCs w:val="32"/>
          <w:lang w:val="en-US" w:eastAsia="zh-CN"/>
        </w:rPr>
        <w:t>其优先</w:t>
      </w:r>
      <w:r>
        <w:rPr>
          <w:rFonts w:hint="eastAsia" w:ascii="仿宋_GB2312" w:hAnsi="仿宋_GB2312" w:eastAsia="仿宋_GB2312" w:cs="仿宋_GB2312"/>
          <w:color w:val="000000"/>
          <w:szCs w:val="32"/>
        </w:rPr>
        <w:t>予以</w:t>
      </w:r>
      <w:r>
        <w:rPr>
          <w:rFonts w:hint="eastAsia" w:ascii="仿宋_GB2312" w:hAnsi="仿宋_GB2312" w:eastAsia="仿宋_GB2312" w:cs="仿宋_GB2312"/>
          <w:color w:val="000000"/>
          <w:szCs w:val="32"/>
          <w:lang w:val="en-US" w:eastAsia="zh-CN"/>
        </w:rPr>
        <w:t>假释，若未予裁定假释，建议对其予以减去有期徒刑</w:t>
      </w:r>
      <w:r>
        <w:rPr>
          <w:rFonts w:hint="eastAsia" w:ascii="仿宋_GB2312" w:hAnsi="仿宋_GB2312" w:cs="仿宋_GB2312"/>
          <w:color w:val="000000"/>
          <w:szCs w:val="32"/>
          <w:lang w:val="en-US" w:eastAsia="zh-CN"/>
        </w:rPr>
        <w:t>二</w:t>
      </w:r>
      <w:r>
        <w:rPr>
          <w:rFonts w:hint="eastAsia" w:ascii="仿宋_GB2312" w:hAnsi="仿宋_GB2312" w:eastAsia="仿宋_GB2312" w:cs="仿宋_GB2312"/>
          <w:color w:val="000000"/>
          <w:szCs w:val="32"/>
          <w:lang w:val="en-US" w:eastAsia="zh-CN"/>
        </w:rPr>
        <w:t>个月。</w:t>
      </w:r>
      <w:r>
        <w:rPr>
          <w:rFonts w:hint="eastAsia" w:ascii="仿宋_GB2312" w:hAnsi="仿宋_GB2312" w:eastAsia="仿宋_GB2312" w:cs="仿宋_GB2312"/>
          <w:color w:val="000000"/>
          <w:szCs w:val="32"/>
        </w:rPr>
        <w:t>特提请你院审理裁定。</w:t>
      </w: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此致</w:t>
      </w:r>
    </w:p>
    <w:p>
      <w:pPr>
        <w:spacing w:line="580" w:lineRule="exac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福建省</w:t>
      </w:r>
      <w:r>
        <w:rPr>
          <w:rFonts w:hint="eastAsia" w:ascii="仿宋_GB2312" w:hAnsi="仿宋_GB2312" w:eastAsia="仿宋_GB2312" w:cs="仿宋_GB2312"/>
          <w:color w:val="000000"/>
          <w:szCs w:val="32"/>
          <w:lang w:eastAsia="zh-CN"/>
        </w:rPr>
        <w:t>龙岩</w:t>
      </w:r>
      <w:r>
        <w:rPr>
          <w:rFonts w:hint="eastAsia" w:ascii="仿宋_GB2312" w:hAnsi="仿宋_GB2312" w:eastAsia="仿宋_GB2312" w:cs="仿宋_GB2312"/>
          <w:color w:val="000000"/>
          <w:szCs w:val="32"/>
        </w:rPr>
        <w:t>市中级人民法院</w:t>
      </w:r>
    </w:p>
    <w:p>
      <w:pPr>
        <w:spacing w:line="580" w:lineRule="exact"/>
        <w:ind w:firstLine="640" w:firstLineChars="200"/>
        <w:rPr>
          <w:rFonts w:hint="eastAsia" w:ascii="仿宋_GB2312" w:hAnsi="仿宋_GB2312" w:eastAsia="仿宋_GB2312" w:cs="仿宋_GB2312"/>
          <w:color w:val="000000"/>
          <w:szCs w:val="32"/>
        </w:rPr>
      </w:pPr>
    </w:p>
    <w:p>
      <w:pPr>
        <w:spacing w:line="58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附件：⒈罪犯</w:t>
      </w:r>
      <w:r>
        <w:rPr>
          <w:rFonts w:hint="eastAsia" w:ascii="仿宋_GB2312" w:hAnsi="仿宋_GB2312" w:cs="仿宋_GB2312"/>
          <w:color w:val="000000"/>
          <w:szCs w:val="32"/>
          <w:lang w:eastAsia="zh-CN"/>
        </w:rPr>
        <w:t>吴达聪</w:t>
      </w:r>
      <w:r>
        <w:rPr>
          <w:rFonts w:hint="eastAsia" w:ascii="仿宋_GB2312" w:hAnsi="仿宋_GB2312" w:eastAsia="仿宋_GB2312" w:cs="仿宋_GB2312"/>
          <w:color w:val="000000"/>
          <w:szCs w:val="32"/>
        </w:rPr>
        <w:t>卷宗</w:t>
      </w:r>
      <w:r>
        <w:rPr>
          <w:rFonts w:hint="eastAsia" w:ascii="仿宋_GB2312" w:hAnsi="仿宋_GB2312" w:eastAsia="仿宋_GB2312" w:cs="仿宋_GB2312"/>
          <w:color w:val="000000"/>
          <w:szCs w:val="32"/>
          <w:lang w:eastAsia="zh-CN"/>
        </w:rPr>
        <w:t>贰</w:t>
      </w:r>
      <w:r>
        <w:rPr>
          <w:rFonts w:hint="eastAsia" w:ascii="仿宋_GB2312" w:hAnsi="仿宋_GB2312" w:eastAsia="仿宋_GB2312" w:cs="仿宋_GB2312"/>
          <w:color w:val="000000"/>
          <w:szCs w:val="32"/>
        </w:rPr>
        <w:t>册</w:t>
      </w:r>
    </w:p>
    <w:p>
      <w:pPr>
        <w:spacing w:line="580" w:lineRule="exact"/>
        <w:ind w:firstLine="1600" w:firstLineChars="5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⒉</w:t>
      </w:r>
      <w:r>
        <w:rPr>
          <w:rFonts w:hint="eastAsia" w:ascii="仿宋_GB2312" w:hAnsi="仿宋_GB2312" w:eastAsia="仿宋_GB2312" w:cs="仿宋_GB2312"/>
          <w:color w:val="000000"/>
          <w:szCs w:val="32"/>
          <w:lang w:val="en-US" w:eastAsia="zh-CN"/>
        </w:rPr>
        <w:t>提请减刑假释</w:t>
      </w:r>
      <w:r>
        <w:rPr>
          <w:rFonts w:hint="eastAsia" w:ascii="仿宋_GB2312" w:hAnsi="仿宋_GB2312" w:eastAsia="仿宋_GB2312" w:cs="仿宋_GB2312"/>
          <w:color w:val="000000"/>
          <w:szCs w:val="32"/>
        </w:rPr>
        <w:t>建议书</w:t>
      </w:r>
      <w:r>
        <w:rPr>
          <w:rFonts w:hint="eastAsia" w:ascii="仿宋_GB2312" w:hAnsi="仿宋_GB2312" w:eastAsia="仿宋_GB2312" w:cs="仿宋_GB2312"/>
          <w:color w:val="000000"/>
          <w:szCs w:val="32"/>
          <w:lang w:eastAsia="zh-CN"/>
        </w:rPr>
        <w:t>壹</w:t>
      </w:r>
      <w:r>
        <w:rPr>
          <w:rFonts w:hint="eastAsia" w:ascii="仿宋_GB2312" w:hAnsi="仿宋_GB2312" w:eastAsia="仿宋_GB2312" w:cs="仿宋_GB2312"/>
          <w:color w:val="000000"/>
          <w:szCs w:val="32"/>
        </w:rPr>
        <w:t>份</w:t>
      </w:r>
    </w:p>
    <w:p>
      <w:pPr>
        <w:spacing w:line="580" w:lineRule="exact"/>
        <w:ind w:firstLine="640" w:firstLineChars="200"/>
        <w:rPr>
          <w:rFonts w:hint="eastAsia" w:ascii="仿宋_GB2312" w:hAnsi="仿宋_GB2312" w:eastAsia="仿宋_GB2312" w:cs="仿宋_GB2312"/>
          <w:color w:val="000000"/>
          <w:szCs w:val="32"/>
        </w:rPr>
      </w:pPr>
    </w:p>
    <w:p>
      <w:pPr>
        <w:spacing w:line="580" w:lineRule="exact"/>
        <w:ind w:firstLine="640" w:firstLineChars="200"/>
        <w:jc w:val="righ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福建省</w:t>
      </w:r>
      <w:r>
        <w:rPr>
          <w:rFonts w:hint="eastAsia" w:ascii="仿宋_GB2312" w:hAnsi="仿宋_GB2312" w:eastAsia="仿宋_GB2312" w:cs="仿宋_GB2312"/>
          <w:color w:val="000000"/>
          <w:szCs w:val="32"/>
          <w:lang w:eastAsia="zh-CN"/>
        </w:rPr>
        <w:t>闽西</w:t>
      </w:r>
      <w:r>
        <w:rPr>
          <w:rFonts w:hint="eastAsia" w:ascii="仿宋_GB2312" w:hAnsi="仿宋_GB2312" w:eastAsia="仿宋_GB2312" w:cs="仿宋_GB2312"/>
          <w:color w:val="000000"/>
          <w:szCs w:val="32"/>
        </w:rPr>
        <w:t>监狱</w:t>
      </w:r>
    </w:p>
    <w:p>
      <w:pPr>
        <w:spacing w:line="580" w:lineRule="exact"/>
        <w:ind w:firstLine="640" w:firstLineChars="200"/>
        <w:jc w:val="right"/>
        <w:rPr>
          <w:rFonts w:hint="eastAsia" w:ascii="仿宋_GB2312" w:hAnsi="仿宋_GB2312" w:eastAsia="仿宋_GB2312" w:cs="仿宋_GB2312"/>
          <w:color w:val="000000"/>
          <w:szCs w:val="32"/>
          <w:lang w:val="en-US" w:eastAsia="zh-CN"/>
        </w:rPr>
      </w:pPr>
      <w:r>
        <w:rPr>
          <w:rFonts w:hint="eastAsia" w:ascii="仿宋_GB2312" w:hAnsi="仿宋_GB2312" w:eastAsia="仿宋_GB2312" w:cs="仿宋_GB2312"/>
          <w:color w:val="000000"/>
          <w:szCs w:val="32"/>
          <w:lang w:val="en-US" w:eastAsia="zh-CN"/>
        </w:rPr>
        <w:t xml:space="preserve">                              </w:t>
      </w:r>
      <w:r>
        <w:rPr>
          <w:rFonts w:hint="eastAsia" w:ascii="仿宋_GB2312" w:hAnsi="仿宋_GB2312" w:cs="仿宋_GB2312"/>
          <w:color w:val="000000"/>
          <w:szCs w:val="32"/>
          <w:lang w:val="en-US" w:eastAsia="zh-CN"/>
        </w:rPr>
        <w:t>2026</w:t>
      </w:r>
      <w:r>
        <w:rPr>
          <w:rFonts w:hint="eastAsia" w:ascii="仿宋_GB2312" w:hAnsi="仿宋_GB2312" w:eastAsia="仿宋_GB2312" w:cs="仿宋_GB2312"/>
          <w:color w:val="000000"/>
          <w:szCs w:val="32"/>
        </w:rPr>
        <w:t>年</w:t>
      </w:r>
      <w:r>
        <w:rPr>
          <w:rFonts w:hint="eastAsia" w:ascii="仿宋_GB2312" w:hAnsi="仿宋_GB2312" w:cs="仿宋_GB2312"/>
          <w:color w:val="000000"/>
          <w:szCs w:val="32"/>
          <w:lang w:val="en-US" w:eastAsia="zh-CN"/>
        </w:rPr>
        <w:t>6</w:t>
      </w:r>
      <w:r>
        <w:rPr>
          <w:rFonts w:hint="eastAsia" w:ascii="仿宋_GB2312" w:hAnsi="仿宋_GB2312" w:eastAsia="仿宋_GB2312" w:cs="仿宋_GB2312"/>
          <w:color w:val="000000"/>
          <w:szCs w:val="32"/>
        </w:rPr>
        <w:t>月</w:t>
      </w:r>
      <w:r>
        <w:rPr>
          <w:rFonts w:hint="eastAsia" w:ascii="仿宋_GB2312" w:hAnsi="仿宋_GB2312" w:cs="仿宋_GB2312"/>
          <w:color w:val="000000"/>
          <w:szCs w:val="32"/>
          <w:lang w:val="en-US" w:eastAsia="zh-CN"/>
        </w:rPr>
        <w:t>29</w:t>
      </w:r>
      <w:r>
        <w:rPr>
          <w:rFonts w:hint="eastAsia" w:ascii="仿宋_GB2312" w:hAnsi="仿宋_GB2312" w:eastAsia="仿宋_GB2312" w:cs="仿宋_GB2312"/>
          <w:color w:val="000000"/>
          <w:szCs w:val="32"/>
        </w:rPr>
        <w:t>日</w:t>
      </w:r>
    </w:p>
    <w:sectPr>
      <w:pgSz w:w="11906" w:h="16838"/>
      <w:pgMar w:top="1871" w:right="1304" w:bottom="1871"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CESI楷体-GB2312">
    <w:panose1 w:val="02000500000000000000"/>
    <w:charset w:val="86"/>
    <w:family w:val="auto"/>
    <w:pitch w:val="default"/>
    <w:sig w:usb0="800002BF" w:usb1="184F6CF8" w:usb2="00000012" w:usb3="00000000" w:csb0="0004000F"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AA8E4D"/>
    <w:rsid w:val="0BADB6D7"/>
    <w:rsid w:val="3EEF7888"/>
    <w:rsid w:val="5FAA8E4D"/>
    <w:rsid w:val="6DBFC29E"/>
    <w:rsid w:val="6EDDAA40"/>
    <w:rsid w:val="75FD5642"/>
    <w:rsid w:val="7BEFC28A"/>
    <w:rsid w:val="7C6F23AB"/>
    <w:rsid w:val="7FDD0638"/>
    <w:rsid w:val="7FEDBA5E"/>
    <w:rsid w:val="BFDFA86F"/>
    <w:rsid w:val="BFFEF8C7"/>
    <w:rsid w:val="DABF1611"/>
    <w:rsid w:val="F53FA52D"/>
    <w:rsid w:val="FE769970"/>
    <w:rsid w:val="FEBF8D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Salutation"/>
    <w:basedOn w:val="1"/>
    <w:next w:val="1"/>
    <w:qFormat/>
    <w:uiPriority w:val="99"/>
  </w:style>
  <w:style w:type="character" w:styleId="6">
    <w:name w:val="annotation reference"/>
    <w:basedOn w:val="5"/>
    <w:qFormat/>
    <w:uiPriority w:val="0"/>
    <w:rPr>
      <w:sz w:val="21"/>
      <w:szCs w:val="21"/>
    </w:rPr>
  </w:style>
  <w:style w:type="paragraph" w:customStyle="1" w:styleId="7">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2026-05-22T01:52:00Z</dcterms:created>
  <dc:creator>uosuser</dc:creator>
  <cp:lastModifiedBy>吴文勇</cp:lastModifiedBy>
  <cp:lastPrinted>2026-05-23T01:08:00Z</cp:lastPrinted>
  <dcterms:modified xsi:type="dcterms:W3CDTF">2026-07-14T17:36:15Z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DD41645FD04047C4F0140C6AC8859428</vt:lpwstr>
  </property>
</Properties>
</file>