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楷体_GB2312" w:hAnsi="Times New Roman" w:eastAsia="楷体_GB2312"/>
          <w:b/>
          <w:bCs/>
          <w:szCs w:val="32"/>
        </w:rPr>
      </w:pPr>
      <w:r>
        <w:rPr>
          <w:rFonts w:hint="eastAsia" w:ascii="楷体_GB2312" w:hAnsi="Times New Roman" w:eastAsia="楷体_GB2312" w:cs="楷体_GB2312"/>
          <w:szCs w:val="32"/>
        </w:rPr>
        <w:t>〔20</w:t>
      </w:r>
      <w:r>
        <w:rPr>
          <w:rFonts w:hint="eastAsia" w:ascii="楷体_GB2312" w:hAnsi="Times New Roman" w:eastAsia="楷体_GB2312"/>
          <w:szCs w:val="32"/>
        </w:rPr>
        <w:t>25</w:t>
      </w:r>
      <w:r>
        <w:rPr>
          <w:rFonts w:hint="eastAsia" w:ascii="楷体_GB2312" w:hAnsi="Times New Roman" w:eastAsia="楷体_GB2312" w:cs="楷体_GB2312"/>
          <w:szCs w:val="32"/>
        </w:rPr>
        <w:t>〕闽女监狱减字第7</w:t>
      </w:r>
      <w:r>
        <w:rPr>
          <w:rFonts w:ascii="楷体_GB2312" w:hAnsi="Times New Roman" w:eastAsia="楷体_GB2312" w:cs="楷体_GB2312"/>
          <w:szCs w:val="32"/>
        </w:rPr>
        <w:t>72</w:t>
      </w:r>
      <w:r>
        <w:rPr>
          <w:rFonts w:hint="eastAsia" w:ascii="楷体_GB2312" w:hAnsi="Times New Roman" w:eastAsia="楷体_GB2312" w:cs="楷体_GB2312"/>
          <w:szCs w:val="32"/>
        </w:rPr>
        <w:t>号</w:t>
      </w:r>
    </w:p>
    <w:p>
      <w:pPr>
        <w:spacing w:line="380" w:lineRule="exact"/>
        <w:ind w:firstLine="640" w:firstLineChars="200"/>
        <w:rPr>
          <w:rFonts w:ascii="仿宋_GB2312" w:hAnsi="Times New Roman"/>
          <w:szCs w:val="32"/>
        </w:rPr>
      </w:pPr>
      <w:bookmarkStart w:id="0" w:name="_Hlk100501553"/>
    </w:p>
    <w:bookmarkEnd w:id="0"/>
    <w:p>
      <w:pPr>
        <w:spacing w:line="400" w:lineRule="exact"/>
        <w:ind w:firstLine="640" w:firstLineChars="200"/>
        <w:rPr>
          <w:rFonts w:ascii="仿宋_GB2312" w:hAnsi="仿宋_GB2312" w:cs="仿宋_GB2312"/>
          <w:szCs w:val="32"/>
        </w:rPr>
      </w:pPr>
      <w:r>
        <w:rPr>
          <w:rFonts w:hint="eastAsia" w:ascii="仿宋_GB2312" w:hAnsi="仿宋_GB2312" w:cs="仿宋_GB2312"/>
          <w:szCs w:val="32"/>
        </w:rPr>
        <w:t>罪犯陈茂华，女，1983年10月19日出生，汉族，文盲，捕前无业。曾于2015年8月24日因犯容留他人吸毒罪被福建省石狮市人民法院判处有期徒刑七个月，于2015年12月20日刑满释放。系累犯。</w:t>
      </w:r>
    </w:p>
    <w:p>
      <w:pPr>
        <w:spacing w:line="400" w:lineRule="exact"/>
        <w:ind w:firstLine="640" w:firstLineChars="200"/>
        <w:rPr>
          <w:rFonts w:ascii="仿宋_GB2312" w:hAnsi="仿宋_GB2312" w:cs="仿宋_GB2312"/>
          <w:szCs w:val="32"/>
        </w:rPr>
      </w:pPr>
      <w:r>
        <w:rPr>
          <w:rFonts w:hint="eastAsia" w:ascii="仿宋_GB2312" w:hAnsi="仿宋_GB2312" w:cs="仿宋_GB2312"/>
          <w:szCs w:val="32"/>
        </w:rPr>
        <w:t>福建省泉州市中级人民法院于2018年8月27日作出（2018）闽05刑初18号刑事判决，以被告人陈茂华犯贩卖毒品罪，判处死刑，缓期二年执行，剥夺政治权利终身，并处没收个人财产全部。宣判后，被告人不服，提出上诉。福建省高级人民法院于2019年3月29日作出（2018）闽刑终361号刑事裁定，驳回上诉，维持原判。</w:t>
      </w:r>
      <w:r>
        <w:rPr>
          <w:rFonts w:hint="eastAsia" w:ascii="仿宋_GB2312" w:hAnsi="Times New Roman"/>
          <w:szCs w:val="32"/>
        </w:rPr>
        <w:t>死缓考验期自2019年4月12日至2021年4月11日。</w:t>
      </w:r>
      <w:r>
        <w:rPr>
          <w:rFonts w:hint="eastAsia" w:ascii="仿宋_GB2312" w:hAnsi="仿宋_GB2312" w:cs="仿宋_GB2312"/>
          <w:szCs w:val="32"/>
        </w:rPr>
        <w:t>2019年4月22日交付福建省女子监狱执行刑罚。2021年12月27日，福建省高级人民法院以（2021）闽刑更308号刑事裁定，对其减为无期徒刑，剥夺政治权利终身不变。2022年1月17日送达。属普管级罪犯。</w:t>
      </w:r>
    </w:p>
    <w:p>
      <w:pPr>
        <w:spacing w:line="400" w:lineRule="exact"/>
        <w:ind w:firstLine="640" w:firstLineChars="200"/>
        <w:rPr>
          <w:rFonts w:ascii="仿宋_GB2312" w:hAnsi="仿宋_GB2312" w:cs="仿宋_GB2312"/>
          <w:szCs w:val="32"/>
        </w:rPr>
      </w:pPr>
      <w:r>
        <w:rPr>
          <w:rFonts w:hint="eastAsia" w:ascii="仿宋_GB2312" w:hAnsi="仿宋_GB2312" w:cs="仿宋_GB2312"/>
          <w:szCs w:val="32"/>
        </w:rPr>
        <w:t>罪犯陈茂华在死刑缓期执行期间没有故意犯罪，自入监以来确有悔改表现，具体事实如下：</w:t>
      </w:r>
    </w:p>
    <w:p>
      <w:pPr>
        <w:spacing w:line="400"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pPr>
        <w:spacing w:line="400" w:lineRule="exact"/>
        <w:ind w:firstLine="640" w:firstLineChars="200"/>
        <w:rPr>
          <w:rFonts w:ascii="仿宋_GB2312" w:hAnsi="仿宋_GB2312" w:cs="仿宋_GB2312"/>
          <w:color w:val="000000"/>
          <w:szCs w:val="32"/>
        </w:rPr>
      </w:pPr>
      <w:r>
        <w:rPr>
          <w:rFonts w:hint="eastAsia" w:ascii="仿宋_GB2312" w:hAnsi="仿宋_GB2312" w:cs="仿宋_GB2312"/>
          <w:szCs w:val="32"/>
        </w:rPr>
        <w:t>遵守监规：</w:t>
      </w:r>
      <w:r>
        <w:rPr>
          <w:rFonts w:hint="eastAsia" w:ascii="仿宋_GB2312" w:hAnsi="仿宋_GB2312" w:cs="仿宋_GB2312"/>
          <w:color w:val="000000"/>
          <w:szCs w:val="32"/>
        </w:rPr>
        <w:t>虽有违规情形，但经民警教育，能遵守法律法规及监规纪律，接受教育改造。</w:t>
      </w:r>
    </w:p>
    <w:p>
      <w:pPr>
        <w:spacing w:line="400"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pPr>
        <w:spacing w:line="400"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pPr>
        <w:spacing w:line="400" w:lineRule="exact"/>
        <w:ind w:firstLine="640" w:firstLineChars="200"/>
        <w:rPr>
          <w:rFonts w:ascii="仿宋_GB2312" w:hAnsi="仿宋_GB2312" w:cs="仿宋_GB2312"/>
          <w:szCs w:val="32"/>
        </w:rPr>
      </w:pPr>
      <w:r>
        <w:rPr>
          <w:rFonts w:hint="eastAsia" w:ascii="仿宋_GB2312" w:hAnsi="仿宋_GB2312" w:cs="仿宋_GB2312"/>
          <w:szCs w:val="32"/>
          <w:lang w:val="zh-CN"/>
        </w:rPr>
        <w:t>奖惩情况：</w:t>
      </w:r>
      <w:r>
        <w:rPr>
          <w:rFonts w:hint="eastAsia" w:ascii="仿宋_GB2312" w:hAnsi="仿宋_GB2312" w:cs="仿宋_GB2312"/>
          <w:szCs w:val="32"/>
        </w:rPr>
        <w:t>该犯2019年4月22日至2021年4月累计获考核分1923分，2021年5月至2025年8月累计获考核分5676.5分，合计获得考核分7599.5分，表扬11次，物质奖励1次；2019年4月22日至2021年4月违规4次，累计扣60分，2021年5月至2025年8月违规1次，累计扣2分。</w:t>
      </w:r>
    </w:p>
    <w:p>
      <w:pPr>
        <w:spacing w:line="400" w:lineRule="exact"/>
        <w:ind w:firstLine="640" w:firstLineChars="200"/>
        <w:rPr>
          <w:rFonts w:ascii="仿宋_GB2312" w:hAnsi="仿宋_GB2312" w:cs="仿宋_GB2312"/>
          <w:szCs w:val="32"/>
        </w:rPr>
      </w:pPr>
      <w:r>
        <w:rPr>
          <w:rFonts w:hint="eastAsia" w:ascii="仿宋_GB2312" w:hAnsi="仿宋_GB2312" w:cs="仿宋_GB2312"/>
          <w:szCs w:val="32"/>
          <w:lang w:val="zh-CN"/>
        </w:rPr>
        <w:t>该犯原判财产性判项已履行人民币</w:t>
      </w:r>
      <w:r>
        <w:rPr>
          <w:rFonts w:hint="eastAsia" w:ascii="仿宋_GB2312" w:hAnsi="仿宋_GB2312" w:cs="仿宋_GB2312"/>
          <w:szCs w:val="32"/>
        </w:rPr>
        <w:t>1000</w:t>
      </w:r>
      <w:r>
        <w:rPr>
          <w:rFonts w:hint="eastAsia" w:ascii="仿宋_GB2312" w:hAnsi="仿宋_GB2312" w:cs="仿宋_GB2312"/>
          <w:szCs w:val="32"/>
          <w:lang w:val="zh-CN"/>
        </w:rPr>
        <w:t>元;其中本次提请向福建省泉州市中级人民法院缴纳人民币</w:t>
      </w:r>
      <w:r>
        <w:rPr>
          <w:rFonts w:hint="eastAsia" w:ascii="仿宋_GB2312" w:hAnsi="仿宋_GB2312" w:cs="仿宋_GB2312"/>
          <w:szCs w:val="32"/>
        </w:rPr>
        <w:t>1000</w:t>
      </w:r>
      <w:r>
        <w:rPr>
          <w:rFonts w:hint="eastAsia" w:ascii="仿宋_GB2312" w:hAnsi="仿宋_GB2312" w:cs="仿宋_GB2312"/>
          <w:szCs w:val="32"/>
          <w:lang w:val="zh-CN"/>
        </w:rPr>
        <w:t>元。该犯考核期内月均消费人民币</w:t>
      </w:r>
      <w:r>
        <w:rPr>
          <w:rFonts w:hint="eastAsia" w:ascii="仿宋_GB2312" w:hAnsi="仿宋_GB2312" w:cs="仿宋_GB2312"/>
          <w:szCs w:val="32"/>
        </w:rPr>
        <w:t>156.71</w:t>
      </w:r>
      <w:r>
        <w:rPr>
          <w:rFonts w:hint="eastAsia" w:ascii="仿宋_GB2312" w:hAnsi="仿宋_GB2312" w:cs="仿宋_GB2312"/>
          <w:szCs w:val="32"/>
          <w:lang w:val="zh-CN"/>
        </w:rPr>
        <w:t>元，账户可用余额人民币</w:t>
      </w:r>
      <w:r>
        <w:rPr>
          <w:rFonts w:hint="eastAsia" w:ascii="仿宋_GB2312" w:hAnsi="仿宋_GB2312" w:cs="仿宋_GB2312"/>
          <w:szCs w:val="32"/>
        </w:rPr>
        <w:t>691.96</w:t>
      </w:r>
      <w:r>
        <w:rPr>
          <w:rFonts w:hint="eastAsia" w:ascii="仿宋_GB2312" w:hAnsi="仿宋_GB2312" w:cs="仿宋_GB2312"/>
          <w:szCs w:val="32"/>
          <w:lang w:val="zh-CN"/>
        </w:rPr>
        <w:t>元。福建省泉州市中级人民法院于2025年</w:t>
      </w:r>
      <w:r>
        <w:rPr>
          <w:rFonts w:hint="eastAsia" w:ascii="仿宋_GB2312" w:hAnsi="仿宋_GB2312" w:cs="仿宋_GB2312"/>
          <w:szCs w:val="32"/>
        </w:rPr>
        <w:t>8</w:t>
      </w:r>
      <w:r>
        <w:rPr>
          <w:rFonts w:hint="eastAsia" w:ascii="仿宋_GB2312" w:hAnsi="仿宋_GB2312" w:cs="仿宋_GB2312"/>
          <w:szCs w:val="32"/>
          <w:lang w:val="zh-CN"/>
        </w:rPr>
        <w:t>月</w:t>
      </w:r>
      <w:r>
        <w:rPr>
          <w:rFonts w:hint="eastAsia" w:ascii="仿宋_GB2312" w:hAnsi="仿宋_GB2312" w:cs="仿宋_GB2312"/>
          <w:szCs w:val="32"/>
        </w:rPr>
        <w:t>30</w:t>
      </w:r>
      <w:r>
        <w:rPr>
          <w:rFonts w:hint="eastAsia" w:ascii="仿宋_GB2312" w:hAnsi="仿宋_GB2312" w:cs="仿宋_GB2312"/>
          <w:szCs w:val="32"/>
          <w:lang w:val="zh-CN"/>
        </w:rPr>
        <w:t>日财产性判项复函载明:被执行人陈茂华财产性判项履行情况核查如下：各项财产性判项履行到位金额为人民币</w:t>
      </w:r>
      <w:r>
        <w:rPr>
          <w:rFonts w:hint="eastAsia" w:ascii="仿宋_GB2312" w:hAnsi="仿宋_GB2312" w:cs="仿宋_GB2312"/>
          <w:szCs w:val="32"/>
        </w:rPr>
        <w:t>1000元（没收财产）；被执行人于2025年8月12日申报无财产；目前暂未发现执行阶段存在拒不交代赃款、赃物去向情形；目前暂未发现执行阶段存在隐瞒、藏匿、转移财产情形；目前暂未发现执行阶段存在妨害财产性判项执行情形；经福建法院执行案件流程信息管理系统查控暂无可供执行财产。</w:t>
      </w:r>
    </w:p>
    <w:p>
      <w:pPr>
        <w:spacing w:line="40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该犯系累犯，属于从严掌握减刑对象。</w:t>
      </w:r>
    </w:p>
    <w:p>
      <w:pPr>
        <w:spacing w:line="40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本案于</w:t>
      </w:r>
      <w:r>
        <w:rPr>
          <w:rFonts w:hint="eastAsia" w:ascii="仿宋_GB2312" w:hAnsi="仿宋_GB2312" w:cs="仿宋_GB2312"/>
          <w:szCs w:val="32"/>
        </w:rPr>
        <w:t>2025</w:t>
      </w:r>
      <w:r>
        <w:rPr>
          <w:rFonts w:hint="eastAsia" w:ascii="仿宋_GB2312" w:hAnsi="仿宋_GB2312" w:cs="仿宋_GB2312"/>
          <w:szCs w:val="32"/>
          <w:lang w:val="zh-CN"/>
        </w:rPr>
        <w:t>年</w:t>
      </w:r>
      <w:r>
        <w:rPr>
          <w:rFonts w:hint="eastAsia" w:ascii="仿宋_GB2312" w:hAnsi="仿宋_GB2312" w:cs="仿宋_GB2312"/>
          <w:szCs w:val="32"/>
        </w:rPr>
        <w:t>12</w:t>
      </w:r>
      <w:r>
        <w:rPr>
          <w:rFonts w:hint="eastAsia" w:ascii="仿宋_GB2312" w:hAnsi="仿宋_GB2312" w:cs="仿宋_GB2312"/>
          <w:szCs w:val="32"/>
          <w:lang w:val="zh-CN"/>
        </w:rPr>
        <w:t>月</w:t>
      </w:r>
      <w:r>
        <w:rPr>
          <w:rFonts w:hint="eastAsia" w:ascii="仿宋_GB2312" w:hAnsi="仿宋_GB2312" w:cs="仿宋_GB2312"/>
          <w:szCs w:val="32"/>
        </w:rPr>
        <w:t>1</w:t>
      </w:r>
      <w:r>
        <w:rPr>
          <w:rFonts w:hint="eastAsia" w:ascii="仿宋_GB2312" w:hAnsi="仿宋_GB2312" w:cs="仿宋_GB2312"/>
          <w:szCs w:val="32"/>
          <w:lang w:val="zh-CN"/>
        </w:rPr>
        <w:t>日至</w:t>
      </w:r>
      <w:r>
        <w:rPr>
          <w:rFonts w:hint="eastAsia" w:ascii="仿宋_GB2312" w:hAnsi="仿宋_GB2312" w:cs="仿宋_GB2312"/>
          <w:szCs w:val="32"/>
        </w:rPr>
        <w:t>2025年12月5日在狱内公示未收到不同意见。</w:t>
      </w:r>
    </w:p>
    <w:p>
      <w:pPr>
        <w:spacing w:line="40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因此，依照《中华人民共和国刑法》第五十七条、第七十八条、《中华人民共和国刑事诉讼法》第二百七十三条第二款、《中华人民共和国监狱法》第二十九条的规定，建议对罪犯陈茂华减为有期徒刑二十五年，剥夺政治权利改为十年。特提请你院审理裁定。</w:t>
      </w:r>
    </w:p>
    <w:p>
      <w:pPr>
        <w:pStyle w:val="3"/>
        <w:spacing w:line="360" w:lineRule="exact"/>
        <w:ind w:left="847" w:leftChars="202" w:right="-48" w:rightChars="-15" w:hanging="201" w:hangingChars="63"/>
        <w:rPr>
          <w:rFonts w:ascii="仿宋_GB2312"/>
          <w:sz w:val="32"/>
          <w:szCs w:val="32"/>
          <w:lang w:val="zh-CN"/>
        </w:rPr>
      </w:pPr>
      <w:r>
        <w:rPr>
          <w:rFonts w:hint="eastAsia" w:ascii="仿宋_GB2312"/>
          <w:sz w:val="32"/>
          <w:szCs w:val="32"/>
          <w:lang w:val="zh-CN"/>
        </w:rPr>
        <w:t>此致</w:t>
      </w:r>
    </w:p>
    <w:p>
      <w:pPr>
        <w:spacing w:line="360" w:lineRule="exact"/>
        <w:rPr>
          <w:rFonts w:ascii="仿宋_GB2312" w:hAnsi="仿宋_GB2312" w:cs="仿宋_GB2312"/>
          <w:szCs w:val="32"/>
        </w:rPr>
      </w:pPr>
      <w:r>
        <w:rPr>
          <w:rFonts w:hint="eastAsia" w:ascii="仿宋_GB2312" w:hAnsi="仿宋_GB2312" w:cs="仿宋_GB2312"/>
          <w:szCs w:val="32"/>
        </w:rPr>
        <w:t>福建省高级人民法院</w:t>
      </w:r>
    </w:p>
    <w:p>
      <w:pPr>
        <w:spacing w:line="40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附件：⒈罪犯陈茂华卷宗贰册</w:t>
      </w:r>
    </w:p>
    <w:p>
      <w:pPr>
        <w:spacing w:line="400" w:lineRule="exact"/>
        <w:ind w:firstLine="1600" w:firstLineChars="500"/>
        <w:rPr>
          <w:rFonts w:ascii="仿宋_GB2312" w:hAnsi="仿宋_GB2312" w:cs="仿宋_GB2312"/>
          <w:szCs w:val="32"/>
          <w:lang w:val="zh-CN"/>
        </w:rPr>
      </w:pPr>
      <w:r>
        <w:rPr>
          <w:rFonts w:hint="eastAsia" w:ascii="仿宋_GB2312" w:hAnsi="仿宋_GB2312" w:cs="仿宋_GB2312"/>
          <w:szCs w:val="32"/>
          <w:lang w:val="zh-CN"/>
        </w:rPr>
        <w:t>⒉减刑建议书伍份</w:t>
      </w:r>
    </w:p>
    <w:p>
      <w:pPr>
        <w:autoSpaceDE w:val="0"/>
        <w:autoSpaceDN w:val="0"/>
        <w:adjustRightInd w:val="0"/>
        <w:spacing w:line="500" w:lineRule="exact"/>
        <w:ind w:firstLine="600"/>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 xml:space="preserve">                                   福建省女子监狱</w:t>
      </w:r>
    </w:p>
    <w:p>
      <w:pPr>
        <w:jc w:val="right"/>
        <w:rPr>
          <w:rFonts w:hint="eastAsia" w:ascii="仿宋_GB2312" w:hAnsi="仿宋_GB2312" w:cs="仿宋_GB2312"/>
          <w:iCs/>
          <w:color w:val="000000"/>
          <w:kern w:val="2"/>
          <w:szCs w:val="32"/>
          <w:lang w:val="zh-CN"/>
        </w:rPr>
        <w:sectPr>
          <w:headerReference r:id="rId3" w:type="default"/>
          <w:footerReference r:id="rId4" w:type="default"/>
          <w:footerReference r:id="rId5" w:type="even"/>
          <w:pgSz w:w="11907" w:h="16840"/>
          <w:pgMar w:top="1871" w:right="1304" w:bottom="1871" w:left="1588" w:header="1588" w:footer="1587" w:gutter="0"/>
          <w:cols w:space="0" w:num="1"/>
          <w:docGrid w:type="lines" w:linePitch="595" w:charSpace="0"/>
        </w:sectPr>
      </w:pPr>
      <w:r>
        <w:rPr>
          <w:rFonts w:hint="eastAsia" w:ascii="仿宋_GB2312" w:hAnsi="仿宋_GB2312" w:cs="仿宋_GB2312"/>
          <w:iCs/>
          <w:color w:val="000000"/>
          <w:kern w:val="2"/>
          <w:szCs w:val="32"/>
          <w:lang w:val="zh-CN"/>
        </w:rPr>
        <w:t>二〇二五年十二月十五日</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楷体_GB2312" w:hAnsi="Times New Roman" w:eastAsia="楷体_GB2312"/>
          <w:b/>
          <w:bCs/>
          <w:szCs w:val="32"/>
        </w:rPr>
      </w:pPr>
      <w:r>
        <w:rPr>
          <w:rFonts w:hint="eastAsia" w:ascii="楷体_GB2312" w:hAnsi="Times New Roman" w:eastAsia="楷体_GB2312" w:cs="楷体_GB2312"/>
          <w:szCs w:val="32"/>
        </w:rPr>
        <w:t>〔20</w:t>
      </w:r>
      <w:r>
        <w:rPr>
          <w:rFonts w:hint="eastAsia" w:ascii="楷体_GB2312" w:hAnsi="Times New Roman" w:eastAsia="楷体_GB2312"/>
          <w:szCs w:val="32"/>
        </w:rPr>
        <w:t>25</w:t>
      </w:r>
      <w:r>
        <w:rPr>
          <w:rFonts w:hint="eastAsia" w:ascii="楷体_GB2312" w:hAnsi="Times New Roman" w:eastAsia="楷体_GB2312" w:cs="楷体_GB2312"/>
          <w:szCs w:val="32"/>
        </w:rPr>
        <w:t>〕闽女监狱减字第7</w:t>
      </w:r>
      <w:r>
        <w:rPr>
          <w:rFonts w:ascii="楷体_GB2312" w:hAnsi="Times New Roman" w:eastAsia="楷体_GB2312" w:cs="楷体_GB2312"/>
          <w:szCs w:val="32"/>
        </w:rPr>
        <w:t>71</w:t>
      </w:r>
      <w:r>
        <w:rPr>
          <w:rFonts w:hint="eastAsia" w:ascii="楷体_GB2312" w:hAnsi="Times New Roman" w:eastAsia="楷体_GB2312" w:cs="楷体_GB2312"/>
          <w:szCs w:val="32"/>
        </w:rPr>
        <w:t>号</w:t>
      </w:r>
    </w:p>
    <w:p>
      <w:pPr>
        <w:spacing w:line="380" w:lineRule="exact"/>
        <w:ind w:firstLine="640" w:firstLineChars="200"/>
        <w:rPr>
          <w:rFonts w:ascii="仿宋_GB2312" w:hAnsi="Times New Roman"/>
          <w:szCs w:val="32"/>
        </w:rPr>
      </w:pPr>
    </w:p>
    <w:p>
      <w:pPr>
        <w:spacing w:line="440" w:lineRule="exact"/>
        <w:ind w:firstLine="640" w:firstLineChars="200"/>
        <w:rPr>
          <w:rFonts w:ascii="仿宋_GB2312" w:hAnsi="Times New Roman"/>
          <w:szCs w:val="32"/>
        </w:rPr>
      </w:pPr>
      <w:r>
        <w:rPr>
          <w:rFonts w:hint="eastAsia" w:ascii="仿宋_GB2312" w:hAnsi="Times New Roman"/>
          <w:szCs w:val="32"/>
        </w:rPr>
        <w:t>罪犯</w:t>
      </w:r>
      <w:r>
        <w:rPr>
          <w:rFonts w:hint="eastAsia" w:ascii="Times New Roman" w:hAnsi="Times New Roman"/>
          <w:szCs w:val="32"/>
        </w:rPr>
        <w:t>陈晓琼</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w:t>
      </w:r>
      <w:r>
        <w:rPr>
          <w:rFonts w:hint="eastAsia" w:ascii="仿宋_GB2312" w:hAnsi="仿宋_GB2312" w:cs="仿宋_GB2312"/>
          <w:szCs w:val="32"/>
        </w:rPr>
        <w:t>1974年7月5日</w:t>
      </w:r>
      <w:r>
        <w:rPr>
          <w:rFonts w:hint="eastAsia" w:ascii="仿宋_GB2312" w:hAnsi="Times New Roman"/>
          <w:szCs w:val="32"/>
        </w:rPr>
        <w:t>出生，汉族，小学文化，</w:t>
      </w:r>
      <w:r>
        <w:rPr>
          <w:rFonts w:hint="eastAsia" w:ascii="仿宋_GB2312" w:hAnsi="Times New Roman"/>
          <w:color w:val="000000"/>
          <w:szCs w:val="32"/>
        </w:rPr>
        <w:t>捕前系农民</w:t>
      </w:r>
      <w:r>
        <w:rPr>
          <w:rFonts w:hint="eastAsia" w:ascii="仿宋_GB2312" w:hAnsi="Times New Roman"/>
          <w:szCs w:val="32"/>
        </w:rPr>
        <w:t>。</w:t>
      </w:r>
    </w:p>
    <w:p>
      <w:pPr>
        <w:spacing w:line="440" w:lineRule="exact"/>
        <w:ind w:firstLine="640" w:firstLineChars="200"/>
        <w:rPr>
          <w:rFonts w:ascii="仿宋_GB2312" w:hAnsi="仿宋_GB2312" w:cs="仿宋_GB2312"/>
          <w:szCs w:val="32"/>
        </w:rPr>
      </w:pPr>
      <w:r>
        <w:rPr>
          <w:rFonts w:hint="eastAsia" w:ascii="仿宋_GB2312" w:hAnsi="Times New Roman"/>
          <w:szCs w:val="32"/>
        </w:rPr>
        <w:t>福建省龙岩市中级人民法院于2015年12月2日作出（2015）岩刑初字第4号刑事判决，以被告人陈晓琼犯故意杀人罪，判处死刑，缓期二年执行，剥夺政治权利终身；对被告人陈晓琼限制减刑。福建省高级人民法院于2016年3月30日作出（2016）闽刑核55560038号刑事裁定，核准龙岩市中级人民法院（2015）岩刑初字第4号以故意杀人罪判处被告人陈晓琼死刑，缓期二年执行，剥夺政治权利终身；对被告人陈晓琼限制减刑的刑事判决。</w:t>
      </w:r>
      <w:r>
        <w:rPr>
          <w:rFonts w:hint="eastAsia" w:ascii="仿宋_GB2312" w:hAnsi="仿宋_GB2312" w:cs="仿宋_GB2312"/>
          <w:szCs w:val="32"/>
        </w:rPr>
        <w:t>死缓考验期自2016年4月15日至2018年4月14日。2016年4月22日交付福建省女子监狱执行刑罚。2018年11月13日，福建省高级人民法院作出（2018）闽刑更281号刑事裁定，对其减为无期徒刑，剥夺政治权利终身不变，2018年12月3日送达。现属普管级罪犯。</w:t>
      </w:r>
    </w:p>
    <w:p>
      <w:pPr>
        <w:spacing w:line="440" w:lineRule="exact"/>
        <w:ind w:firstLine="640" w:firstLineChars="200"/>
        <w:rPr>
          <w:rFonts w:ascii="仿宋_GB2312" w:hAnsi="仿宋_GB2312" w:cs="仿宋_GB2312"/>
          <w:szCs w:val="32"/>
        </w:rPr>
      </w:pPr>
      <w:r>
        <w:rPr>
          <w:rFonts w:hint="eastAsia" w:ascii="仿宋_GB2312" w:hAnsi="仿宋_GB2312" w:cs="仿宋_GB2312"/>
          <w:szCs w:val="32"/>
        </w:rPr>
        <w:t>罪犯陈晓琼在死刑缓期执行期间没有故意犯罪，自入监以来确有悔改表现，具体事实如下：</w:t>
      </w:r>
    </w:p>
    <w:p>
      <w:pPr>
        <w:spacing w:line="440"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pPr>
        <w:spacing w:line="440" w:lineRule="exact"/>
        <w:ind w:firstLine="640" w:firstLineChars="200"/>
        <w:rPr>
          <w:rFonts w:ascii="仿宋_GB2312" w:hAnsi="仿宋_GB2312" w:cs="仿宋_GB2312"/>
          <w:szCs w:val="32"/>
        </w:rPr>
      </w:pPr>
      <w:r>
        <w:rPr>
          <w:rFonts w:hint="eastAsia" w:ascii="仿宋_GB2312" w:hAnsi="仿宋_GB2312" w:cs="仿宋_GB2312"/>
          <w:szCs w:val="32"/>
        </w:rPr>
        <w:t>遵守监规：虽有违规情形，但经民警教育，能遵守法律法规及监规纪律，接受教育改造。</w:t>
      </w:r>
    </w:p>
    <w:p>
      <w:pPr>
        <w:spacing w:line="440"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pPr>
        <w:spacing w:line="440"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劳动改造：能参加劳动，努力完成生产任务。</w:t>
      </w:r>
    </w:p>
    <w:p>
      <w:pPr>
        <w:spacing w:line="440" w:lineRule="exact"/>
        <w:ind w:firstLine="640" w:firstLineChars="200"/>
        <w:rPr>
          <w:rFonts w:ascii="仿宋_GB2312" w:hAnsi="仿宋_GB2312" w:cs="仿宋_GB2312"/>
          <w:szCs w:val="32"/>
        </w:rPr>
      </w:pPr>
      <w:r>
        <w:rPr>
          <w:rFonts w:hint="eastAsia" w:ascii="仿宋_GB2312" w:hAnsi="仿宋_GB2312" w:cs="仿宋_GB2312"/>
          <w:szCs w:val="32"/>
        </w:rPr>
        <w:t>奖惩情况：该犯2016年4月22日至2018年4月累计获考核分2162分，2018年5月至2025年8月累计获考核分8823分，合计获得考核分10985分，表扬14次，物质奖励4次；2016年4月22日至2018年4月违规2次，累计扣10分，2018年5月至2025年8月违规1次，累计扣20分。</w:t>
      </w:r>
    </w:p>
    <w:p>
      <w:pPr>
        <w:spacing w:line="440" w:lineRule="exact"/>
        <w:ind w:firstLine="640" w:firstLineChars="200"/>
        <w:rPr>
          <w:rFonts w:ascii="仿宋_GB2312" w:hAnsi="Times New Roman"/>
          <w:szCs w:val="32"/>
        </w:rPr>
      </w:pPr>
      <w:r>
        <w:rPr>
          <w:rFonts w:hint="eastAsia" w:ascii="仿宋_GB2312" w:hAnsi="Times New Roman"/>
          <w:szCs w:val="32"/>
        </w:rPr>
        <w:t>该犯系因故意杀人罪被判处死刑，缓期二年执行（限制减刑）的罪犯，属于从严掌握减刑对象。</w:t>
      </w:r>
    </w:p>
    <w:p>
      <w:pPr>
        <w:spacing w:line="440" w:lineRule="exact"/>
        <w:ind w:firstLine="640" w:firstLineChars="200"/>
        <w:rPr>
          <w:rFonts w:ascii="仿宋_GB2312" w:hAnsi="仿宋_GB2312" w:cs="仿宋_GB2312"/>
          <w:szCs w:val="32"/>
        </w:rPr>
      </w:pPr>
      <w:r>
        <w:rPr>
          <w:rFonts w:hint="eastAsia" w:ascii="仿宋_GB2312" w:hAnsi="仿宋_GB2312" w:cs="仿宋_GB2312"/>
          <w:szCs w:val="32"/>
        </w:rPr>
        <w:t>本案于2025年12月1日至2025年12月5日在狱内公示未收到不同意见。</w:t>
      </w:r>
    </w:p>
    <w:p>
      <w:pPr>
        <w:spacing w:line="440" w:lineRule="exact"/>
        <w:ind w:firstLine="640" w:firstLineChars="200"/>
        <w:rPr>
          <w:rFonts w:ascii="仿宋_GB2312" w:hAnsi="仿宋_GB2312" w:cs="仿宋_GB2312"/>
          <w:szCs w:val="32"/>
        </w:rPr>
      </w:pPr>
      <w:r>
        <w:rPr>
          <w:rFonts w:hint="eastAsia" w:ascii="仿宋_GB2312" w:hAnsi="仿宋_GB2312" w:cs="仿宋_GB2312"/>
          <w:szCs w:val="32"/>
        </w:rPr>
        <w:t>因此，依照《中华人民共和国刑法》第五十七条、第七十八条、《中华人民共和国刑事诉讼法》第二百七十三条第二款、《中华人民共和国监狱法》第二十九条的规定，建议对罪犯陈晓琼减为有期徒刑二十五年，剥夺政治权利改为十年。特提请你院审理裁定。</w:t>
      </w:r>
    </w:p>
    <w:p>
      <w:pPr>
        <w:spacing w:line="440" w:lineRule="exact"/>
        <w:ind w:firstLine="640" w:firstLineChars="200"/>
        <w:rPr>
          <w:rFonts w:ascii="仿宋_GB2312" w:hAnsi="仿宋_GB2312" w:cs="仿宋_GB2312"/>
          <w:szCs w:val="32"/>
        </w:rPr>
      </w:pPr>
      <w:r>
        <w:rPr>
          <w:rFonts w:hint="eastAsia" w:ascii="仿宋_GB2312" w:hAnsi="仿宋_GB2312" w:cs="仿宋_GB2312"/>
          <w:szCs w:val="32"/>
        </w:rPr>
        <w:t>此致</w:t>
      </w:r>
    </w:p>
    <w:p>
      <w:pPr>
        <w:spacing w:line="440" w:lineRule="exact"/>
        <w:rPr>
          <w:rFonts w:ascii="Times New Roman" w:hAnsi="Times New Roman" w:cs="仿宋_GB2312"/>
          <w:szCs w:val="32"/>
        </w:rPr>
      </w:pPr>
      <w:r>
        <w:rPr>
          <w:rFonts w:hint="eastAsia" w:ascii="Times New Roman" w:hAnsi="Times New Roman" w:cs="仿宋_GB2312"/>
          <w:szCs w:val="32"/>
        </w:rPr>
        <w:t>福建省高级人民法院</w:t>
      </w:r>
    </w:p>
    <w:p>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陈晓琼卷</w:t>
      </w:r>
      <w:r>
        <w:rPr>
          <w:rFonts w:hint="eastAsia" w:ascii="Times New Roman" w:hAnsi="Times New Roman" w:cs="仿宋_GB2312"/>
          <w:szCs w:val="32"/>
        </w:rPr>
        <w:t>宗叁册</w:t>
      </w:r>
    </w:p>
    <w:p>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440" w:lineRule="exact"/>
        <w:ind w:right="-48" w:rightChars="-15"/>
        <w:jc w:val="center"/>
        <w:rPr>
          <w:rFonts w:ascii="Times New Roman" w:hAnsi="Times New Roman"/>
          <w:szCs w:val="32"/>
        </w:rPr>
      </w:pPr>
      <w:r>
        <w:rPr>
          <w:rFonts w:hint="eastAsia" w:ascii="Times New Roman" w:hAnsi="Times New Roman"/>
          <w:szCs w:val="32"/>
        </w:rPr>
        <w:t xml:space="preserve">                                   福建省女子监狱</w:t>
      </w:r>
    </w:p>
    <w:p>
      <w:pPr>
        <w:spacing w:line="520" w:lineRule="exact"/>
        <w:ind w:firstLine="640" w:firstLineChars="200"/>
        <w:jc w:val="right"/>
        <w:rPr>
          <w:rFonts w:ascii="仿宋_GB2312" w:hAnsi="Times New Roman"/>
          <w:szCs w:val="32"/>
        </w:rPr>
      </w:pPr>
      <w:r>
        <w:rPr>
          <w:rFonts w:hint="eastAsia" w:ascii="Times New Roman" w:hAnsi="Times New Roman"/>
          <w:szCs w:val="32"/>
        </w:rPr>
        <w:t>二</w:t>
      </w:r>
      <w:r>
        <w:rPr>
          <w:rFonts w:hint="eastAsia" w:ascii="微软雅黑" w:hAnsi="微软雅黑" w:eastAsia="微软雅黑" w:cs="微软雅黑"/>
          <w:szCs w:val="32"/>
        </w:rPr>
        <w:t>〇</w:t>
      </w:r>
      <w:r>
        <w:rPr>
          <w:rFonts w:hint="eastAsia" w:ascii="仿宋_GB2312" w:hAnsi="仿宋_GB2312" w:cs="仿宋_GB2312"/>
          <w:szCs w:val="32"/>
        </w:rPr>
        <w:t>二五年十二月十五日</w:t>
      </w:r>
    </w:p>
    <w:p>
      <w:pPr>
        <w:jc w:val="right"/>
      </w:pPr>
    </w:p>
    <w:p>
      <w:pPr>
        <w:jc w:val="right"/>
        <w:rPr>
          <w:rFonts w:hint="eastAsia" w:ascii="仿宋_GB2312" w:hAnsi="仿宋_GB2312" w:cs="仿宋_GB2312"/>
          <w:iCs/>
          <w:color w:val="000000"/>
          <w:kern w:val="2"/>
          <w:szCs w:val="32"/>
          <w:lang w:val="zh-CN"/>
        </w:rPr>
        <w:sectPr>
          <w:headerReference r:id="rId6" w:type="default"/>
          <w:footerReference r:id="rId7" w:type="default"/>
          <w:footerReference r:id="rId8" w:type="even"/>
          <w:pgSz w:w="11907" w:h="16840"/>
          <w:pgMar w:top="1871" w:right="1304" w:bottom="1871" w:left="1588" w:header="1588" w:footer="1587" w:gutter="0"/>
          <w:cols w:space="0" w:num="1"/>
          <w:docGrid w:type="lines" w:linePitch="595" w:charSpace="0"/>
        </w:sect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25</w:t>
      </w:r>
      <w:r>
        <w:rPr>
          <w:rFonts w:hint="eastAsia" w:ascii="Times New Roman" w:hAnsi="Times New Roman" w:eastAsia="楷体_GB2312" w:cs="楷体_GB2312"/>
          <w:szCs w:val="32"/>
        </w:rPr>
        <w:t>〕闽女监狱减字第77</w:t>
      </w:r>
      <w:r>
        <w:rPr>
          <w:rFonts w:ascii="Times New Roman" w:hAnsi="Times New Roman" w:eastAsia="楷体_GB2312" w:cs="楷体_GB2312"/>
          <w:szCs w:val="32"/>
        </w:rPr>
        <w:t>0</w:t>
      </w:r>
      <w:r>
        <w:rPr>
          <w:rFonts w:hint="eastAsia" w:ascii="Times New Roman" w:hAnsi="Times New Roman" w:eastAsia="楷体_GB2312" w:cs="楷体_GB2312"/>
          <w:szCs w:val="32"/>
        </w:rPr>
        <w:t>号</w:t>
      </w:r>
    </w:p>
    <w:p>
      <w:pPr>
        <w:spacing w:line="360" w:lineRule="exact"/>
        <w:ind w:firstLine="640" w:firstLineChars="200"/>
        <w:rPr>
          <w:rFonts w:ascii="仿宋_GB2312" w:hAnsi="Times New Roman"/>
          <w:szCs w:val="32"/>
        </w:rPr>
      </w:pPr>
      <w:r>
        <w:rPr>
          <w:rFonts w:hint="eastAsia" w:ascii="仿宋_GB2312" w:hAnsi="Times New Roman"/>
          <w:szCs w:val="32"/>
        </w:rPr>
        <w:t>罪犯夏翠萍</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，女，1970年3月21日出生，汉族，小学文化，捕前无业。曾使用化名“张红”在押。</w:t>
      </w:r>
    </w:p>
    <w:p>
      <w:pPr>
        <w:spacing w:line="360" w:lineRule="exact"/>
        <w:ind w:firstLine="640" w:firstLineChars="200"/>
        <w:rPr>
          <w:rFonts w:ascii="仿宋_GB2312" w:hAnsi="Times New Roman"/>
          <w:szCs w:val="32"/>
        </w:rPr>
      </w:pPr>
      <w:r>
        <w:rPr>
          <w:rFonts w:hint="eastAsia" w:ascii="仿宋_GB2312" w:hAnsi="Times New Roman"/>
          <w:szCs w:val="32"/>
        </w:rPr>
        <w:t>福建省福州市中级人民法院于2011年5月30日作出（2011）榕刑初字第3号刑事附带民事判决，以被告人张红犯故意杀人罪，判处死刑，缓期二年执行，剥夺政治权利终身；被告人张红应赔偿五名附带民事诉讼原告人经济损失人民币45000元；被告人张红等六人对赔偿总额人民币210785元承担连带责任。宣判后，被告人不服，提出上诉。福建省高级人民法院于2011年12月22日作出（2011）闽刑终字第345号刑事附带民事判决，撤销原审刑事附带民事判决对被告人张红量刑部分的刑事判决；上诉人张红犯故意杀人罪，判处无期徒刑，剥夺政治权利终身。2012年1月18日交付福建省女子监狱执行刑罚。</w:t>
      </w:r>
      <w:r>
        <w:rPr>
          <w:rFonts w:hint="eastAsia" w:ascii="仿宋_GB2312" w:hAnsi="仿宋_GB2312" w:cs="仿宋_GB2312"/>
          <w:szCs w:val="32"/>
        </w:rPr>
        <w:t>2015年11月19日，福建省高级人民法院作出（2015）闽刑执字第914号刑事裁定，对其减为有期徒刑十八年六个月，剥夺政治权利改为七年。2018年7月24日，福建省福州市中级人民法院作出（2018）闽01刑更3097号刑事裁定，对其减刑八个月，剥夺政治权利七年不变，2018年7月27日送达。刑期自2015年11月19日起至2033年9月18日。</w:t>
      </w:r>
      <w:r>
        <w:rPr>
          <w:rFonts w:hint="eastAsia" w:ascii="仿宋_GB2312" w:hAnsi="Times New Roman"/>
          <w:szCs w:val="32"/>
        </w:rPr>
        <w:t>2020年12月21日，押回重审。河南省周口市中级人民法院于2023年6月9日作出（2023）豫16刑初17号刑事附带民事判决，以被告人夏翠萍犯故意杀人罪，判处死刑，缓期二年执行，剥夺政治权利终身；与前罪所犯故意杀人罪被判处无期徒刑，剥夺政治权利终身并罚，决定执行死刑，缓期二年执行，剥夺政治权利终身；被告人夏翠萍赔偿二名附带民事诉讼原告人经济损失共计人民币38130.5元。宣判后，被告人不服，提出上诉。河南省高级人民法院于2023年8月15日作出（2023）豫刑终248号刑事裁定，准许上诉人夏翠萍撤回上诉。河南省高级人民法院于2023年8月16日作出（2023）豫刑核67175237号刑事裁定，核准周口市中级人民法院（2023）豫16刑初17号刑事附带民事判决的刑事判决部分。死缓考验期自2023年8月17日至2025年8月16日。2023年10月24日收监归队。属考察级罪犯。</w:t>
      </w:r>
    </w:p>
    <w:p>
      <w:pPr>
        <w:spacing w:line="360" w:lineRule="exact"/>
        <w:ind w:firstLine="640" w:firstLineChars="200"/>
        <w:rPr>
          <w:rFonts w:ascii="仿宋_GB2312" w:hAnsi="仿宋_GB2312" w:cs="仿宋_GB2312"/>
          <w:szCs w:val="32"/>
        </w:rPr>
      </w:pPr>
      <w:r>
        <w:rPr>
          <w:rFonts w:hint="eastAsia" w:ascii="仿宋_GB2312" w:hAnsi="Times New Roman"/>
          <w:szCs w:val="32"/>
        </w:rPr>
        <w:t>罪犯夏翠萍</w:t>
      </w:r>
      <w:r>
        <w:rPr>
          <w:rFonts w:hint="eastAsia" w:ascii="仿宋_GB2312" w:hAnsi="仿宋"/>
          <w:iCs/>
          <w:kern w:val="2"/>
          <w:szCs w:val="32"/>
        </w:rPr>
        <w:t>在死刑缓期执行期间没有故意犯罪，自入监以来改造表现如下</w:t>
      </w:r>
      <w:r>
        <w:rPr>
          <w:rFonts w:hint="eastAsia" w:ascii="仿宋_GB2312" w:hAnsi="仿宋_GB2312" w:cs="仿宋_GB2312"/>
          <w:szCs w:val="32"/>
        </w:rPr>
        <w:t>：</w:t>
      </w:r>
    </w:p>
    <w:p>
      <w:pPr>
        <w:spacing w:line="360" w:lineRule="exact"/>
        <w:ind w:firstLine="640" w:firstLineChars="200"/>
        <w:rPr>
          <w:rFonts w:ascii="仿宋_GB2312"/>
          <w:color w:val="0000FF"/>
          <w:szCs w:val="32"/>
          <w:lang w:val="zh-CN"/>
        </w:rPr>
      </w:pPr>
      <w:r>
        <w:rPr>
          <w:rFonts w:hint="eastAsia" w:ascii="仿宋_GB2312"/>
          <w:szCs w:val="32"/>
          <w:lang w:val="zh-CN"/>
        </w:rPr>
        <w:t>认罪悔罪：</w:t>
      </w:r>
      <w:r>
        <w:rPr>
          <w:rFonts w:hint="eastAsia" w:ascii="仿宋_GB2312" w:hAnsi="仿宋_GB2312" w:cs="仿宋_GB2312"/>
          <w:szCs w:val="32"/>
          <w:lang w:val="zh-CN"/>
        </w:rPr>
        <w:t>能服从法院判决，自书认罪悔罪书</w:t>
      </w:r>
      <w:r>
        <w:rPr>
          <w:rFonts w:hint="eastAsia" w:ascii="仿宋_GB2312" w:hAnsi="仿宋" w:cs="宋体"/>
          <w:color w:val="000000"/>
          <w:szCs w:val="32"/>
          <w:lang w:val="zh-CN"/>
        </w:rPr>
        <w:t>。</w:t>
      </w:r>
    </w:p>
    <w:p>
      <w:pPr>
        <w:spacing w:line="360" w:lineRule="exact"/>
        <w:ind w:firstLine="640" w:firstLineChars="200"/>
        <w:rPr>
          <w:rFonts w:ascii="仿宋_GB2312"/>
          <w:szCs w:val="32"/>
          <w:lang w:val="zh-CN"/>
        </w:rPr>
      </w:pPr>
      <w:r>
        <w:rPr>
          <w:rFonts w:hint="eastAsia" w:ascii="仿宋_GB2312"/>
          <w:szCs w:val="32"/>
          <w:lang w:val="zh-CN"/>
        </w:rPr>
        <w:t>遵守监规：虽有违规情形，但经民警教育，能遵守法律法规及监规纪律，接受教育改造。</w:t>
      </w:r>
    </w:p>
    <w:p>
      <w:pPr>
        <w:spacing w:line="360" w:lineRule="exact"/>
        <w:ind w:firstLine="640" w:firstLineChars="200"/>
        <w:rPr>
          <w:rFonts w:ascii="仿宋_GB2312"/>
          <w:szCs w:val="32"/>
          <w:lang w:val="zh-CN"/>
        </w:rPr>
      </w:pPr>
      <w:r>
        <w:rPr>
          <w:rFonts w:hint="eastAsia" w:ascii="仿宋_GB2312"/>
          <w:szCs w:val="32"/>
          <w:lang w:val="zh-CN"/>
        </w:rPr>
        <w:t>学习情况：能参加思想、文化、职业技术教育。</w:t>
      </w:r>
    </w:p>
    <w:p>
      <w:pPr>
        <w:spacing w:line="360" w:lineRule="exact"/>
        <w:ind w:firstLine="640" w:firstLineChars="200"/>
        <w:rPr>
          <w:rFonts w:ascii="仿宋_GB2312"/>
          <w:szCs w:val="32"/>
          <w:lang w:val="zh-CN"/>
        </w:rPr>
      </w:pPr>
      <w:r>
        <w:rPr>
          <w:rFonts w:hint="eastAsia" w:ascii="仿宋_GB2312"/>
          <w:szCs w:val="32"/>
          <w:lang w:val="zh-CN"/>
        </w:rPr>
        <w:t>劳动改造：能参加劳动，努力完成生产任务。</w:t>
      </w:r>
    </w:p>
    <w:p>
      <w:pPr>
        <w:spacing w:line="360" w:lineRule="exact"/>
        <w:ind w:firstLine="640" w:firstLineChars="200"/>
        <w:rPr>
          <w:rFonts w:ascii="仿宋_GB2312"/>
          <w:color w:val="000000"/>
          <w:szCs w:val="32"/>
        </w:rPr>
      </w:pPr>
      <w:r>
        <w:rPr>
          <w:rFonts w:hint="eastAsia" w:ascii="仿宋_GB2312" w:hAnsi="宋体" w:cs="宋体"/>
          <w:color w:val="000000"/>
          <w:kern w:val="0"/>
          <w:szCs w:val="32"/>
          <w:lang w:val="zh-CN"/>
        </w:rPr>
        <w:t>奖惩情况</w:t>
      </w:r>
      <w:r>
        <w:rPr>
          <w:rFonts w:hint="eastAsia" w:ascii="仿宋_GB2312"/>
          <w:szCs w:val="32"/>
          <w:lang w:val="zh-CN"/>
        </w:rPr>
        <w:t>：</w:t>
      </w:r>
      <w:r>
        <w:rPr>
          <w:rFonts w:hint="eastAsia" w:ascii="仿宋_GB2312"/>
          <w:color w:val="000000"/>
          <w:szCs w:val="32"/>
        </w:rPr>
        <w:t>该犯考核期</w:t>
      </w:r>
      <w:r>
        <w:rPr>
          <w:rFonts w:ascii="仿宋_GB2312" w:hAnsi="Times New Roman"/>
          <w:szCs w:val="32"/>
        </w:rPr>
        <w:t>20</w:t>
      </w:r>
      <w:r>
        <w:rPr>
          <w:rFonts w:hint="eastAsia" w:ascii="仿宋_GB2312" w:hAnsi="Times New Roman"/>
          <w:szCs w:val="32"/>
        </w:rPr>
        <w:t>23年10月24日</w:t>
      </w:r>
      <w:r>
        <w:rPr>
          <w:rFonts w:hint="eastAsia" w:ascii="仿宋_GB2312"/>
          <w:color w:val="000000"/>
          <w:szCs w:val="32"/>
        </w:rPr>
        <w:t>至2025年8月累计获考核分2055分，表扬1次，物质奖励2次；违规2次，累计扣考核分203分，其中重大违规1次：2023年12月18日因11月6日罪犯隐瞒真实姓名，经查确属“三假”罪犯的，扣200分。</w:t>
      </w:r>
    </w:p>
    <w:p>
      <w:pPr>
        <w:spacing w:line="360" w:lineRule="exact"/>
        <w:ind w:firstLine="640" w:firstLineChars="200"/>
        <w:rPr>
          <w:rFonts w:ascii="仿宋_GB2312" w:hAnsi="Times New Roman"/>
          <w:szCs w:val="32"/>
          <w:highlight w:val="yellow"/>
        </w:rPr>
      </w:pPr>
      <w:r>
        <w:rPr>
          <w:rFonts w:hint="eastAsia" w:ascii="仿宋_GB2312" w:hAnsi="Times New Roman"/>
          <w:szCs w:val="32"/>
        </w:rPr>
        <w:t>该犯原判财产性判项</w:t>
      </w:r>
      <w:r>
        <w:rPr>
          <w:rFonts w:hint="eastAsia" w:ascii="仿宋_GB2312" w:hAnsi="Times New Roman"/>
          <w:szCs w:val="32"/>
          <w:lang w:val="zh-CN"/>
        </w:rPr>
        <w:t>已履行</w:t>
      </w:r>
      <w:r>
        <w:rPr>
          <w:rFonts w:hint="eastAsia" w:ascii="仿宋_GB2312" w:hAnsi="Times New Roman"/>
          <w:szCs w:val="32"/>
        </w:rPr>
        <w:t>0</w:t>
      </w:r>
      <w:r>
        <w:rPr>
          <w:rFonts w:hint="eastAsia" w:ascii="仿宋_GB2312" w:hAnsi="Times New Roman"/>
          <w:szCs w:val="32"/>
          <w:lang w:val="zh-CN"/>
        </w:rPr>
        <w:t>元，其中本次提请缴交</w:t>
      </w:r>
      <w:r>
        <w:rPr>
          <w:rFonts w:hint="eastAsia" w:ascii="仿宋_GB2312" w:hAnsi="Times New Roman"/>
          <w:szCs w:val="32"/>
        </w:rPr>
        <w:t>0元，</w:t>
      </w:r>
      <w:r>
        <w:rPr>
          <w:rFonts w:hint="eastAsia" w:ascii="仿宋_GB2312" w:hAnsi="Times New Roman"/>
          <w:szCs w:val="32"/>
          <w:lang w:val="zh-CN"/>
        </w:rPr>
        <w:t>其余未履行</w:t>
      </w:r>
      <w:r>
        <w:rPr>
          <w:rFonts w:hint="eastAsia" w:ascii="仿宋_GB2312" w:hAnsi="Times New Roman"/>
          <w:szCs w:val="32"/>
        </w:rPr>
        <w:t>。该犯考核期月均消费人民币189.47元，账户可用余额人民币2884.62元。</w:t>
      </w:r>
      <w:r>
        <w:rPr>
          <w:rFonts w:hint="eastAsia" w:ascii="仿宋_GB2312" w:hAnsi="Times New Roman"/>
          <w:szCs w:val="32"/>
          <w:lang w:val="zh-CN"/>
        </w:rPr>
        <w:t>河南省周口市中级人民法院于</w:t>
      </w:r>
      <w:r>
        <w:rPr>
          <w:rFonts w:hint="eastAsia" w:ascii="仿宋_GB2312" w:hAnsi="Times New Roman"/>
          <w:szCs w:val="32"/>
        </w:rPr>
        <w:t>2025年9月4日出具复函载明：经查询被执行人名下无可供执行财产，未能执行到，本案终结本次执行程序。执行过程中，未发现该犯存在拒不交代赃款、赃物去向，隐瞒、藏匿、转移财产，妨害财产性判项执行，拒不申报或者虚假申报财产情况的情形。</w:t>
      </w:r>
    </w:p>
    <w:p>
      <w:pPr>
        <w:spacing w:line="360" w:lineRule="exact"/>
        <w:ind w:firstLine="640" w:firstLineChars="200"/>
        <w:rPr>
          <w:rFonts w:ascii="仿宋_GB2312"/>
          <w:szCs w:val="32"/>
          <w:lang w:val="zh-CN"/>
        </w:rPr>
      </w:pPr>
      <w:r>
        <w:rPr>
          <w:rFonts w:hint="eastAsia" w:ascii="仿宋_GB2312"/>
          <w:szCs w:val="32"/>
          <w:lang w:val="zh-CN"/>
        </w:rPr>
        <w:t>该犯系因故意杀人罪、数罪并罚被判处死刑缓期执行的罪犯，属于从严掌握减刑对象。</w:t>
      </w:r>
    </w:p>
    <w:p>
      <w:pPr>
        <w:spacing w:line="36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1</w:t>
      </w:r>
      <w:r>
        <w:rPr>
          <w:rFonts w:hint="eastAsia" w:ascii="仿宋_GB2312"/>
          <w:szCs w:val="32"/>
        </w:rPr>
        <w:t>日至202</w:t>
      </w:r>
      <w:r>
        <w:rPr>
          <w:rFonts w:ascii="仿宋_GB2312"/>
          <w:szCs w:val="32"/>
        </w:rPr>
        <w:t>5</w:t>
      </w:r>
      <w:r>
        <w:rPr>
          <w:rFonts w:hint="eastAsia" w:ascii="仿宋_GB2312"/>
          <w:szCs w:val="32"/>
        </w:rPr>
        <w:t>年</w:t>
      </w:r>
      <w:r>
        <w:rPr>
          <w:rFonts w:ascii="仿宋_GB2312"/>
          <w:szCs w:val="32"/>
        </w:rPr>
        <w:t>12</w:t>
      </w:r>
      <w:r>
        <w:rPr>
          <w:rFonts w:hint="eastAsia" w:ascii="仿宋_GB2312"/>
          <w:szCs w:val="32"/>
        </w:rPr>
        <w:t>月</w:t>
      </w:r>
      <w:r>
        <w:rPr>
          <w:rFonts w:ascii="仿宋_GB2312"/>
          <w:szCs w:val="32"/>
        </w:rPr>
        <w:t>5</w:t>
      </w:r>
      <w:r>
        <w:rPr>
          <w:rFonts w:hint="eastAsia" w:ascii="仿宋_GB2312"/>
          <w:szCs w:val="32"/>
        </w:rPr>
        <w:t>日</w:t>
      </w:r>
      <w:r>
        <w:rPr>
          <w:rFonts w:hint="eastAsia" w:ascii="仿宋_GB2312" w:hAnsi="仿宋_GB2312" w:cs="仿宋_GB2312"/>
          <w:color w:val="000000"/>
          <w:szCs w:val="32"/>
        </w:rPr>
        <w:t>在狱内公示未收到不同意见。</w:t>
      </w:r>
    </w:p>
    <w:p>
      <w:pPr>
        <w:spacing w:line="360" w:lineRule="exact"/>
        <w:ind w:firstLine="640" w:firstLineChars="200"/>
        <w:rPr>
          <w:rFonts w:ascii="仿宋_GB2312" w:hAnsi="Times New Roman"/>
          <w:szCs w:val="32"/>
        </w:rPr>
      </w:pPr>
      <w:r>
        <w:rPr>
          <w:rFonts w:hint="eastAsia" w:ascii="仿宋_GB2312"/>
          <w:szCs w:val="32"/>
          <w:lang w:val="zh-CN"/>
        </w:rPr>
        <w:t>因此，依照《中华人民共和国刑法》第五十条、第五十</w:t>
      </w:r>
      <w:r>
        <w:rPr>
          <w:rFonts w:hint="eastAsia" w:ascii="仿宋_GB2312" w:hAnsi="Times New Roman"/>
          <w:szCs w:val="32"/>
        </w:rPr>
        <w:t>七条、《中华人民共和国刑事诉讼法》第二百六十一条和《中华人民共和国监狱法》第三十一条规定，建议对罪犯夏翠萍减为无期徒刑，剥夺政治权利终身不变。特提请你院审理裁定。</w:t>
      </w:r>
    </w:p>
    <w:p>
      <w:pPr>
        <w:pStyle w:val="3"/>
        <w:spacing w:line="360" w:lineRule="exact"/>
        <w:ind w:left="847" w:leftChars="202" w:right="-48" w:rightChars="-15" w:hanging="201" w:hangingChars="63"/>
        <w:rPr>
          <w:rFonts w:ascii="仿宋_GB2312"/>
          <w:sz w:val="32"/>
          <w:szCs w:val="32"/>
          <w:lang w:val="zh-CN"/>
        </w:rPr>
      </w:pPr>
      <w:r>
        <w:rPr>
          <w:rFonts w:hint="eastAsia" w:ascii="仿宋_GB2312"/>
          <w:sz w:val="32"/>
          <w:szCs w:val="32"/>
          <w:lang w:val="zh-CN"/>
        </w:rPr>
        <w:t>此致</w:t>
      </w:r>
    </w:p>
    <w:p>
      <w:pPr>
        <w:spacing w:line="360" w:lineRule="exact"/>
        <w:rPr>
          <w:rFonts w:ascii="仿宋_GB2312" w:hAnsi="仿宋_GB2312" w:cs="仿宋_GB2312"/>
          <w:szCs w:val="32"/>
        </w:rPr>
      </w:pPr>
      <w:r>
        <w:rPr>
          <w:rFonts w:hint="eastAsia" w:ascii="仿宋_GB2312" w:hAnsi="仿宋_GB2312" w:cs="仿宋_GB2312"/>
          <w:szCs w:val="32"/>
        </w:rPr>
        <w:t>福建省高级人民法院</w:t>
      </w:r>
    </w:p>
    <w:p>
      <w:pPr>
        <w:spacing w:line="360" w:lineRule="exact"/>
        <w:ind w:firstLine="640" w:firstLineChars="200"/>
        <w:rPr>
          <w:rFonts w:ascii="仿宋" w:hAnsi="仿宋" w:eastAsia="仿宋" w:cs="仿宋"/>
          <w:szCs w:val="32"/>
        </w:rPr>
      </w:pPr>
      <w:r>
        <w:rPr>
          <w:rFonts w:hint="eastAsia" w:ascii="Times New Roman" w:hAnsi="Times New Roman" w:cs="仿宋_GB2312"/>
          <w:szCs w:val="32"/>
        </w:rPr>
        <w:t>附件：</w:t>
      </w:r>
      <w:r>
        <w:rPr>
          <w:rFonts w:hint="eastAsia" w:ascii="仿宋" w:hAnsi="仿宋" w:eastAsia="仿宋" w:cs="仿宋"/>
          <w:szCs w:val="32"/>
        </w:rPr>
        <w:t>⒈罪犯</w:t>
      </w:r>
      <w:r>
        <w:rPr>
          <w:rFonts w:hint="eastAsia" w:ascii="仿宋" w:hAnsi="仿宋" w:eastAsia="仿宋" w:cs="仿宋"/>
          <w:kern w:val="0"/>
          <w:szCs w:val="32"/>
        </w:rPr>
        <w:t>夏翠萍</w:t>
      </w:r>
      <w:r>
        <w:rPr>
          <w:rFonts w:hint="eastAsia" w:ascii="仿宋" w:hAnsi="仿宋" w:eastAsia="仿宋" w:cs="仿宋"/>
          <w:szCs w:val="32"/>
        </w:rPr>
        <w:t>卷宗贰册</w:t>
      </w:r>
    </w:p>
    <w:p>
      <w:pPr>
        <w:spacing w:line="360" w:lineRule="exact"/>
        <w:ind w:right="-48" w:rightChars="-15" w:firstLine="1600" w:firstLineChars="500"/>
        <w:rPr>
          <w:rFonts w:ascii="仿宋" w:hAnsi="仿宋" w:eastAsia="仿宋" w:cs="仿宋"/>
          <w:szCs w:val="32"/>
        </w:rPr>
      </w:pPr>
      <w:r>
        <w:rPr>
          <w:rFonts w:hint="eastAsia" w:ascii="仿宋" w:hAnsi="仿宋" w:eastAsia="仿宋" w:cs="仿宋"/>
          <w:szCs w:val="32"/>
        </w:rPr>
        <w:t>⒉减刑建议书伍份</w:t>
      </w:r>
    </w:p>
    <w:p>
      <w:pPr>
        <w:spacing w:line="360" w:lineRule="exact"/>
        <w:ind w:right="-48" w:rightChars="-15"/>
        <w:jc w:val="center"/>
        <w:rPr>
          <w:rFonts w:ascii="Times New Roman" w:hAnsi="Times New Roman"/>
          <w:szCs w:val="32"/>
        </w:rPr>
      </w:pPr>
      <w:r>
        <w:rPr>
          <w:rFonts w:hint="eastAsia" w:ascii="Times New Roman" w:hAnsi="Times New Roman"/>
          <w:szCs w:val="32"/>
        </w:rPr>
        <w:t xml:space="preserve">                                   福建省女子监狱</w:t>
      </w:r>
    </w:p>
    <w:p>
      <w:pPr>
        <w:pStyle w:val="3"/>
        <w:spacing w:line="440" w:lineRule="exact"/>
        <w:ind w:left="5529" w:right="-48" w:rightChars="-15"/>
        <w:jc w:val="right"/>
        <w:rPr>
          <w:rFonts w:hint="eastAsia" w:ascii="Times New Roman" w:hAnsi="Times New Roman"/>
          <w:sz w:val="32"/>
          <w:szCs w:val="32"/>
        </w:rPr>
      </w:pPr>
      <w:r>
        <w:rPr>
          <w:rFonts w:hint="eastAsia" w:ascii="Times New Roman" w:hAnsi="Times New Roman"/>
          <w:sz w:val="32"/>
          <w:szCs w:val="32"/>
        </w:rPr>
        <w:t>二</w:t>
      </w:r>
      <w:r>
        <w:rPr>
          <w:rFonts w:hint="eastAsia" w:ascii="微软雅黑" w:hAnsi="微软雅黑" w:eastAsia="微软雅黑" w:cs="微软雅黑"/>
          <w:sz w:val="32"/>
          <w:szCs w:val="32"/>
        </w:rPr>
        <w:t>〇</w:t>
      </w:r>
      <w:r>
        <w:rPr>
          <w:rFonts w:hint="eastAsia" w:ascii="仿宋_GB2312" w:hAnsi="仿宋_GB2312" w:cs="仿宋_GB2312"/>
          <w:sz w:val="32"/>
          <w:szCs w:val="32"/>
        </w:rPr>
        <w:t>二五年十二月十五日</w:t>
      </w:r>
    </w:p>
    <w:p>
      <w:pPr>
        <w:jc w:val="right"/>
        <w:rPr>
          <w:rFonts w:hint="eastAsia" w:ascii="仿宋_GB2312" w:hAnsi="仿宋_GB2312" w:cs="仿宋_GB2312"/>
          <w:iCs/>
          <w:color w:val="000000"/>
          <w:kern w:val="2"/>
          <w:szCs w:val="32"/>
          <w:lang w:val="zh-CN"/>
        </w:rPr>
      </w:pPr>
      <w:bookmarkStart w:id="1" w:name="_GoBack"/>
      <w:bookmarkEnd w:id="1"/>
    </w:p>
    <w:sectPr>
      <w:headerReference r:id="rId9" w:type="default"/>
      <w:footerReference r:id="rId10" w:type="default"/>
      <w:footerReference r:id="rId11" w:type="even"/>
      <w:pgSz w:w="11907" w:h="16840"/>
      <w:pgMar w:top="1871" w:right="1304" w:bottom="1871" w:left="1588" w:header="1588" w:footer="1587" w:gutter="0"/>
      <w:cols w:space="0" w:num="1"/>
      <w:docGrid w:type="line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8"/>
                          </w:pPr>
                        </w:p>
                      </w:txbxContent>
                    </wps:txbx>
                    <wps:bodyPr wrap="none" lIns="0" tIns="0" rIns="0" bIns="0" upright="1">
                      <a:spAutoFit/>
                    </wps:bodyPr>
                  </wps:wsp>
                </a:graphicData>
              </a:graphic>
            </wp:anchor>
          </w:drawing>
        </mc:Choice>
        <mc:Fallback>
          <w:pict>
            <v:rect id="矩形 14"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uXW5UtAAAAAFAQAADwAAAAAAAAABACAAAAA4AAAA&#10;ZHJzL2Rvd25yZXYueG1sUEsBAhQAFAAAAAgAh07iQNGPW9vAAQAAjQMAAA4AAAAAAAAAAQAgAAAA&#10;NQEAAGRycy9lMm9Eb2MueG1sUEsFBgAAAAAGAAYAWQEAAGcFAAAAAA==&#10;">
              <v:fill on="f" focussize="0,0"/>
              <v:stroke on="f"/>
              <v:imagedata o:title=""/>
              <o:lock v:ext="edit" aspectratio="f"/>
              <v:textbox inset="0mm,0mm,0mm,0mm" style="mso-fit-shape-to-text:t;">
                <w:txbxContent>
                  <w:p>
                    <w:pPr>
                      <w:pStyle w:val="8"/>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2042" w:y="1"/>
      <w:rPr>
        <w:rStyle w:val="12"/>
      </w:rPr>
    </w:pPr>
    <w:r>
      <w:rPr>
        <w:rStyle w:val="12"/>
      </w:rPr>
      <w:fldChar w:fldCharType="begin"/>
    </w:r>
    <w:r>
      <w:rPr>
        <w:rStyle w:val="12"/>
      </w:rPr>
      <w:instrText xml:space="preserve">PAGE  </w:instrText>
    </w:r>
    <w:r>
      <w:rPr>
        <w:rStyle w:val="12"/>
      </w:rPr>
      <w:fldChar w:fldCharType="separate"/>
    </w:r>
    <w:r>
      <w:rPr>
        <w:rStyle w:val="12"/>
      </w:rPr>
      <w:t>2</w:t>
    </w:r>
    <w:r>
      <w:rPr>
        <w:rStyle w:val="12"/>
      </w:rP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1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8"/>
                          </w:pPr>
                        </w:p>
                      </w:txbxContent>
                    </wps:txbx>
                    <wps:bodyPr vert="horz" wrap="none" lIns="0" tIns="0" rIns="0" bIns="0" anchor="t" anchorCtr="0" upright="1">
                      <a:spAutoFit/>
                    </wps:bodyPr>
                  </wps:wsp>
                </a:graphicData>
              </a:graphic>
            </wp:anchor>
          </w:drawing>
        </mc:Choice>
        <mc:Fallback>
          <w:pict>
            <v:rect id="矩形 14"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C5dblS&#10;0AAAAAUBAAAPAAAAAAAAAAEAIAAAADgAAABkcnMvZG93bnJldi54bWxQSwECFAAUAAAACACHTuJA&#10;+0qn6NoBAADAAwAADgAAAAAAAAABACAAAAA1AQAAZHJzL2Uyb0RvYy54bWxQSwUGAAAAAAYABgBZ&#10;AQAAgQUAAAAA&#10;">
              <v:fill on="f" focussize="0,0"/>
              <v:stroke on="f"/>
              <v:imagedata o:title=""/>
              <o:lock v:ext="edit" aspectratio="f"/>
              <v:textbox inset="0mm,0mm,0mm,0mm" style="mso-fit-shape-to-text:t;">
                <w:txbxContent>
                  <w:p>
                    <w:pPr>
                      <w:pStyle w:val="8"/>
                    </w:pP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2042" w:y="1"/>
      <w:rPr>
        <w:rStyle w:val="12"/>
      </w:rPr>
    </w:pPr>
    <w:r>
      <w:rPr>
        <w:rStyle w:val="12"/>
      </w:rPr>
      <w:fldChar w:fldCharType="begin"/>
    </w:r>
    <w:r>
      <w:rPr>
        <w:rStyle w:val="12"/>
      </w:rPr>
      <w:instrText xml:space="preserve">PAGE  </w:instrText>
    </w:r>
    <w:r>
      <w:rPr>
        <w:rStyle w:val="12"/>
      </w:rPr>
      <w:fldChar w:fldCharType="separate"/>
    </w:r>
    <w:r>
      <w:rPr>
        <w:rStyle w:val="12"/>
      </w:rPr>
      <w:t>2</w:t>
    </w:r>
    <w:r>
      <w:rPr>
        <w:rStyle w:val="12"/>
      </w:rPr>
      <w:fldChar w:fldCharType="end"/>
    </w:r>
  </w:p>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矩形 1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8"/>
                          </w:pPr>
                        </w:p>
                      </w:txbxContent>
                    </wps:txbx>
                    <wps:bodyPr vert="horz" wrap="none" lIns="0" tIns="0" rIns="0" bIns="0" anchor="t" anchorCtr="0" upright="1">
                      <a:spAutoFit/>
                    </wps:bodyPr>
                  </wps:wsp>
                </a:graphicData>
              </a:graphic>
            </wp:anchor>
          </w:drawing>
        </mc:Choice>
        <mc:Fallback>
          <w:pict>
            <v:rect id="矩形 14"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uXW5&#10;UtAAAAAFAQAADwAAAAAAAAABACAAAAA4AAAAZHJzL2Rvd25yZXYueG1sUEsBAhQAFAAAAAgAh07i&#10;QGfLv4jbAQAAwAMAAA4AAAAAAAAAAQAgAAAANQEAAGRycy9lMm9Eb2MueG1sUEsFBgAAAAAGAAYA&#10;WQEAAIIFAAAAAA==&#10;">
              <v:fill on="f" focussize="0,0"/>
              <v:stroke on="f"/>
              <v:imagedata o:title=""/>
              <o:lock v:ext="edit" aspectratio="f"/>
              <v:textbox inset="0mm,0mm,0mm,0mm" style="mso-fit-shape-to-text:t;">
                <w:txbxContent>
                  <w:p>
                    <w:pPr>
                      <w:pStyle w:val="8"/>
                    </w:pP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2042" w:y="1"/>
      <w:rPr>
        <w:rStyle w:val="12"/>
      </w:rPr>
    </w:pPr>
    <w:r>
      <w:rPr>
        <w:rStyle w:val="12"/>
      </w:rPr>
      <w:fldChar w:fldCharType="begin"/>
    </w:r>
    <w:r>
      <w:rPr>
        <w:rStyle w:val="12"/>
      </w:rPr>
      <w:instrText xml:space="preserve">PAGE  </w:instrText>
    </w:r>
    <w:r>
      <w:rPr>
        <w:rStyle w:val="12"/>
      </w:rPr>
      <w:fldChar w:fldCharType="separate"/>
    </w:r>
    <w:r>
      <w:rPr>
        <w:rStyle w:val="12"/>
      </w:rPr>
      <w:t>2</w:t>
    </w:r>
    <w:r>
      <w:rPr>
        <w:rStyle w:val="12"/>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NotTrackMoves/>
  <w:documentProtection w:enforcement="0"/>
  <w:defaultTabStop w:val="425"/>
  <w:drawingGridHorizontalSpacing w:val="0"/>
  <w:drawingGridVerticalSpacing w:val="595"/>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6E6"/>
    <w:rsid w:val="00000479"/>
    <w:rsid w:val="00014746"/>
    <w:rsid w:val="000313EB"/>
    <w:rsid w:val="000316F6"/>
    <w:rsid w:val="00074C9B"/>
    <w:rsid w:val="000754CB"/>
    <w:rsid w:val="0007629E"/>
    <w:rsid w:val="0008467A"/>
    <w:rsid w:val="00087F67"/>
    <w:rsid w:val="000B7154"/>
    <w:rsid w:val="00132867"/>
    <w:rsid w:val="0013421D"/>
    <w:rsid w:val="001516E6"/>
    <w:rsid w:val="00155CB2"/>
    <w:rsid w:val="00177A8A"/>
    <w:rsid w:val="001E067E"/>
    <w:rsid w:val="001E5B7F"/>
    <w:rsid w:val="001E73ED"/>
    <w:rsid w:val="001F08AA"/>
    <w:rsid w:val="0020323A"/>
    <w:rsid w:val="0022552F"/>
    <w:rsid w:val="00243D08"/>
    <w:rsid w:val="00262561"/>
    <w:rsid w:val="00275D1C"/>
    <w:rsid w:val="002A06B7"/>
    <w:rsid w:val="002A3C6E"/>
    <w:rsid w:val="002B1E9A"/>
    <w:rsid w:val="002C6694"/>
    <w:rsid w:val="002E5D5F"/>
    <w:rsid w:val="00310DA6"/>
    <w:rsid w:val="00351CE3"/>
    <w:rsid w:val="00363306"/>
    <w:rsid w:val="00412A17"/>
    <w:rsid w:val="00421DF7"/>
    <w:rsid w:val="0042527C"/>
    <w:rsid w:val="004307AC"/>
    <w:rsid w:val="00433CB0"/>
    <w:rsid w:val="0047434E"/>
    <w:rsid w:val="00477C5E"/>
    <w:rsid w:val="004B0147"/>
    <w:rsid w:val="004B287F"/>
    <w:rsid w:val="004B6546"/>
    <w:rsid w:val="004E7147"/>
    <w:rsid w:val="004F24CF"/>
    <w:rsid w:val="004F70B4"/>
    <w:rsid w:val="00510803"/>
    <w:rsid w:val="005472DF"/>
    <w:rsid w:val="00573658"/>
    <w:rsid w:val="0057629B"/>
    <w:rsid w:val="005C31B8"/>
    <w:rsid w:val="005D39DF"/>
    <w:rsid w:val="005E2D6F"/>
    <w:rsid w:val="006200DF"/>
    <w:rsid w:val="00621384"/>
    <w:rsid w:val="0062202F"/>
    <w:rsid w:val="00631098"/>
    <w:rsid w:val="0064602D"/>
    <w:rsid w:val="00661C29"/>
    <w:rsid w:val="006A7B50"/>
    <w:rsid w:val="006B15FA"/>
    <w:rsid w:val="006C22F6"/>
    <w:rsid w:val="006E77EE"/>
    <w:rsid w:val="0073143A"/>
    <w:rsid w:val="007747D7"/>
    <w:rsid w:val="00775403"/>
    <w:rsid w:val="00783B0D"/>
    <w:rsid w:val="00786174"/>
    <w:rsid w:val="007B7557"/>
    <w:rsid w:val="007C4A7E"/>
    <w:rsid w:val="007E158A"/>
    <w:rsid w:val="007E6CE3"/>
    <w:rsid w:val="007F4220"/>
    <w:rsid w:val="00800528"/>
    <w:rsid w:val="008B7472"/>
    <w:rsid w:val="008E3F59"/>
    <w:rsid w:val="0090196D"/>
    <w:rsid w:val="00912D8F"/>
    <w:rsid w:val="00933932"/>
    <w:rsid w:val="0093683D"/>
    <w:rsid w:val="009B0EEA"/>
    <w:rsid w:val="009B6760"/>
    <w:rsid w:val="009C2411"/>
    <w:rsid w:val="009C3C6A"/>
    <w:rsid w:val="00A16B74"/>
    <w:rsid w:val="00A31085"/>
    <w:rsid w:val="00A46690"/>
    <w:rsid w:val="00A634C2"/>
    <w:rsid w:val="00A70C5A"/>
    <w:rsid w:val="00AA51C4"/>
    <w:rsid w:val="00AB2A7D"/>
    <w:rsid w:val="00AD2529"/>
    <w:rsid w:val="00AD2D33"/>
    <w:rsid w:val="00AE0BB8"/>
    <w:rsid w:val="00AF3098"/>
    <w:rsid w:val="00B213BF"/>
    <w:rsid w:val="00B706EE"/>
    <w:rsid w:val="00B76717"/>
    <w:rsid w:val="00BD3F32"/>
    <w:rsid w:val="00BE7846"/>
    <w:rsid w:val="00C24EB5"/>
    <w:rsid w:val="00C30674"/>
    <w:rsid w:val="00C30EC3"/>
    <w:rsid w:val="00C43E88"/>
    <w:rsid w:val="00C86739"/>
    <w:rsid w:val="00C90662"/>
    <w:rsid w:val="00CA3461"/>
    <w:rsid w:val="00CA502C"/>
    <w:rsid w:val="00CD00E1"/>
    <w:rsid w:val="00D12BD1"/>
    <w:rsid w:val="00D1689D"/>
    <w:rsid w:val="00DA154F"/>
    <w:rsid w:val="00DB7620"/>
    <w:rsid w:val="00DE309D"/>
    <w:rsid w:val="00DE5411"/>
    <w:rsid w:val="00E05418"/>
    <w:rsid w:val="00E104F9"/>
    <w:rsid w:val="00E14865"/>
    <w:rsid w:val="00E20423"/>
    <w:rsid w:val="00E24E5A"/>
    <w:rsid w:val="00E3577F"/>
    <w:rsid w:val="00E36D2C"/>
    <w:rsid w:val="00E463A6"/>
    <w:rsid w:val="00E47E53"/>
    <w:rsid w:val="00E51AE9"/>
    <w:rsid w:val="00E55823"/>
    <w:rsid w:val="00E56051"/>
    <w:rsid w:val="00E62BA3"/>
    <w:rsid w:val="00E653B5"/>
    <w:rsid w:val="00E73C8E"/>
    <w:rsid w:val="00E91350"/>
    <w:rsid w:val="00E96874"/>
    <w:rsid w:val="00EC5873"/>
    <w:rsid w:val="00F058EA"/>
    <w:rsid w:val="00F21F55"/>
    <w:rsid w:val="00F23599"/>
    <w:rsid w:val="00F33817"/>
    <w:rsid w:val="00F35001"/>
    <w:rsid w:val="00F77394"/>
    <w:rsid w:val="00F81C0F"/>
    <w:rsid w:val="00F9629B"/>
    <w:rsid w:val="00FA613A"/>
    <w:rsid w:val="00FC32BA"/>
    <w:rsid w:val="00FD289C"/>
    <w:rsid w:val="00FD2EA9"/>
    <w:rsid w:val="00FD5FE1"/>
    <w:rsid w:val="00FE075F"/>
    <w:rsid w:val="00FF2E72"/>
    <w:rsid w:val="07851CB5"/>
    <w:rsid w:val="07D570A9"/>
    <w:rsid w:val="089B03BE"/>
    <w:rsid w:val="0CDC02C8"/>
    <w:rsid w:val="12415A8D"/>
    <w:rsid w:val="1FFF27F3"/>
    <w:rsid w:val="23C92F17"/>
    <w:rsid w:val="33BBC6E3"/>
    <w:rsid w:val="3C446F9A"/>
    <w:rsid w:val="47AF272C"/>
    <w:rsid w:val="497C3968"/>
    <w:rsid w:val="4F201DDB"/>
    <w:rsid w:val="5FF7C52A"/>
    <w:rsid w:val="6981166F"/>
    <w:rsid w:val="6D9FB3AF"/>
    <w:rsid w:val="7DD4CA24"/>
    <w:rsid w:val="B3E6EAE5"/>
    <w:rsid w:val="F7FFB78D"/>
    <w:rsid w:val="FB5DB2C3"/>
    <w:rsid w:val="FEF32687"/>
    <w:rsid w:val="FF566F15"/>
    <w:rsid w:val="FF7F713B"/>
    <w:rsid w:val="FFDE47E4"/>
    <w:rsid w:val="FFFBCA3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qFormat="1" w:uiPriority="99" w:name="Closing" w:locked="1"/>
    <w:lsdException w:uiPriority="99" w:name="Signature" w:locked="1"/>
    <w:lsdException w:qFormat="1" w:uiPriority="1" w:name="Default Paragraph Font"/>
    <w:lsdException w:uiPriority="99" w:name="Body Text" w:locked="1"/>
    <w:lsdException w:qFormat="1" w:unhideWhenUsed="0"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qFormat="1" w:unhideWhenUsed="0" w:uiPriority="99" w:semiHidden="0" w:name="Salutation"/>
    <w:lsdException w:qFormat="1"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32"/>
      <w:sz w:val="3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624"/>
    </w:pPr>
  </w:style>
  <w:style w:type="paragraph" w:styleId="3">
    <w:name w:val="Salutation"/>
    <w:basedOn w:val="1"/>
    <w:next w:val="1"/>
    <w:link w:val="26"/>
    <w:qFormat/>
    <w:uiPriority w:val="99"/>
    <w:rPr>
      <w:sz w:val="20"/>
    </w:rPr>
  </w:style>
  <w:style w:type="paragraph" w:styleId="4">
    <w:name w:val="Closing"/>
    <w:basedOn w:val="1"/>
    <w:link w:val="25"/>
    <w:semiHidden/>
    <w:unhideWhenUsed/>
    <w:qFormat/>
    <w:locked/>
    <w:uiPriority w:val="99"/>
    <w:pPr>
      <w:ind w:left="100" w:leftChars="2100"/>
    </w:pPr>
    <w:rPr>
      <w:rFonts w:ascii="仿宋_GB2312" w:cs="仿宋_GB2312"/>
      <w:szCs w:val="32"/>
    </w:rPr>
  </w:style>
  <w:style w:type="paragraph" w:styleId="5">
    <w:name w:val="Body Text Indent"/>
    <w:basedOn w:val="1"/>
    <w:link w:val="30"/>
    <w:qFormat/>
    <w:locked/>
    <w:uiPriority w:val="99"/>
    <w:pPr>
      <w:autoSpaceDE w:val="0"/>
      <w:autoSpaceDN w:val="0"/>
      <w:adjustRightInd w:val="0"/>
      <w:spacing w:line="600" w:lineRule="exact"/>
      <w:ind w:firstLine="600"/>
    </w:pPr>
    <w:rPr>
      <w:rFonts w:ascii="宋体" w:hAnsi="宋体" w:eastAsia="宋体"/>
      <w:color w:val="000000"/>
      <w:kern w:val="2"/>
      <w:sz w:val="30"/>
      <w:lang w:val="zh-CN"/>
    </w:rPr>
  </w:style>
  <w:style w:type="paragraph" w:styleId="6">
    <w:name w:val="Date"/>
    <w:basedOn w:val="1"/>
    <w:next w:val="1"/>
    <w:link w:val="23"/>
    <w:semiHidden/>
    <w:unhideWhenUsed/>
    <w:qFormat/>
    <w:locked/>
    <w:uiPriority w:val="99"/>
    <w:pPr>
      <w:ind w:left="100" w:leftChars="2500"/>
    </w:pPr>
  </w:style>
  <w:style w:type="paragraph" w:styleId="7">
    <w:name w:val="Balloon Text"/>
    <w:basedOn w:val="1"/>
    <w:link w:val="24"/>
    <w:semiHidden/>
    <w:unhideWhenUsed/>
    <w:qFormat/>
    <w:locked/>
    <w:uiPriority w:val="99"/>
    <w:rPr>
      <w:sz w:val="18"/>
      <w:szCs w:val="18"/>
    </w:rPr>
  </w:style>
  <w:style w:type="paragraph" w:styleId="8">
    <w:name w:val="footer"/>
    <w:basedOn w:val="1"/>
    <w:link w:val="28"/>
    <w:qFormat/>
    <w:uiPriority w:val="99"/>
    <w:pPr>
      <w:tabs>
        <w:tab w:val="center" w:pos="4153"/>
        <w:tab w:val="right" w:pos="8306"/>
      </w:tabs>
      <w:snapToGrid w:val="0"/>
      <w:jc w:val="left"/>
    </w:pPr>
    <w:rPr>
      <w:sz w:val="18"/>
      <w:szCs w:val="18"/>
    </w:rPr>
  </w:style>
  <w:style w:type="paragraph" w:styleId="9">
    <w:name w:val="header"/>
    <w:basedOn w:val="1"/>
    <w:link w:val="29"/>
    <w:qFormat/>
    <w:uiPriority w:val="99"/>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99"/>
    <w:rPr>
      <w:rFonts w:cs="Times New Roman"/>
    </w:rPr>
  </w:style>
  <w:style w:type="character" w:styleId="13">
    <w:name w:val="Hyperlink"/>
    <w:basedOn w:val="11"/>
    <w:semiHidden/>
    <w:unhideWhenUsed/>
    <w:qFormat/>
    <w:locked/>
    <w:uiPriority w:val="99"/>
    <w:rPr>
      <w:rFonts w:ascii="Times New Roman" w:hAnsi="Times New Roman" w:eastAsia="宋体" w:cs="Times New Roman"/>
      <w:color w:val="0000FF" w:themeColor="hyperlink"/>
      <w:u w:val="single"/>
      <w:lang w:val="en-US" w:eastAsia="zh-CN" w:bidi="ar-SA"/>
    </w:rPr>
  </w:style>
  <w:style w:type="character" w:customStyle="1" w:styleId="14">
    <w:name w:val="称呼 Char"/>
    <w:basedOn w:val="11"/>
    <w:qFormat/>
    <w:locked/>
    <w:uiPriority w:val="99"/>
    <w:rPr>
      <w:rFonts w:ascii="Calibri" w:hAnsi="Calibri" w:eastAsia="仿宋_GB2312" w:cs="Times New Roman"/>
      <w:kern w:val="32"/>
      <w:sz w:val="20"/>
    </w:rPr>
  </w:style>
  <w:style w:type="character" w:customStyle="1" w:styleId="15">
    <w:name w:val="Body Text Indent Char"/>
    <w:basedOn w:val="11"/>
    <w:semiHidden/>
    <w:qFormat/>
    <w:locked/>
    <w:uiPriority w:val="99"/>
    <w:rPr>
      <w:rFonts w:ascii="Calibri" w:hAnsi="Calibri" w:eastAsia="仿宋_GB2312" w:cs="Times New Roman"/>
      <w:kern w:val="32"/>
      <w:sz w:val="20"/>
    </w:rPr>
  </w:style>
  <w:style w:type="character" w:customStyle="1" w:styleId="16">
    <w:name w:val="页脚 Char"/>
    <w:basedOn w:val="11"/>
    <w:semiHidden/>
    <w:qFormat/>
    <w:locked/>
    <w:uiPriority w:val="99"/>
    <w:rPr>
      <w:rFonts w:ascii="Calibri" w:hAnsi="Calibri" w:eastAsia="仿宋_GB2312" w:cs="Times New Roman"/>
      <w:kern w:val="32"/>
      <w:sz w:val="18"/>
    </w:rPr>
  </w:style>
  <w:style w:type="character" w:customStyle="1" w:styleId="17">
    <w:name w:val="页眉 Char"/>
    <w:basedOn w:val="11"/>
    <w:semiHidden/>
    <w:qFormat/>
    <w:locked/>
    <w:uiPriority w:val="99"/>
    <w:rPr>
      <w:rFonts w:ascii="Calibri" w:hAnsi="Calibri" w:eastAsia="仿宋_GB2312" w:cs="Times New Roman"/>
      <w:kern w:val="32"/>
      <w:sz w:val="18"/>
    </w:rPr>
  </w:style>
  <w:style w:type="paragraph" w:customStyle="1" w:styleId="18">
    <w:name w:val="大标题"/>
    <w:basedOn w:val="1"/>
    <w:qFormat/>
    <w:uiPriority w:val="99"/>
    <w:pPr>
      <w:snapToGrid w:val="0"/>
      <w:jc w:val="center"/>
    </w:pPr>
    <w:rPr>
      <w:rFonts w:eastAsia="方正大标宋简体"/>
      <w:sz w:val="44"/>
    </w:rPr>
  </w:style>
  <w:style w:type="paragraph" w:customStyle="1" w:styleId="19">
    <w:name w:val="小标题"/>
    <w:basedOn w:val="1"/>
    <w:qFormat/>
    <w:uiPriority w:val="99"/>
    <w:pPr>
      <w:ind w:firstLine="624"/>
    </w:pPr>
    <w:rPr>
      <w:rFonts w:eastAsia="黑体"/>
    </w:rPr>
  </w:style>
  <w:style w:type="paragraph" w:customStyle="1" w:styleId="20">
    <w:name w:val="小小标题"/>
    <w:basedOn w:val="1"/>
    <w:qFormat/>
    <w:uiPriority w:val="99"/>
    <w:pPr>
      <w:ind w:firstLine="624"/>
    </w:pPr>
    <w:rPr>
      <w:rFonts w:eastAsia="楷体_GB2312"/>
      <w:b/>
    </w:rPr>
  </w:style>
  <w:style w:type="character" w:customStyle="1" w:styleId="21">
    <w:name w:val="正文文本缩进 Char"/>
    <w:qFormat/>
    <w:locked/>
    <w:uiPriority w:val="99"/>
    <w:rPr>
      <w:rFonts w:ascii="宋体" w:hAnsi="宋体" w:eastAsia="宋体"/>
      <w:color w:val="000000"/>
      <w:kern w:val="2"/>
      <w:sz w:val="30"/>
      <w:lang w:val="zh-CN" w:eastAsia="zh-CN"/>
    </w:rPr>
  </w:style>
  <w:style w:type="paragraph" w:customStyle="1" w:styleId="22">
    <w:name w:val="列表段落1"/>
    <w:basedOn w:val="1"/>
    <w:qFormat/>
    <w:uiPriority w:val="99"/>
    <w:pPr>
      <w:ind w:firstLine="420" w:firstLineChars="200"/>
    </w:pPr>
    <w:rPr>
      <w:rFonts w:ascii="Times New Roman" w:hAnsi="Times New Roman"/>
    </w:rPr>
  </w:style>
  <w:style w:type="character" w:customStyle="1" w:styleId="23">
    <w:name w:val="日期 字符"/>
    <w:basedOn w:val="11"/>
    <w:link w:val="6"/>
    <w:semiHidden/>
    <w:qFormat/>
    <w:uiPriority w:val="99"/>
    <w:rPr>
      <w:rFonts w:ascii="Calibri" w:hAnsi="Calibri" w:eastAsia="仿宋_GB2312"/>
      <w:kern w:val="32"/>
      <w:sz w:val="32"/>
    </w:rPr>
  </w:style>
  <w:style w:type="character" w:customStyle="1" w:styleId="24">
    <w:name w:val="批注框文本 字符"/>
    <w:basedOn w:val="11"/>
    <w:link w:val="7"/>
    <w:semiHidden/>
    <w:qFormat/>
    <w:uiPriority w:val="99"/>
    <w:rPr>
      <w:rFonts w:ascii="Times New Roman" w:hAnsi="Times New Roman" w:eastAsia="宋体" w:cs="Times New Roman"/>
      <w:sz w:val="18"/>
      <w:szCs w:val="18"/>
      <w:lang w:val="en-US" w:eastAsia="zh-CN" w:bidi="ar-SA"/>
    </w:rPr>
  </w:style>
  <w:style w:type="character" w:customStyle="1" w:styleId="25">
    <w:name w:val="结束语 字符"/>
    <w:basedOn w:val="11"/>
    <w:link w:val="4"/>
    <w:qFormat/>
    <w:uiPriority w:val="99"/>
    <w:rPr>
      <w:rFonts w:ascii="仿宋_GB2312" w:hAnsi="Times New Roman" w:eastAsia="宋体" w:cs="仿宋_GB2312"/>
      <w:szCs w:val="32"/>
    </w:rPr>
  </w:style>
  <w:style w:type="character" w:customStyle="1" w:styleId="26">
    <w:name w:val="称呼 字符"/>
    <w:basedOn w:val="11"/>
    <w:link w:val="3"/>
    <w:qFormat/>
    <w:locked/>
    <w:uiPriority w:val="99"/>
    <w:rPr>
      <w:rFonts w:ascii="Calibri" w:hAnsi="Calibri" w:eastAsia="仿宋_GB2312" w:cs="Times New Roman"/>
      <w:kern w:val="32"/>
      <w:sz w:val="20"/>
    </w:rPr>
  </w:style>
  <w:style w:type="character" w:customStyle="1" w:styleId="27">
    <w:name w:val="Balloon Text Char"/>
    <w:basedOn w:val="11"/>
    <w:semiHidden/>
    <w:qFormat/>
    <w:locked/>
    <w:uiPriority w:val="99"/>
    <w:rPr>
      <w:rFonts w:ascii="Calibri" w:hAnsi="Calibri" w:eastAsia="仿宋_GB2312" w:cs="Times New Roman"/>
      <w:kern w:val="32"/>
      <w:sz w:val="18"/>
      <w:szCs w:val="18"/>
    </w:rPr>
  </w:style>
  <w:style w:type="character" w:customStyle="1" w:styleId="28">
    <w:name w:val="页脚 字符"/>
    <w:basedOn w:val="11"/>
    <w:link w:val="8"/>
    <w:semiHidden/>
    <w:qFormat/>
    <w:locked/>
    <w:uiPriority w:val="99"/>
    <w:rPr>
      <w:rFonts w:ascii="Calibri" w:hAnsi="Calibri" w:eastAsia="仿宋_GB2312" w:cs="Times New Roman"/>
      <w:kern w:val="32"/>
      <w:sz w:val="18"/>
    </w:rPr>
  </w:style>
  <w:style w:type="character" w:customStyle="1" w:styleId="29">
    <w:name w:val="页眉 字符"/>
    <w:basedOn w:val="11"/>
    <w:link w:val="9"/>
    <w:semiHidden/>
    <w:qFormat/>
    <w:locked/>
    <w:uiPriority w:val="99"/>
    <w:rPr>
      <w:rFonts w:ascii="Calibri" w:hAnsi="Calibri" w:eastAsia="仿宋_GB2312" w:cs="Times New Roman"/>
      <w:kern w:val="32"/>
      <w:sz w:val="18"/>
    </w:rPr>
  </w:style>
  <w:style w:type="character" w:customStyle="1" w:styleId="30">
    <w:name w:val="正文文本缩进 字符"/>
    <w:link w:val="5"/>
    <w:qFormat/>
    <w:locked/>
    <w:uiPriority w:val="99"/>
    <w:rPr>
      <w:rFonts w:ascii="宋体" w:hAnsi="宋体" w:eastAsia="宋体" w:cs="Times New Roman"/>
      <w:color w:val="000000"/>
      <w:kern w:val="2"/>
      <w:sz w:val="30"/>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72B368-155E-44BF-81DC-35740AFD7A4F}">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198</Words>
  <Characters>1132</Characters>
  <Lines>9</Lines>
  <Paragraphs>2</Paragraphs>
  <TotalTime>1</TotalTime>
  <ScaleCrop>false</ScaleCrop>
  <LinksUpToDate>false</LinksUpToDate>
  <CharactersWithSpaces>1328</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2022-11-11T07:21:00Z</dcterms:created>
  <dc:creator>郑凯宁</dc:creator>
  <cp:lastModifiedBy>uosuser</cp:lastModifiedBy>
  <cp:lastPrinted>2025-09-23T10:00:00Z</cp:lastPrinted>
  <dcterms:modified xsi:type="dcterms:W3CDTF">2026-01-30T16:50:16Z</dcterms:modified>
  <dc:title>领导签发：</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11D2CC5FE1CE8C74C8707C69F5D73B0E</vt:lpwstr>
  </property>
</Properties>
</file>