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32300">
      <w:pPr>
        <w:pStyle w:val="11"/>
        <w:spacing w:before="75" w:beforeAutospacing="0" w:after="75" w:afterAutospacing="0" w:line="1400" w:lineRule="exact"/>
        <w:ind w:firstLine="641" w:firstLineChars="76"/>
        <w:rPr>
          <w:rStyle w:val="17"/>
          <w:sz w:val="84"/>
          <w:szCs w:val="84"/>
        </w:rPr>
      </w:pPr>
      <w:r>
        <w:rPr>
          <w:rStyle w:val="17"/>
          <w:rFonts w:hint="eastAsia"/>
          <w:sz w:val="84"/>
          <w:szCs w:val="84"/>
          <w:lang w:val="en-US" w:eastAsia="zh-CN"/>
        </w:rPr>
        <w:t xml:space="preserve"> </w:t>
      </w:r>
      <w:r>
        <w:rPr>
          <w:rStyle w:val="17"/>
          <w:rFonts w:hint="eastAsia"/>
          <w:sz w:val="84"/>
          <w:szCs w:val="84"/>
        </w:rPr>
        <w:t xml:space="preserve"> </w:t>
      </w:r>
    </w:p>
    <w:p w14:paraId="7909449B">
      <w:pPr>
        <w:pStyle w:val="11"/>
        <w:spacing w:before="75" w:beforeAutospacing="0" w:after="75" w:afterAutospacing="0"/>
        <w:jc w:val="center"/>
        <w:rPr>
          <w:rStyle w:val="17"/>
          <w:sz w:val="72"/>
          <w:szCs w:val="72"/>
        </w:rPr>
      </w:pPr>
      <w:r>
        <w:rPr>
          <w:rStyle w:val="17"/>
          <w:rFonts w:hint="eastAsia"/>
          <w:sz w:val="72"/>
          <w:szCs w:val="72"/>
        </w:rPr>
        <w:t>员工一体化交互平台项目</w:t>
      </w:r>
    </w:p>
    <w:p w14:paraId="1476326A">
      <w:pPr>
        <w:pStyle w:val="11"/>
        <w:spacing w:before="75" w:beforeAutospacing="0" w:after="75" w:afterAutospacing="0"/>
        <w:jc w:val="center"/>
        <w:rPr>
          <w:rStyle w:val="17"/>
          <w:sz w:val="15"/>
          <w:szCs w:val="15"/>
        </w:rPr>
      </w:pPr>
    </w:p>
    <w:p w14:paraId="6603D81F">
      <w:pPr>
        <w:pStyle w:val="11"/>
        <w:spacing w:before="75" w:beforeAutospacing="0" w:after="75" w:afterAutospacing="0" w:line="1400" w:lineRule="exact"/>
        <w:jc w:val="center"/>
        <w:rPr>
          <w:rStyle w:val="17"/>
          <w:sz w:val="72"/>
          <w:szCs w:val="72"/>
        </w:rPr>
      </w:pPr>
      <w:r>
        <w:rPr>
          <w:rStyle w:val="17"/>
          <w:rFonts w:hint="eastAsia"/>
          <w:sz w:val="72"/>
          <w:szCs w:val="72"/>
        </w:rPr>
        <w:t>公开招标文件</w:t>
      </w:r>
    </w:p>
    <w:p w14:paraId="71519D78">
      <w:pPr>
        <w:pStyle w:val="11"/>
        <w:spacing w:before="75" w:beforeAutospacing="0" w:after="75" w:afterAutospacing="0"/>
        <w:jc w:val="center"/>
        <w:rPr>
          <w:rStyle w:val="17"/>
          <w:sz w:val="36"/>
          <w:szCs w:val="36"/>
        </w:rPr>
      </w:pPr>
    </w:p>
    <w:p w14:paraId="68A70C88">
      <w:pPr>
        <w:pStyle w:val="11"/>
        <w:spacing w:before="75" w:beforeAutospacing="0" w:after="75" w:afterAutospacing="0" w:line="360" w:lineRule="auto"/>
        <w:ind w:firstLine="2108" w:firstLineChars="700"/>
        <w:jc w:val="both"/>
        <w:rPr>
          <w:rStyle w:val="17"/>
          <w:sz w:val="30"/>
          <w:szCs w:val="30"/>
        </w:rPr>
      </w:pPr>
    </w:p>
    <w:p w14:paraId="4D79DF65">
      <w:pPr>
        <w:pStyle w:val="11"/>
        <w:spacing w:before="75" w:beforeAutospacing="0" w:after="75" w:afterAutospacing="0" w:line="360" w:lineRule="auto"/>
        <w:ind w:firstLine="2108" w:firstLineChars="700"/>
        <w:jc w:val="both"/>
        <w:rPr>
          <w:rStyle w:val="17"/>
          <w:sz w:val="30"/>
          <w:szCs w:val="30"/>
        </w:rPr>
      </w:pPr>
    </w:p>
    <w:p w14:paraId="105E567E">
      <w:pPr>
        <w:pStyle w:val="11"/>
        <w:spacing w:before="75" w:beforeAutospacing="0" w:after="75" w:afterAutospacing="0" w:line="480" w:lineRule="auto"/>
        <w:ind w:firstLine="2711" w:firstLineChars="900"/>
        <w:jc w:val="both"/>
        <w:rPr>
          <w:rStyle w:val="17"/>
          <w:sz w:val="30"/>
          <w:szCs w:val="30"/>
        </w:rPr>
      </w:pPr>
      <w:r>
        <w:rPr>
          <w:rStyle w:val="17"/>
          <w:rFonts w:hint="eastAsia"/>
          <w:sz w:val="30"/>
          <w:szCs w:val="30"/>
        </w:rPr>
        <w:t>招标编号：FJHR2023235</w:t>
      </w:r>
    </w:p>
    <w:p w14:paraId="1F9D83C2">
      <w:pPr>
        <w:pStyle w:val="11"/>
        <w:spacing w:before="75" w:beforeAutospacing="0" w:after="75" w:afterAutospacing="0" w:line="480" w:lineRule="auto"/>
        <w:ind w:firstLine="2711" w:firstLineChars="900"/>
        <w:rPr>
          <w:rStyle w:val="17"/>
          <w:sz w:val="30"/>
          <w:szCs w:val="30"/>
        </w:rPr>
      </w:pPr>
      <w:r>
        <w:rPr>
          <w:rStyle w:val="17"/>
          <w:rFonts w:hint="eastAsia"/>
          <w:sz w:val="30"/>
          <w:szCs w:val="30"/>
        </w:rPr>
        <w:t>项目名称：员工一体化交互平台项目</w:t>
      </w:r>
    </w:p>
    <w:p w14:paraId="6CD819BF">
      <w:pPr>
        <w:pStyle w:val="11"/>
        <w:spacing w:before="75" w:beforeAutospacing="0" w:after="75" w:afterAutospacing="0" w:line="480" w:lineRule="auto"/>
        <w:ind w:firstLine="1687" w:firstLineChars="600"/>
        <w:rPr>
          <w:rStyle w:val="17"/>
          <w:sz w:val="28"/>
          <w:szCs w:val="28"/>
        </w:rPr>
      </w:pPr>
    </w:p>
    <w:p w14:paraId="48A47F63">
      <w:pPr>
        <w:pStyle w:val="11"/>
        <w:spacing w:before="75" w:beforeAutospacing="0" w:after="75" w:afterAutospacing="0" w:line="480" w:lineRule="auto"/>
        <w:ind w:firstLine="1687" w:firstLineChars="600"/>
        <w:rPr>
          <w:rStyle w:val="17"/>
          <w:sz w:val="28"/>
          <w:szCs w:val="28"/>
        </w:rPr>
      </w:pPr>
    </w:p>
    <w:p w14:paraId="16A0E3FF">
      <w:pPr>
        <w:pStyle w:val="11"/>
        <w:spacing w:before="75" w:beforeAutospacing="0" w:after="75" w:afterAutospacing="0" w:line="480" w:lineRule="auto"/>
        <w:jc w:val="center"/>
        <w:rPr>
          <w:rStyle w:val="17"/>
          <w:sz w:val="28"/>
          <w:szCs w:val="28"/>
        </w:rPr>
      </w:pPr>
      <w:r>
        <w:rPr>
          <w:rStyle w:val="17"/>
          <w:rFonts w:hint="eastAsia"/>
          <w:sz w:val="28"/>
          <w:szCs w:val="28"/>
        </w:rPr>
        <w:t>招标人：福建省泉州升华实业有限公司</w:t>
      </w:r>
    </w:p>
    <w:p w14:paraId="4BE64501">
      <w:pPr>
        <w:pStyle w:val="11"/>
        <w:spacing w:before="75" w:beforeAutospacing="0" w:after="75" w:afterAutospacing="0" w:line="480" w:lineRule="auto"/>
        <w:jc w:val="center"/>
      </w:pPr>
      <w:r>
        <w:rPr>
          <w:rStyle w:val="17"/>
          <w:rFonts w:hint="eastAsia"/>
          <w:sz w:val="28"/>
          <w:szCs w:val="28"/>
        </w:rPr>
        <w:t>代理机构：福建省宏瑞招标代理有限公司</w:t>
      </w:r>
    </w:p>
    <w:p w14:paraId="400F710F">
      <w:pPr>
        <w:pStyle w:val="11"/>
        <w:spacing w:before="75" w:beforeAutospacing="0" w:after="75" w:afterAutospacing="0" w:line="480" w:lineRule="auto"/>
        <w:ind w:right="720"/>
        <w:jc w:val="center"/>
        <w:rPr>
          <w:rStyle w:val="17"/>
          <w:sz w:val="28"/>
          <w:szCs w:val="28"/>
        </w:rPr>
      </w:pPr>
      <w:r>
        <w:rPr>
          <w:rStyle w:val="17"/>
          <w:rFonts w:hint="eastAsia"/>
          <w:sz w:val="28"/>
          <w:szCs w:val="28"/>
        </w:rPr>
        <w:t>202</w:t>
      </w:r>
      <w:r>
        <w:rPr>
          <w:rStyle w:val="17"/>
          <w:rFonts w:hint="eastAsia"/>
          <w:sz w:val="28"/>
          <w:szCs w:val="28"/>
          <w:lang w:val="en-US" w:eastAsia="zh-CN"/>
        </w:rPr>
        <w:t>4</w:t>
      </w:r>
      <w:r>
        <w:rPr>
          <w:rStyle w:val="17"/>
          <w:rFonts w:hint="eastAsia"/>
          <w:sz w:val="28"/>
          <w:szCs w:val="28"/>
        </w:rPr>
        <w:t>年</w:t>
      </w:r>
      <w:r>
        <w:rPr>
          <w:rStyle w:val="17"/>
          <w:rFonts w:hint="eastAsia"/>
          <w:sz w:val="28"/>
          <w:szCs w:val="28"/>
          <w:lang w:val="en-US" w:eastAsia="zh-CN"/>
        </w:rPr>
        <w:t>2</w:t>
      </w:r>
      <w:r>
        <w:rPr>
          <w:rStyle w:val="17"/>
          <w:rFonts w:hint="eastAsia"/>
          <w:sz w:val="28"/>
          <w:szCs w:val="28"/>
        </w:rPr>
        <w:t>月</w:t>
      </w:r>
    </w:p>
    <w:p w14:paraId="73BF2E01">
      <w:pPr>
        <w:pStyle w:val="11"/>
        <w:spacing w:before="75" w:beforeAutospacing="0" w:after="75" w:afterAutospacing="0" w:line="480" w:lineRule="auto"/>
        <w:ind w:right="720"/>
        <w:jc w:val="center"/>
        <w:rPr>
          <w:rStyle w:val="17"/>
          <w:sz w:val="28"/>
          <w:szCs w:val="28"/>
        </w:rPr>
      </w:pPr>
    </w:p>
    <w:p w14:paraId="2F7A4281">
      <w:pPr>
        <w:pStyle w:val="11"/>
        <w:spacing w:before="75" w:beforeAutospacing="0" w:after="75" w:afterAutospacing="0" w:line="480" w:lineRule="auto"/>
        <w:ind w:right="720"/>
        <w:jc w:val="center"/>
        <w:rPr>
          <w:rStyle w:val="17"/>
          <w:sz w:val="28"/>
          <w:szCs w:val="28"/>
        </w:rPr>
      </w:pPr>
    </w:p>
    <w:p w14:paraId="7B7330E3">
      <w:pPr>
        <w:pStyle w:val="11"/>
        <w:spacing w:before="75" w:beforeAutospacing="0" w:after="75" w:afterAutospacing="0" w:line="480" w:lineRule="auto"/>
        <w:ind w:right="720"/>
        <w:jc w:val="center"/>
        <w:rPr>
          <w:rStyle w:val="17"/>
          <w:sz w:val="28"/>
          <w:szCs w:val="28"/>
        </w:rPr>
      </w:pPr>
    </w:p>
    <w:p w14:paraId="11384440">
      <w:pPr>
        <w:pStyle w:val="20"/>
        <w:spacing w:line="360" w:lineRule="auto"/>
        <w:jc w:val="center"/>
        <w:outlineLvl w:val="0"/>
        <w:rPr>
          <w:rFonts w:hAnsi="宋体"/>
          <w:b/>
          <w:color w:val="auto"/>
          <w:sz w:val="36"/>
          <w:szCs w:val="36"/>
        </w:rPr>
      </w:pPr>
      <w:bookmarkStart w:id="0" w:name="_Toc30809"/>
    </w:p>
    <w:p w14:paraId="58641201">
      <w:pPr>
        <w:pStyle w:val="20"/>
        <w:spacing w:line="360" w:lineRule="auto"/>
        <w:jc w:val="center"/>
        <w:outlineLvl w:val="0"/>
        <w:rPr>
          <w:rFonts w:hAnsi="宋体"/>
          <w:b/>
          <w:color w:val="auto"/>
          <w:sz w:val="36"/>
          <w:szCs w:val="36"/>
        </w:rPr>
        <w:sectPr>
          <w:headerReference r:id="rId4" w:type="first"/>
          <w:footerReference r:id="rId5" w:type="first"/>
          <w:headerReference r:id="rId3" w:type="default"/>
          <w:pgSz w:w="11907" w:h="16840"/>
          <w:pgMar w:top="1134" w:right="907" w:bottom="850" w:left="1134" w:header="680" w:footer="283" w:gutter="0"/>
          <w:pgNumType w:start="1"/>
          <w:cols w:space="720" w:num="1"/>
          <w:titlePg/>
          <w:rtlGutter w:val="1"/>
          <w:docGrid w:linePitch="312" w:charSpace="0"/>
        </w:sectPr>
      </w:pPr>
    </w:p>
    <w:p w14:paraId="3D479A7F">
      <w:pPr>
        <w:numPr>
          <w:ilvl w:val="0"/>
          <w:numId w:val="2"/>
        </w:numPr>
        <w:spacing w:line="360" w:lineRule="auto"/>
        <w:ind w:left="0" w:leftChars="0" w:firstLine="0" w:firstLineChars="0"/>
        <w:jc w:val="center"/>
        <w:outlineLvl w:val="0"/>
        <w:rPr>
          <w:rFonts w:hint="eastAsia" w:ascii="宋体" w:hAnsi="宋体" w:cs="宋体"/>
          <w:b/>
          <w:bCs/>
          <w:sz w:val="36"/>
          <w:szCs w:val="36"/>
        </w:rPr>
      </w:pPr>
      <w:r>
        <w:rPr>
          <w:rFonts w:hint="eastAsia" w:ascii="宋体" w:hAnsi="宋体" w:cs="宋体"/>
          <w:b/>
          <w:bCs/>
          <w:sz w:val="36"/>
          <w:szCs w:val="36"/>
          <w:lang w:val="en-US" w:eastAsia="zh-CN"/>
        </w:rPr>
        <w:t xml:space="preserve"> </w:t>
      </w:r>
      <w:r>
        <w:rPr>
          <w:rFonts w:hint="eastAsia" w:ascii="宋体" w:hAnsi="宋体" w:cs="宋体"/>
          <w:b/>
          <w:bCs/>
          <w:sz w:val="36"/>
          <w:szCs w:val="36"/>
        </w:rPr>
        <w:t>投标邀请</w:t>
      </w:r>
      <w:bookmarkEnd w:id="0"/>
    </w:p>
    <w:p w14:paraId="691CA583">
      <w:pPr>
        <w:spacing w:line="360" w:lineRule="auto"/>
        <w:ind w:firstLine="480" w:firstLineChars="200"/>
        <w:rPr>
          <w:rFonts w:ascii="宋体" w:hAnsi="宋体"/>
          <w:sz w:val="24"/>
        </w:rPr>
      </w:pPr>
      <w:r>
        <w:rPr>
          <w:rFonts w:hint="eastAsia" w:ascii="宋体" w:hAnsi="宋体"/>
          <w:sz w:val="24"/>
        </w:rPr>
        <w:t>本公司受</w:t>
      </w:r>
      <w:r>
        <w:rPr>
          <w:rFonts w:hint="eastAsia" w:ascii="宋体" w:hAnsi="宋体"/>
          <w:sz w:val="24"/>
          <w:u w:val="single"/>
        </w:rPr>
        <w:t>福建省泉州升华实业有限公司</w:t>
      </w:r>
      <w:r>
        <w:rPr>
          <w:rFonts w:hint="eastAsia" w:ascii="宋体" w:hAnsi="宋体"/>
          <w:sz w:val="24"/>
        </w:rPr>
        <w:t>的</w:t>
      </w:r>
      <w:r>
        <w:rPr>
          <w:rFonts w:hint="eastAsia" w:ascii="宋体" w:hAnsi="宋体"/>
          <w:bCs/>
          <w:sz w:val="24"/>
        </w:rPr>
        <w:t>委托，对</w:t>
      </w:r>
      <w:r>
        <w:rPr>
          <w:rFonts w:hint="eastAsia" w:ascii="宋体" w:hAnsi="宋体"/>
          <w:sz w:val="24"/>
          <w:u w:val="single"/>
        </w:rPr>
        <w:t>员工一体化交互平台项目</w:t>
      </w:r>
      <w:r>
        <w:rPr>
          <w:rFonts w:hint="eastAsia" w:ascii="宋体" w:hAnsi="宋体"/>
          <w:sz w:val="24"/>
        </w:rPr>
        <w:t>的下述货物和服务进行国内公开招标，现欢迎国内合格的投标人前来提交密封的投标文件。</w:t>
      </w:r>
    </w:p>
    <w:p w14:paraId="5CD04055">
      <w:pPr>
        <w:spacing w:line="360" w:lineRule="auto"/>
        <w:ind w:firstLine="480" w:firstLineChars="200"/>
        <w:rPr>
          <w:rFonts w:ascii="宋体" w:hAnsi="宋体"/>
          <w:sz w:val="24"/>
        </w:rPr>
      </w:pPr>
      <w:r>
        <w:rPr>
          <w:rFonts w:hint="eastAsia" w:ascii="宋体" w:hAnsi="宋体"/>
          <w:sz w:val="24"/>
        </w:rPr>
        <w:t>1、招标编号：FJHR2023235</w:t>
      </w:r>
    </w:p>
    <w:p w14:paraId="2DBB528A">
      <w:pPr>
        <w:spacing w:line="360" w:lineRule="auto"/>
        <w:ind w:firstLine="480" w:firstLineChars="200"/>
        <w:rPr>
          <w:rFonts w:ascii="宋体" w:hAnsi="宋体"/>
          <w:sz w:val="24"/>
        </w:rPr>
      </w:pPr>
      <w:r>
        <w:rPr>
          <w:rFonts w:hint="eastAsia" w:ascii="宋体" w:hAnsi="宋体"/>
          <w:sz w:val="24"/>
        </w:rPr>
        <w:t>2、招标标的名称：详见《招标标的一览表》附后</w:t>
      </w:r>
    </w:p>
    <w:p w14:paraId="3E81541D">
      <w:pPr>
        <w:spacing w:line="360" w:lineRule="auto"/>
        <w:ind w:firstLine="480" w:firstLineChars="200"/>
        <w:rPr>
          <w:rFonts w:ascii="宋体" w:hAnsi="宋体"/>
          <w:sz w:val="24"/>
        </w:rPr>
      </w:pPr>
      <w:r>
        <w:rPr>
          <w:rFonts w:hint="eastAsia" w:ascii="宋体" w:hAnsi="宋体"/>
          <w:sz w:val="24"/>
        </w:rPr>
        <w:t>3、获取招标文件时间及方式：</w:t>
      </w:r>
    </w:p>
    <w:p w14:paraId="63FEA6C9">
      <w:pPr>
        <w:spacing w:line="360" w:lineRule="auto"/>
        <w:ind w:firstLine="480" w:firstLineChars="200"/>
        <w:rPr>
          <w:rFonts w:ascii="宋体" w:hAnsi="宋体"/>
          <w:sz w:val="24"/>
        </w:rPr>
      </w:pPr>
      <w:r>
        <w:rPr>
          <w:rFonts w:hint="eastAsia" w:ascii="宋体" w:hAnsi="宋体"/>
          <w:sz w:val="24"/>
        </w:rPr>
        <w:t>（1）获取招标文件时间：202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6</w:t>
      </w:r>
      <w:r>
        <w:rPr>
          <w:rFonts w:hint="eastAsia" w:ascii="宋体" w:hAnsi="宋体"/>
          <w:sz w:val="24"/>
        </w:rPr>
        <w:t>日—202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18</w:t>
      </w:r>
      <w:r>
        <w:rPr>
          <w:rFonts w:hint="eastAsia" w:ascii="宋体" w:hAnsi="宋体"/>
          <w:sz w:val="24"/>
        </w:rPr>
        <w:t>日（不含节假日）8：30～18:00(北京时间)。</w:t>
      </w:r>
    </w:p>
    <w:p w14:paraId="48214352">
      <w:pPr>
        <w:spacing w:line="360" w:lineRule="auto"/>
        <w:ind w:firstLine="480" w:firstLineChars="200"/>
        <w:rPr>
          <w:rFonts w:ascii="宋体" w:hAnsi="宋体"/>
          <w:sz w:val="24"/>
        </w:rPr>
      </w:pPr>
      <w:r>
        <w:rPr>
          <w:rFonts w:hint="eastAsia" w:ascii="宋体" w:hAnsi="宋体"/>
          <w:sz w:val="24"/>
        </w:rPr>
        <w:t>（2）获取招标文件方式：</w:t>
      </w:r>
    </w:p>
    <w:p w14:paraId="3729B35A">
      <w:pPr>
        <w:spacing w:line="360" w:lineRule="auto"/>
        <w:ind w:firstLine="480" w:firstLineChars="200"/>
        <w:rPr>
          <w:rFonts w:ascii="宋体" w:hAnsi="宋体"/>
          <w:sz w:val="24"/>
        </w:rPr>
      </w:pPr>
      <w:r>
        <w:rPr>
          <w:rFonts w:hint="eastAsia" w:ascii="宋体" w:hAnsi="宋体"/>
          <w:sz w:val="24"/>
        </w:rPr>
        <w:t>①潜在投标人应在规定的获取招标文件时间内至福建省宏瑞招标代理有限公司（地址：</w:t>
      </w:r>
      <w:r>
        <w:rPr>
          <w:rFonts w:hint="eastAsia" w:ascii="宋体" w:hAnsi="宋体"/>
          <w:b/>
          <w:bCs/>
          <w:sz w:val="24"/>
        </w:rPr>
        <w:t>福建省福州市鼓楼区西洪路518号恩特楼A-402</w:t>
      </w:r>
      <w:r>
        <w:rPr>
          <w:rFonts w:hint="eastAsia" w:ascii="宋体" w:hAnsi="宋体"/>
          <w:sz w:val="24"/>
        </w:rPr>
        <w:t>）现场填写《获取招标文件登记表》；</w:t>
      </w:r>
    </w:p>
    <w:p w14:paraId="5B0F5C2A">
      <w:pPr>
        <w:spacing w:line="360" w:lineRule="auto"/>
        <w:ind w:firstLine="480" w:firstLineChars="200"/>
        <w:jc w:val="left"/>
        <w:rPr>
          <w:rFonts w:ascii="宋体" w:hAnsi="宋体"/>
          <w:sz w:val="24"/>
        </w:rPr>
      </w:pPr>
      <w:r>
        <w:rPr>
          <w:rFonts w:hint="eastAsia" w:ascii="宋体" w:hAnsi="宋体"/>
          <w:sz w:val="24"/>
        </w:rPr>
        <w:t>②潜在投标人应从本项目指定的信息发布媒体（具体媒体详见本章第7条）上下载《获取招标文件登记表》，并将填写完整的《获取招标文件登记表》扫描件（须加盖投标人公章）在获取招标文件时间内发送至福建省宏瑞招标代理有限公司邮箱（fjhrzb@126.com）。</w:t>
      </w:r>
    </w:p>
    <w:p w14:paraId="74158F3D">
      <w:pPr>
        <w:spacing w:line="360" w:lineRule="auto"/>
        <w:ind w:firstLine="480" w:firstLineChars="200"/>
        <w:rPr>
          <w:rFonts w:ascii="宋体" w:hAnsi="宋体"/>
          <w:b/>
          <w:bCs/>
          <w:sz w:val="24"/>
          <w:u w:val="single"/>
        </w:rPr>
      </w:pPr>
      <w:r>
        <w:rPr>
          <w:rFonts w:hint="eastAsia" w:ascii="宋体" w:hAnsi="宋体"/>
          <w:sz w:val="24"/>
        </w:rPr>
        <w:t>注：投标人应选择上述两种方式中的一种获取招标文件，未在规定时间内获取招标文件的视同自动放弃参与投标。</w:t>
      </w:r>
      <w:r>
        <w:rPr>
          <w:rFonts w:hint="eastAsia" w:ascii="宋体" w:hAnsi="宋体"/>
          <w:b/>
          <w:bCs/>
          <w:sz w:val="24"/>
          <w:u w:val="single"/>
        </w:rPr>
        <w:t>潜在投标人在《获取招标文件登记表》中填写的公司名称应与投标时的投标人名称一致（若投标人名称有变更的，应在投标文件技术商务部分中提交工商部门出具的更名证明），否则视为无效投标。</w:t>
      </w:r>
    </w:p>
    <w:p w14:paraId="522442FE">
      <w:pPr>
        <w:spacing w:line="360" w:lineRule="auto"/>
        <w:ind w:firstLine="480" w:firstLineChars="200"/>
        <w:rPr>
          <w:rFonts w:ascii="宋体" w:hAnsi="宋体"/>
          <w:b/>
          <w:sz w:val="24"/>
          <w:shd w:val="pct10" w:color="auto" w:fill="FFFFFF"/>
        </w:rPr>
      </w:pPr>
      <w:r>
        <w:rPr>
          <w:rFonts w:hint="eastAsia" w:ascii="宋体" w:hAnsi="宋体"/>
          <w:sz w:val="24"/>
        </w:rPr>
        <w:t>4、投标截止时间：投标文件应于[202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7</w:t>
      </w:r>
      <w:r>
        <w:rPr>
          <w:rFonts w:hint="eastAsia" w:ascii="宋体" w:hAnsi="宋体"/>
          <w:sz w:val="24"/>
        </w:rPr>
        <w:t>日</w:t>
      </w:r>
      <w:r>
        <w:rPr>
          <w:rFonts w:hint="eastAsia" w:ascii="宋体" w:hAnsi="宋体"/>
          <w:sz w:val="24"/>
          <w:lang w:val="en-US" w:eastAsia="zh-CN"/>
        </w:rPr>
        <w:t>09</w:t>
      </w:r>
      <w:r>
        <w:rPr>
          <w:rFonts w:hint="eastAsia" w:ascii="宋体" w:hAnsi="宋体"/>
          <w:sz w:val="24"/>
        </w:rPr>
        <w:t>：</w:t>
      </w:r>
      <w:r>
        <w:rPr>
          <w:rFonts w:hint="eastAsia" w:ascii="宋体" w:hAnsi="宋体"/>
          <w:sz w:val="24"/>
          <w:lang w:val="en-US" w:eastAsia="zh-CN"/>
        </w:rPr>
        <w:t>00</w:t>
      </w:r>
      <w:r>
        <w:rPr>
          <w:rFonts w:hint="eastAsia" w:ascii="宋体" w:hAnsi="宋体"/>
          <w:sz w:val="24"/>
        </w:rPr>
        <w:t>]（北京时间）之前提交到</w:t>
      </w:r>
      <w:r>
        <w:rPr>
          <w:rFonts w:hint="eastAsia" w:ascii="宋体" w:hAnsi="宋体"/>
          <w:b/>
          <w:sz w:val="24"/>
          <w:shd w:val="pct10" w:color="auto" w:fill="FFFFFF"/>
        </w:rPr>
        <w:t>福建省宏瑞招标代理有限公司开标大厅（</w:t>
      </w:r>
      <w:r>
        <w:rPr>
          <w:rFonts w:hint="eastAsia" w:ascii="宋体" w:hAnsi="宋体"/>
          <w:b/>
          <w:sz w:val="24"/>
          <w:shd w:val="clear" w:color="FFFFFF" w:fill="D9D9D9"/>
        </w:rPr>
        <w:t>福建省福州市鼓楼区西洪路518号恩特楼A-403）</w:t>
      </w:r>
      <w:r>
        <w:rPr>
          <w:rFonts w:hint="eastAsia" w:ascii="宋体" w:hAnsi="宋体"/>
          <w:b/>
          <w:sz w:val="24"/>
        </w:rPr>
        <w:t>，逾期送达的或不符合规定的投标文件将被拒收</w:t>
      </w:r>
      <w:r>
        <w:rPr>
          <w:rFonts w:hint="eastAsia" w:ascii="宋体" w:hAnsi="宋体"/>
          <w:sz w:val="24"/>
        </w:rPr>
        <w:t>。</w:t>
      </w:r>
    </w:p>
    <w:p w14:paraId="53E17902">
      <w:pPr>
        <w:spacing w:line="360" w:lineRule="auto"/>
        <w:ind w:firstLine="480" w:firstLineChars="200"/>
        <w:rPr>
          <w:rFonts w:ascii="宋体" w:hAnsi="宋体"/>
          <w:sz w:val="24"/>
        </w:rPr>
      </w:pPr>
      <w:r>
        <w:rPr>
          <w:rFonts w:hint="eastAsia" w:ascii="宋体" w:hAnsi="宋体"/>
          <w:sz w:val="24"/>
        </w:rPr>
        <w:t>5、开标时间：[202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7</w:t>
      </w:r>
      <w:r>
        <w:rPr>
          <w:rFonts w:hint="eastAsia" w:ascii="宋体" w:hAnsi="宋体"/>
          <w:sz w:val="24"/>
        </w:rPr>
        <w:t>日</w:t>
      </w:r>
      <w:r>
        <w:rPr>
          <w:rFonts w:hint="eastAsia" w:ascii="宋体" w:hAnsi="宋体"/>
          <w:sz w:val="24"/>
          <w:lang w:val="en-US" w:eastAsia="zh-CN"/>
        </w:rPr>
        <w:t>09</w:t>
      </w:r>
      <w:r>
        <w:rPr>
          <w:rFonts w:hint="eastAsia" w:ascii="宋体" w:hAnsi="宋体"/>
          <w:sz w:val="24"/>
        </w:rPr>
        <w:t>：</w:t>
      </w:r>
      <w:r>
        <w:rPr>
          <w:rFonts w:hint="eastAsia" w:ascii="宋体" w:hAnsi="宋体"/>
          <w:sz w:val="24"/>
          <w:lang w:val="en-US" w:eastAsia="zh-CN"/>
        </w:rPr>
        <w:t>00</w:t>
      </w:r>
      <w:r>
        <w:rPr>
          <w:rFonts w:hint="eastAsia" w:ascii="宋体" w:hAnsi="宋体"/>
          <w:sz w:val="24"/>
        </w:rPr>
        <w:t>](北京时间）；开标地点：</w:t>
      </w:r>
      <w:r>
        <w:rPr>
          <w:rFonts w:hint="eastAsia" w:ascii="宋体" w:hAnsi="宋体"/>
          <w:b/>
          <w:sz w:val="24"/>
          <w:shd w:val="clear" w:color="FFFFFF" w:fill="D9D9D9"/>
        </w:rPr>
        <w:t>福建省宏瑞招标代理有限公司开标大厅（福建省福州市鼓楼区西洪路518号恩特楼A-403）。</w:t>
      </w:r>
    </w:p>
    <w:p w14:paraId="4268F7E6">
      <w:pPr>
        <w:spacing w:line="360" w:lineRule="auto"/>
        <w:ind w:firstLine="480" w:firstLineChars="200"/>
        <w:rPr>
          <w:rFonts w:ascii="宋体" w:hAnsi="宋体"/>
          <w:sz w:val="24"/>
        </w:rPr>
      </w:pPr>
      <w:r>
        <w:rPr>
          <w:rFonts w:hint="eastAsia" w:ascii="宋体" w:hAnsi="宋体"/>
          <w:sz w:val="24"/>
        </w:rPr>
        <w:t>6、投标人对本次招标活动事项提出异议的时限及提交的书面异议材料按照招标文件第二章投标人须知第23条要求执行。</w:t>
      </w:r>
    </w:p>
    <w:p w14:paraId="7ABC8FDB">
      <w:pPr>
        <w:spacing w:line="360" w:lineRule="auto"/>
        <w:ind w:firstLine="480" w:firstLineChars="200"/>
        <w:rPr>
          <w:rFonts w:ascii="宋体" w:hAnsi="宋体"/>
          <w:sz w:val="24"/>
          <w:lang w:val="zh-CN"/>
        </w:rPr>
      </w:pPr>
      <w:r>
        <w:rPr>
          <w:rFonts w:hint="eastAsia" w:ascii="宋体" w:hAnsi="宋体"/>
          <w:bCs/>
          <w:sz w:val="24"/>
        </w:rPr>
        <w:t>7、</w:t>
      </w:r>
      <w:r>
        <w:rPr>
          <w:rFonts w:hint="eastAsia" w:ascii="宋体" w:hAnsi="宋体"/>
          <w:sz w:val="24"/>
        </w:rPr>
        <w:t>本项目指定的信息发布媒体：</w:t>
      </w:r>
      <w:r>
        <w:rPr>
          <w:rFonts w:hint="eastAsia" w:ascii="宋体" w:hAnsi="宋体"/>
          <w:sz w:val="24"/>
          <w:lang w:val="zh-CN"/>
        </w:rPr>
        <w:t>有关本项目招标的相关信息</w:t>
      </w:r>
      <w:r>
        <w:rPr>
          <w:rFonts w:hint="eastAsia" w:ascii="宋体" w:hAnsi="宋体"/>
          <w:sz w:val="24"/>
        </w:rPr>
        <w:t>（</w:t>
      </w:r>
      <w:r>
        <w:rPr>
          <w:rFonts w:hint="eastAsia" w:ascii="宋体" w:hAnsi="宋体"/>
          <w:sz w:val="24"/>
          <w:lang w:val="zh-CN"/>
        </w:rPr>
        <w:t>包括招标文件若有修改补充</w:t>
      </w:r>
      <w:r>
        <w:rPr>
          <w:rFonts w:hint="eastAsia" w:ascii="宋体" w:hAnsi="宋体"/>
          <w:sz w:val="24"/>
        </w:rPr>
        <w:t>）</w:t>
      </w:r>
      <w:r>
        <w:rPr>
          <w:rFonts w:hint="eastAsia" w:ascii="宋体" w:hAnsi="宋体"/>
          <w:spacing w:val="-2"/>
          <w:sz w:val="24"/>
        </w:rPr>
        <w:t>，</w:t>
      </w:r>
      <w:r>
        <w:rPr>
          <w:rFonts w:hint="eastAsia" w:ascii="宋体" w:hAnsi="宋体"/>
          <w:bCs/>
          <w:sz w:val="24"/>
        </w:rPr>
        <w:t>福建省宏瑞招标代理有限公司将</w:t>
      </w:r>
      <w:r>
        <w:rPr>
          <w:rFonts w:hint="eastAsia" w:ascii="宋体" w:hAnsi="宋体"/>
          <w:spacing w:val="-2"/>
          <w:sz w:val="24"/>
        </w:rPr>
        <w:t>通过以下媒介发布通知，</w:t>
      </w:r>
      <w:r>
        <w:rPr>
          <w:rFonts w:hint="eastAsia" w:ascii="宋体" w:hAnsi="宋体"/>
          <w:sz w:val="24"/>
          <w:lang w:val="zh-CN"/>
        </w:rPr>
        <w:t>请潜在投标人随时关注相关网站</w:t>
      </w:r>
      <w:r>
        <w:rPr>
          <w:rFonts w:hint="eastAsia" w:ascii="宋体" w:hAnsi="宋体"/>
          <w:sz w:val="24"/>
        </w:rPr>
        <w:t>，</w:t>
      </w:r>
      <w:r>
        <w:rPr>
          <w:rFonts w:hint="eastAsia" w:ascii="宋体" w:hAnsi="宋体"/>
          <w:sz w:val="24"/>
          <w:lang w:val="zh-CN"/>
        </w:rPr>
        <w:t>以免错漏重要信息。</w:t>
      </w:r>
    </w:p>
    <w:p w14:paraId="291D0E22">
      <w:pPr>
        <w:spacing w:line="360" w:lineRule="auto"/>
        <w:ind w:left="479" w:leftChars="228"/>
        <w:rPr>
          <w:rFonts w:ascii="宋体" w:hAnsi="宋体" w:cs="宋体"/>
          <w:color w:val="auto"/>
          <w:sz w:val="24"/>
        </w:rPr>
      </w:pPr>
      <w:r>
        <w:rPr>
          <w:rFonts w:hint="eastAsia" w:ascii="宋体" w:hAnsi="宋体" w:cs="宋体"/>
          <w:color w:val="auto"/>
          <w:sz w:val="24"/>
        </w:rPr>
        <w:t>福建省国资采购平台（网址:https://ygcg.fjcqjy.com/）；</w:t>
      </w:r>
    </w:p>
    <w:p w14:paraId="3CCBADFD">
      <w:pPr>
        <w:spacing w:line="360" w:lineRule="auto"/>
        <w:ind w:left="479" w:leftChars="228"/>
        <w:rPr>
          <w:rFonts w:hint="eastAsia" w:ascii="宋体" w:hAnsi="宋体" w:eastAsia="宋体" w:cs="宋体"/>
          <w:color w:val="auto"/>
          <w:sz w:val="24"/>
          <w:lang w:val="en-US" w:eastAsia="zh-CN"/>
        </w:rPr>
      </w:pPr>
      <w:r>
        <w:rPr>
          <w:rFonts w:hint="eastAsia" w:ascii="宋体" w:hAnsi="宋体" w:cs="宋体"/>
          <w:color w:val="auto"/>
          <w:sz w:val="24"/>
        </w:rPr>
        <w:t>福建监狱网（http://jyj.sft.fujian.gov.cn/）；</w:t>
      </w:r>
    </w:p>
    <w:p w14:paraId="0950BEF9">
      <w:pPr>
        <w:pStyle w:val="12"/>
        <w:ind w:firstLine="480" w:firstLineChars="200"/>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福建省宏瑞招标代理有限公司(http://www.fjhongrui.com )；</w:t>
      </w:r>
    </w:p>
    <w:p w14:paraId="68C8B29E">
      <w:pPr>
        <w:pStyle w:val="13"/>
        <w:spacing w:line="360" w:lineRule="auto"/>
        <w:ind w:firstLine="480"/>
      </w:pPr>
      <w:r>
        <w:rPr>
          <w:rFonts w:hint="eastAsia"/>
        </w:rPr>
        <w:t>若出现上述指定媒体信息或发布时间不一致的情形，应以福建省国资采购平台发布的为准。</w:t>
      </w:r>
    </w:p>
    <w:p w14:paraId="7EA0405F">
      <w:pPr>
        <w:tabs>
          <w:tab w:val="left" w:pos="4144"/>
        </w:tabs>
        <w:spacing w:line="360" w:lineRule="auto"/>
        <w:ind w:firstLine="480" w:firstLineChars="200"/>
        <w:rPr>
          <w:rFonts w:ascii="宋体" w:hAnsi="宋体"/>
          <w:sz w:val="24"/>
        </w:rPr>
      </w:pPr>
      <w:r>
        <w:rPr>
          <w:rFonts w:hint="eastAsia" w:ascii="宋体" w:hAnsi="宋体"/>
          <w:bCs/>
          <w:sz w:val="24"/>
        </w:rPr>
        <w:t>8、</w:t>
      </w:r>
      <w:r>
        <w:rPr>
          <w:rFonts w:hint="eastAsia" w:ascii="宋体" w:hAnsi="宋体"/>
          <w:sz w:val="24"/>
        </w:rPr>
        <w:t>招标人联系方式</w:t>
      </w:r>
    </w:p>
    <w:p w14:paraId="5662D24F">
      <w:pPr>
        <w:spacing w:line="360" w:lineRule="auto"/>
        <w:ind w:firstLine="480" w:firstLineChars="200"/>
        <w:rPr>
          <w:rFonts w:hint="eastAsia" w:ascii="宋体" w:hAnsi="宋体" w:eastAsia="宋体"/>
          <w:bCs/>
          <w:color w:val="auto"/>
          <w:sz w:val="24"/>
          <w:lang w:val="en-US" w:eastAsia="zh-CN"/>
        </w:rPr>
      </w:pPr>
      <w:r>
        <w:rPr>
          <w:rFonts w:hint="eastAsia" w:ascii="宋体" w:hAnsi="宋体"/>
          <w:bCs/>
          <w:color w:val="auto"/>
          <w:sz w:val="24"/>
        </w:rPr>
        <w:t>联系人：</w:t>
      </w:r>
      <w:r>
        <w:rPr>
          <w:rFonts w:hint="eastAsia" w:ascii="宋体" w:hAnsi="宋体"/>
          <w:bCs/>
          <w:color w:val="auto"/>
          <w:sz w:val="24"/>
          <w:u w:val="single"/>
        </w:rPr>
        <w:t xml:space="preserve">  洪先生  </w:t>
      </w:r>
      <w:r>
        <w:rPr>
          <w:rFonts w:hint="eastAsia" w:ascii="宋体" w:hAnsi="宋体"/>
          <w:bCs/>
          <w:color w:val="auto"/>
          <w:sz w:val="24"/>
          <w:u w:val="single"/>
          <w:lang w:val="en-US" w:eastAsia="zh-CN"/>
        </w:rPr>
        <w:t xml:space="preserve"> </w:t>
      </w:r>
    </w:p>
    <w:p w14:paraId="6DDB275E">
      <w:pPr>
        <w:spacing w:line="360" w:lineRule="auto"/>
        <w:ind w:firstLine="480" w:firstLineChars="200"/>
        <w:rPr>
          <w:rFonts w:hint="eastAsia" w:ascii="宋体" w:hAnsi="宋体" w:eastAsia="宋体"/>
          <w:bCs/>
          <w:color w:val="auto"/>
          <w:sz w:val="24"/>
          <w:lang w:val="en-US" w:eastAsia="zh-CN"/>
        </w:rPr>
      </w:pPr>
      <w:r>
        <w:rPr>
          <w:rFonts w:hint="eastAsia" w:ascii="宋体" w:hAnsi="宋体"/>
          <w:bCs/>
          <w:color w:val="auto"/>
          <w:sz w:val="24"/>
        </w:rPr>
        <w:t>电话：</w:t>
      </w:r>
      <w:r>
        <w:rPr>
          <w:rFonts w:hint="eastAsia" w:ascii="宋体" w:hAnsi="宋体"/>
          <w:bCs/>
          <w:color w:val="auto"/>
          <w:sz w:val="24"/>
          <w:u w:val="single"/>
        </w:rPr>
        <w:t xml:space="preserve"> 13110969097</w:t>
      </w:r>
      <w:r>
        <w:rPr>
          <w:rFonts w:hint="eastAsia" w:ascii="宋体" w:hAnsi="宋体"/>
          <w:bCs/>
          <w:color w:val="auto"/>
          <w:sz w:val="24"/>
          <w:u w:val="single"/>
          <w:lang w:val="en-US" w:eastAsia="zh-CN"/>
        </w:rPr>
        <w:t xml:space="preserve"> </w:t>
      </w:r>
    </w:p>
    <w:p w14:paraId="0B0621A5">
      <w:pPr>
        <w:spacing w:line="360" w:lineRule="auto"/>
        <w:ind w:firstLine="480" w:firstLineChars="200"/>
        <w:rPr>
          <w:rFonts w:ascii="宋体" w:hAnsi="宋体"/>
          <w:bCs/>
          <w:color w:val="auto"/>
          <w:sz w:val="24"/>
        </w:rPr>
      </w:pPr>
      <w:r>
        <w:rPr>
          <w:rFonts w:hint="eastAsia" w:ascii="宋体" w:hAnsi="宋体"/>
          <w:bCs/>
          <w:color w:val="auto"/>
          <w:sz w:val="24"/>
        </w:rPr>
        <w:t>地址：</w:t>
      </w:r>
      <w:r>
        <w:rPr>
          <w:rFonts w:hint="eastAsia" w:ascii="宋体" w:hAnsi="宋体"/>
          <w:bCs/>
          <w:color w:val="auto"/>
          <w:sz w:val="24"/>
          <w:u w:val="single"/>
        </w:rPr>
        <w:t xml:space="preserve"> 福建省泉州市丰泽区古道街8号</w:t>
      </w:r>
    </w:p>
    <w:p w14:paraId="3FBC3E21">
      <w:pPr>
        <w:spacing w:line="360" w:lineRule="auto"/>
        <w:ind w:firstLine="480" w:firstLineChars="200"/>
        <w:rPr>
          <w:rFonts w:ascii="宋体" w:hAnsi="宋体"/>
          <w:bCs/>
          <w:sz w:val="24"/>
        </w:rPr>
      </w:pPr>
      <w:r>
        <w:rPr>
          <w:rFonts w:hint="eastAsia" w:ascii="宋体" w:hAnsi="宋体"/>
          <w:bCs/>
          <w:sz w:val="24"/>
        </w:rPr>
        <w:t>9、招标代理机构</w:t>
      </w:r>
      <w:r>
        <w:rPr>
          <w:rFonts w:ascii="宋体" w:hAnsi="宋体"/>
          <w:bCs/>
          <w:sz w:val="24"/>
        </w:rPr>
        <w:t>联系方式</w:t>
      </w:r>
    </w:p>
    <w:p w14:paraId="5BA94C6E">
      <w:pPr>
        <w:spacing w:line="360" w:lineRule="auto"/>
        <w:ind w:firstLine="480" w:firstLineChars="200"/>
        <w:rPr>
          <w:rFonts w:ascii="宋体" w:hAnsi="宋体" w:cs="宋体"/>
          <w:sz w:val="24"/>
          <w:u w:val="single"/>
        </w:rPr>
      </w:pPr>
      <w:r>
        <w:rPr>
          <w:rFonts w:hint="eastAsia" w:ascii="宋体" w:hAnsi="宋体" w:cs="宋体"/>
          <w:sz w:val="24"/>
        </w:rPr>
        <w:t>招标代理机构：</w:t>
      </w:r>
      <w:r>
        <w:rPr>
          <w:rFonts w:hint="eastAsia" w:ascii="宋体" w:hAnsi="宋体" w:cs="宋体"/>
          <w:sz w:val="24"/>
          <w:u w:val="single"/>
        </w:rPr>
        <w:t xml:space="preserve">福建省宏瑞招标代理有限公司 </w:t>
      </w:r>
    </w:p>
    <w:p w14:paraId="308214B0">
      <w:pPr>
        <w:spacing w:line="360" w:lineRule="auto"/>
        <w:ind w:firstLine="480" w:firstLineChars="200"/>
        <w:rPr>
          <w:rFonts w:ascii="宋体" w:hAnsi="宋体" w:cs="宋体"/>
          <w:bCs/>
          <w:sz w:val="24"/>
          <w:u w:val="single"/>
        </w:rPr>
      </w:pPr>
      <w:r>
        <w:rPr>
          <w:rFonts w:hint="eastAsia" w:ascii="宋体" w:hAnsi="宋体" w:cs="宋体"/>
          <w:sz w:val="24"/>
        </w:rPr>
        <w:t>地  址：</w:t>
      </w:r>
      <w:r>
        <w:rPr>
          <w:rFonts w:hint="eastAsia" w:ascii="宋体" w:hAnsi="宋体"/>
          <w:bCs/>
          <w:sz w:val="24"/>
          <w:u w:val="single"/>
        </w:rPr>
        <w:t>福建省福州市鼓楼区西洪路518号恩特楼A-402、403</w:t>
      </w:r>
    </w:p>
    <w:p w14:paraId="472F9247">
      <w:pPr>
        <w:tabs>
          <w:tab w:val="left" w:pos="3615"/>
        </w:tabs>
        <w:spacing w:line="360" w:lineRule="auto"/>
        <w:ind w:firstLine="480" w:firstLineChars="200"/>
        <w:rPr>
          <w:rFonts w:ascii="宋体" w:hAnsi="宋体" w:cs="宋体"/>
          <w:bCs/>
          <w:sz w:val="24"/>
        </w:rPr>
      </w:pPr>
      <w:r>
        <w:rPr>
          <w:rFonts w:hint="eastAsia" w:ascii="宋体" w:hAnsi="宋体" w:cs="宋体"/>
          <w:bCs/>
          <w:sz w:val="24"/>
        </w:rPr>
        <w:t>邮  编：</w:t>
      </w:r>
      <w:r>
        <w:rPr>
          <w:rFonts w:hint="eastAsia" w:ascii="宋体" w:hAnsi="宋体" w:cs="宋体"/>
          <w:bCs/>
          <w:sz w:val="24"/>
          <w:u w:val="single"/>
        </w:rPr>
        <w:t xml:space="preserve">         350001        </w:t>
      </w:r>
      <w:r>
        <w:rPr>
          <w:rFonts w:hint="eastAsia" w:ascii="宋体" w:hAnsi="宋体" w:cs="宋体"/>
          <w:bCs/>
          <w:sz w:val="24"/>
          <w:u w:val="single"/>
        </w:rPr>
        <w:tab/>
      </w:r>
      <w:r>
        <w:rPr>
          <w:rFonts w:hint="eastAsia" w:ascii="宋体" w:hAnsi="宋体" w:cs="宋体"/>
          <w:bCs/>
          <w:sz w:val="24"/>
          <w:u w:val="single"/>
        </w:rPr>
        <w:t xml:space="preserve"> </w:t>
      </w:r>
    </w:p>
    <w:p w14:paraId="0229C681">
      <w:pPr>
        <w:spacing w:line="360" w:lineRule="auto"/>
        <w:ind w:firstLine="480" w:firstLineChars="200"/>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0591-83732662、18959173501  </w:t>
      </w:r>
    </w:p>
    <w:p w14:paraId="3947CAC9">
      <w:pPr>
        <w:spacing w:line="360" w:lineRule="auto"/>
        <w:ind w:firstLine="480" w:firstLineChars="200"/>
        <w:rPr>
          <w:rFonts w:ascii="宋体" w:hAnsi="宋体"/>
          <w:sz w:val="24"/>
        </w:rPr>
      </w:pPr>
      <w:r>
        <w:rPr>
          <w:rFonts w:hint="eastAsia" w:ascii="宋体" w:hAnsi="宋体"/>
          <w:sz w:val="24"/>
        </w:rPr>
        <w:t>项目联系人：</w:t>
      </w:r>
      <w:r>
        <w:rPr>
          <w:rFonts w:hint="eastAsia" w:ascii="宋体" w:hAnsi="宋体"/>
          <w:sz w:val="24"/>
          <w:u w:val="single"/>
        </w:rPr>
        <w:t xml:space="preserve">     陈鹏辉</w:t>
      </w:r>
      <w:r>
        <w:rPr>
          <w:rFonts w:hint="eastAsia" w:ascii="宋体" w:hAnsi="宋体" w:cs="宋体"/>
          <w:sz w:val="24"/>
          <w:u w:val="single"/>
        </w:rPr>
        <w:t xml:space="preserve">          </w:t>
      </w:r>
    </w:p>
    <w:p w14:paraId="554ED4C1">
      <w:pPr>
        <w:spacing w:line="360" w:lineRule="auto"/>
        <w:ind w:firstLine="480" w:firstLineChars="200"/>
        <w:rPr>
          <w:rFonts w:ascii="宋体" w:hAnsi="宋体" w:cs="宋体"/>
          <w:sz w:val="24"/>
          <w:u w:val="single"/>
        </w:rPr>
      </w:pPr>
      <w:r>
        <w:rPr>
          <w:rFonts w:hint="eastAsia" w:ascii="宋体" w:hAnsi="宋体" w:cs="宋体"/>
          <w:sz w:val="24"/>
        </w:rPr>
        <w:t>电子邮箱：</w:t>
      </w:r>
      <w:r>
        <w:rPr>
          <w:rFonts w:hint="eastAsia" w:ascii="宋体" w:hAnsi="宋体" w:cs="宋体"/>
          <w:sz w:val="24"/>
          <w:u w:val="single"/>
        </w:rPr>
        <w:t xml:space="preserve">     </w:t>
      </w:r>
      <w:r>
        <w:fldChar w:fldCharType="begin"/>
      </w:r>
      <w:r>
        <w:instrText xml:space="preserve"> HYPERLINK "mailto:fjhrzb@126.com" </w:instrText>
      </w:r>
      <w:r>
        <w:fldChar w:fldCharType="separate"/>
      </w:r>
      <w:r>
        <w:rPr>
          <w:rStyle w:val="19"/>
          <w:rFonts w:hint="eastAsia" w:ascii="宋体" w:hAnsi="宋体" w:cs="宋体"/>
          <w:color w:val="auto"/>
          <w:sz w:val="24"/>
        </w:rPr>
        <w:t>fjhrzb@126.com</w:t>
      </w:r>
      <w:r>
        <w:rPr>
          <w:rStyle w:val="19"/>
          <w:rFonts w:hint="eastAsia" w:ascii="宋体" w:hAnsi="宋体" w:cs="宋体"/>
          <w:color w:val="auto"/>
          <w:sz w:val="24"/>
        </w:rPr>
        <w:fldChar w:fldCharType="end"/>
      </w:r>
      <w:r>
        <w:rPr>
          <w:rFonts w:hint="eastAsia" w:ascii="宋体" w:hAnsi="宋体" w:cs="宋体"/>
          <w:sz w:val="24"/>
          <w:u w:val="single"/>
        </w:rPr>
        <w:t xml:space="preserve">     </w:t>
      </w:r>
    </w:p>
    <w:p w14:paraId="479B12D9">
      <w:pPr>
        <w:spacing w:line="360" w:lineRule="auto"/>
        <w:ind w:firstLine="480" w:firstLineChars="200"/>
        <w:rPr>
          <w:rFonts w:ascii="宋体" w:hAnsi="宋体" w:cs="宋体"/>
          <w:sz w:val="24"/>
        </w:rPr>
      </w:pPr>
      <w:r>
        <w:rPr>
          <w:rFonts w:hint="eastAsia" w:ascii="宋体" w:hAnsi="宋体" w:cs="宋体"/>
          <w:sz w:val="24"/>
        </w:rPr>
        <w:t>公司网址：</w:t>
      </w:r>
      <w:r>
        <w:rPr>
          <w:rFonts w:ascii="宋体" w:hAnsi="宋体" w:cs="宋体"/>
          <w:sz w:val="24"/>
          <w:u w:val="single"/>
        </w:rPr>
        <w:t>http://www.fjhongrui.com</w:t>
      </w:r>
      <w:r>
        <w:rPr>
          <w:rFonts w:hint="eastAsia" w:ascii="宋体" w:hAnsi="宋体" w:cs="宋体"/>
          <w:sz w:val="24"/>
          <w:u w:val="single"/>
        </w:rPr>
        <w:t xml:space="preserve"> </w:t>
      </w:r>
    </w:p>
    <w:p w14:paraId="671CE6B1">
      <w:pPr>
        <w:widowControl/>
        <w:spacing w:line="360" w:lineRule="auto"/>
        <w:ind w:firstLine="480" w:firstLineChars="200"/>
        <w:rPr>
          <w:rFonts w:ascii="宋体" w:hAnsi="宋体" w:cs="宋体"/>
          <w:sz w:val="24"/>
        </w:rPr>
      </w:pPr>
      <w:r>
        <w:rPr>
          <w:rFonts w:hint="eastAsia" w:ascii="宋体" w:hAnsi="宋体" w:cs="宋体"/>
          <w:sz w:val="24"/>
        </w:rPr>
        <w:t>银行账户信息：</w:t>
      </w:r>
    </w:p>
    <w:p w14:paraId="3D615381">
      <w:pPr>
        <w:spacing w:line="360" w:lineRule="auto"/>
        <w:ind w:firstLine="480" w:firstLineChars="200"/>
        <w:rPr>
          <w:rFonts w:ascii="宋体" w:hAnsi="宋体" w:cs="宋体"/>
          <w:sz w:val="24"/>
          <w:u w:val="single"/>
        </w:rPr>
      </w:pPr>
      <w:r>
        <w:rPr>
          <w:rFonts w:hint="eastAsia" w:ascii="宋体" w:hAnsi="宋体" w:cs="宋体"/>
          <w:sz w:val="24"/>
        </w:rPr>
        <w:t>开户行：</w:t>
      </w:r>
      <w:r>
        <w:rPr>
          <w:rFonts w:hint="eastAsia" w:ascii="宋体" w:hAnsi="宋体"/>
          <w:sz w:val="24"/>
          <w:u w:val="single"/>
        </w:rPr>
        <w:t>中国建设银行股份有限公司福州市杨桥支行</w:t>
      </w:r>
    </w:p>
    <w:p w14:paraId="2D074B79">
      <w:pPr>
        <w:spacing w:line="360" w:lineRule="auto"/>
        <w:ind w:firstLine="480" w:firstLineChars="200"/>
        <w:rPr>
          <w:rFonts w:ascii="宋体" w:hAnsi="宋体" w:cs="宋体"/>
          <w:sz w:val="24"/>
        </w:rPr>
      </w:pPr>
      <w:r>
        <w:rPr>
          <w:rFonts w:hint="eastAsia" w:ascii="宋体" w:hAnsi="宋体" w:cs="宋体"/>
          <w:sz w:val="24"/>
        </w:rPr>
        <w:t>开户名：</w:t>
      </w:r>
      <w:r>
        <w:rPr>
          <w:rFonts w:hint="eastAsia" w:ascii="宋体" w:hAnsi="宋体" w:cs="宋体"/>
          <w:sz w:val="24"/>
          <w:u w:val="single"/>
        </w:rPr>
        <w:t xml:space="preserve">福建省宏瑞招标代理有限公司 </w:t>
      </w:r>
    </w:p>
    <w:p w14:paraId="36449541">
      <w:pPr>
        <w:tabs>
          <w:tab w:val="left" w:pos="1096"/>
        </w:tabs>
        <w:ind w:firstLine="480" w:firstLineChars="200"/>
        <w:jc w:val="left"/>
        <w:sectPr>
          <w:footerReference r:id="rId7" w:type="first"/>
          <w:footerReference r:id="rId6" w:type="default"/>
          <w:pgSz w:w="11907" w:h="16840"/>
          <w:pgMar w:top="1134" w:right="907" w:bottom="850" w:left="1134" w:header="680" w:footer="283" w:gutter="0"/>
          <w:pgNumType w:start="1"/>
          <w:cols w:space="720" w:num="1"/>
          <w:rtlGutter w:val="1"/>
          <w:docGrid w:linePitch="312" w:charSpace="0"/>
        </w:sectPr>
      </w:pPr>
      <w:r>
        <w:rPr>
          <w:rFonts w:hint="eastAsia" w:ascii="宋体" w:hAnsi="宋体" w:cs="宋体"/>
          <w:sz w:val="24"/>
        </w:rPr>
        <w:t>账 号：</w:t>
      </w:r>
      <w:r>
        <w:rPr>
          <w:rFonts w:ascii="宋体" w:hAnsi="宋体" w:cs="宋体"/>
          <w:sz w:val="24"/>
          <w:u w:val="single"/>
        </w:rPr>
        <w:t>35001877607052505105</w:t>
      </w:r>
    </w:p>
    <w:p w14:paraId="134421DB">
      <w:pPr>
        <w:pStyle w:val="11"/>
        <w:spacing w:before="0" w:beforeAutospacing="0" w:after="0" w:afterAutospacing="0"/>
        <w:ind w:firstLine="240" w:firstLineChars="100"/>
        <w:rPr>
          <w:bCs/>
        </w:rPr>
      </w:pPr>
    </w:p>
    <w:p w14:paraId="7041C216">
      <w:pPr>
        <w:pStyle w:val="11"/>
        <w:spacing w:before="0" w:beforeAutospacing="0" w:after="0" w:afterAutospacing="0"/>
        <w:ind w:firstLine="240" w:firstLineChars="100"/>
        <w:rPr>
          <w:bCs/>
        </w:rPr>
      </w:pPr>
    </w:p>
    <w:p w14:paraId="046AF1C5">
      <w:pPr>
        <w:pStyle w:val="11"/>
        <w:spacing w:before="0" w:beforeAutospacing="0" w:after="0" w:afterAutospacing="0"/>
        <w:ind w:firstLine="240" w:firstLineChars="100"/>
        <w:rPr>
          <w:bCs/>
        </w:rPr>
      </w:pPr>
    </w:p>
    <w:p w14:paraId="338961C6">
      <w:pPr>
        <w:pStyle w:val="11"/>
        <w:spacing w:before="0" w:beforeAutospacing="0" w:after="0" w:afterAutospacing="0"/>
        <w:ind w:firstLine="240" w:firstLineChars="100"/>
        <w:rPr>
          <w:bCs/>
        </w:rPr>
      </w:pPr>
    </w:p>
    <w:p w14:paraId="1D1D5727">
      <w:pPr>
        <w:pStyle w:val="11"/>
        <w:spacing w:before="0" w:beforeAutospacing="0" w:after="0" w:afterAutospacing="0"/>
        <w:ind w:firstLine="240" w:firstLineChars="100"/>
        <w:rPr>
          <w:bCs/>
        </w:rPr>
      </w:pPr>
    </w:p>
    <w:p w14:paraId="63436A2A">
      <w:pPr>
        <w:pStyle w:val="11"/>
        <w:spacing w:before="0" w:beforeAutospacing="0" w:after="0" w:afterAutospacing="0"/>
        <w:ind w:firstLine="240" w:firstLineChars="100"/>
        <w:rPr>
          <w:bCs/>
        </w:rPr>
      </w:pPr>
    </w:p>
    <w:p w14:paraId="0D979640">
      <w:pPr>
        <w:pStyle w:val="11"/>
        <w:spacing w:before="0" w:beforeAutospacing="0" w:after="0" w:afterAutospacing="0"/>
        <w:ind w:firstLine="240" w:firstLineChars="100"/>
        <w:rPr>
          <w:bCs/>
        </w:rPr>
      </w:pPr>
    </w:p>
    <w:p w14:paraId="49452780">
      <w:pPr>
        <w:pStyle w:val="11"/>
        <w:spacing w:before="0" w:beforeAutospacing="0" w:after="0" w:afterAutospacing="0"/>
        <w:ind w:firstLine="240" w:firstLineChars="100"/>
        <w:rPr>
          <w:bCs/>
        </w:rPr>
      </w:pPr>
    </w:p>
    <w:p w14:paraId="0B6FE329">
      <w:pPr>
        <w:pStyle w:val="11"/>
        <w:spacing w:before="0" w:beforeAutospacing="0" w:after="0" w:afterAutospacing="0"/>
        <w:ind w:firstLine="240" w:firstLineChars="100"/>
        <w:rPr>
          <w:bCs/>
        </w:rPr>
      </w:pPr>
    </w:p>
    <w:p w14:paraId="3BB41C19">
      <w:pPr>
        <w:pStyle w:val="11"/>
        <w:spacing w:before="0" w:beforeAutospacing="0" w:after="0" w:afterAutospacing="0"/>
        <w:ind w:firstLine="240" w:firstLineChars="100"/>
        <w:rPr>
          <w:bCs/>
        </w:rPr>
      </w:pPr>
    </w:p>
    <w:p w14:paraId="0C10CBC8">
      <w:pPr>
        <w:pStyle w:val="11"/>
        <w:spacing w:before="0" w:beforeAutospacing="0" w:after="0" w:afterAutospacing="0"/>
        <w:ind w:firstLine="240" w:firstLineChars="100"/>
        <w:rPr>
          <w:bCs/>
        </w:rPr>
      </w:pPr>
    </w:p>
    <w:p w14:paraId="12E96FAD">
      <w:pPr>
        <w:pStyle w:val="11"/>
        <w:spacing w:before="0" w:beforeAutospacing="0" w:after="0" w:afterAutospacing="0"/>
        <w:ind w:firstLine="240" w:firstLineChars="100"/>
        <w:rPr>
          <w:bCs/>
        </w:rPr>
      </w:pPr>
    </w:p>
    <w:p w14:paraId="2F654F79">
      <w:pPr>
        <w:pStyle w:val="11"/>
        <w:spacing w:before="0" w:beforeAutospacing="0" w:after="0" w:afterAutospacing="0"/>
        <w:ind w:firstLine="240" w:firstLineChars="100"/>
        <w:rPr>
          <w:bCs/>
        </w:rPr>
      </w:pPr>
    </w:p>
    <w:p w14:paraId="2B7A8AB5">
      <w:pPr>
        <w:pStyle w:val="11"/>
        <w:spacing w:before="0" w:beforeAutospacing="0" w:after="0" w:afterAutospacing="0"/>
        <w:ind w:firstLine="240" w:firstLineChars="100"/>
        <w:rPr>
          <w:bCs/>
        </w:rPr>
      </w:pPr>
    </w:p>
    <w:p w14:paraId="47CC1ED7">
      <w:pPr>
        <w:pStyle w:val="11"/>
        <w:spacing w:before="0" w:beforeAutospacing="0" w:after="0" w:afterAutospacing="0"/>
        <w:ind w:firstLine="240" w:firstLineChars="100"/>
        <w:rPr>
          <w:bCs/>
        </w:rPr>
      </w:pPr>
    </w:p>
    <w:p w14:paraId="033E37DC">
      <w:pPr>
        <w:pStyle w:val="11"/>
        <w:spacing w:before="0" w:beforeAutospacing="0" w:after="0" w:afterAutospacing="0"/>
        <w:ind w:firstLine="240" w:firstLineChars="100"/>
        <w:rPr>
          <w:bCs/>
        </w:rPr>
      </w:pPr>
    </w:p>
    <w:p w14:paraId="163A958B">
      <w:pPr>
        <w:pStyle w:val="11"/>
        <w:spacing w:before="0" w:beforeAutospacing="0" w:after="0" w:afterAutospacing="0"/>
        <w:ind w:firstLine="240" w:firstLineChars="100"/>
        <w:rPr>
          <w:bCs/>
        </w:rPr>
      </w:pPr>
    </w:p>
    <w:p w14:paraId="2DB0589F">
      <w:pPr>
        <w:pStyle w:val="11"/>
        <w:spacing w:before="0" w:beforeAutospacing="0" w:after="0" w:afterAutospacing="0"/>
        <w:ind w:firstLine="240" w:firstLineChars="100"/>
        <w:rPr>
          <w:bCs/>
        </w:rPr>
      </w:pPr>
    </w:p>
    <w:p w14:paraId="30520132">
      <w:pPr>
        <w:pStyle w:val="11"/>
        <w:spacing w:before="0" w:beforeAutospacing="0" w:after="0" w:afterAutospacing="0"/>
        <w:ind w:firstLine="240" w:firstLineChars="100"/>
        <w:rPr>
          <w:bCs/>
        </w:rPr>
      </w:pPr>
    </w:p>
    <w:p w14:paraId="74DB2DE8">
      <w:pPr>
        <w:pStyle w:val="11"/>
        <w:spacing w:before="0" w:beforeAutospacing="0" w:after="0" w:afterAutospacing="0"/>
        <w:ind w:firstLine="240" w:firstLineChars="100"/>
        <w:rPr>
          <w:bCs/>
        </w:rPr>
      </w:pPr>
    </w:p>
    <w:p w14:paraId="5B91EB18">
      <w:pPr>
        <w:pStyle w:val="11"/>
        <w:spacing w:before="0" w:beforeAutospacing="0" w:after="0" w:afterAutospacing="0"/>
        <w:ind w:firstLine="240" w:firstLineChars="100"/>
        <w:rPr>
          <w:bCs/>
        </w:rPr>
      </w:pPr>
    </w:p>
    <w:p w14:paraId="52433759">
      <w:pPr>
        <w:pStyle w:val="11"/>
        <w:spacing w:before="0" w:beforeAutospacing="0" w:after="0" w:afterAutospacing="0"/>
        <w:ind w:firstLine="240" w:firstLineChars="100"/>
        <w:rPr>
          <w:bCs/>
        </w:rPr>
      </w:pPr>
    </w:p>
    <w:p w14:paraId="0E7EFDE5">
      <w:pPr>
        <w:pStyle w:val="11"/>
        <w:spacing w:before="0" w:beforeAutospacing="0" w:after="0" w:afterAutospacing="0"/>
        <w:ind w:firstLine="240" w:firstLineChars="100"/>
        <w:rPr>
          <w:bCs/>
        </w:rPr>
      </w:pPr>
      <w:r>
        <w:rPr>
          <w:rFonts w:hint="eastAsia"/>
          <w:bCs/>
        </w:rPr>
        <w:t>附：招标标的一览表</w:t>
      </w:r>
    </w:p>
    <w:p w14:paraId="5A6FC9A5">
      <w:pPr>
        <w:pStyle w:val="11"/>
        <w:spacing w:before="0" w:beforeAutospacing="0" w:after="0" w:afterAutospacing="0"/>
        <w:jc w:val="right"/>
        <w:rPr>
          <w:bCs/>
        </w:rPr>
      </w:pPr>
      <w:r>
        <w:rPr>
          <w:rFonts w:hint="eastAsia"/>
          <w:bCs/>
        </w:rPr>
        <w:t xml:space="preserve">                                                                                                             金额单位：人民币 </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25"/>
        <w:gridCol w:w="1714"/>
        <w:gridCol w:w="799"/>
        <w:gridCol w:w="1972"/>
        <w:gridCol w:w="2031"/>
        <w:gridCol w:w="1476"/>
      </w:tblGrid>
      <w:tr w14:paraId="66AC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vAlign w:val="center"/>
          </w:tcPr>
          <w:p w14:paraId="44F01CB1">
            <w:pPr>
              <w:jc w:val="center"/>
              <w:rPr>
                <w:rFonts w:ascii="宋体" w:hAnsi="宋体" w:cs="宋体"/>
                <w:b/>
                <w:sz w:val="24"/>
              </w:rPr>
            </w:pPr>
            <w:r>
              <w:rPr>
                <w:rFonts w:hint="eastAsia" w:ascii="宋体" w:hAnsi="宋体" w:cs="宋体"/>
                <w:b/>
                <w:sz w:val="24"/>
              </w:rPr>
              <w:t>合同包</w:t>
            </w:r>
          </w:p>
        </w:tc>
        <w:tc>
          <w:tcPr>
            <w:tcW w:w="1025" w:type="dxa"/>
            <w:vAlign w:val="center"/>
          </w:tcPr>
          <w:p w14:paraId="000D1C6F">
            <w:pPr>
              <w:jc w:val="center"/>
              <w:rPr>
                <w:rFonts w:ascii="宋体" w:hAnsi="宋体" w:cs="宋体"/>
                <w:b/>
                <w:sz w:val="24"/>
              </w:rPr>
            </w:pPr>
            <w:r>
              <w:rPr>
                <w:rFonts w:hint="eastAsia" w:ascii="宋体" w:hAnsi="宋体" w:cs="宋体"/>
                <w:b/>
                <w:sz w:val="24"/>
              </w:rPr>
              <w:t>品目号</w:t>
            </w:r>
          </w:p>
        </w:tc>
        <w:tc>
          <w:tcPr>
            <w:tcW w:w="1714" w:type="dxa"/>
            <w:vAlign w:val="center"/>
          </w:tcPr>
          <w:p w14:paraId="043AFD60">
            <w:pPr>
              <w:jc w:val="center"/>
              <w:rPr>
                <w:rFonts w:ascii="宋体" w:hAnsi="宋体" w:cs="宋体"/>
                <w:b/>
                <w:sz w:val="24"/>
              </w:rPr>
            </w:pPr>
            <w:r>
              <w:rPr>
                <w:rFonts w:hint="eastAsia" w:ascii="宋体" w:hAnsi="宋体" w:cs="宋体"/>
                <w:b/>
                <w:sz w:val="24"/>
              </w:rPr>
              <w:t>货物名称</w:t>
            </w:r>
          </w:p>
        </w:tc>
        <w:tc>
          <w:tcPr>
            <w:tcW w:w="799" w:type="dxa"/>
            <w:vAlign w:val="center"/>
          </w:tcPr>
          <w:p w14:paraId="6EAFA20A">
            <w:pPr>
              <w:jc w:val="center"/>
              <w:rPr>
                <w:rFonts w:ascii="宋体" w:hAnsi="宋体" w:cs="宋体"/>
                <w:b/>
                <w:kern w:val="0"/>
                <w:sz w:val="24"/>
              </w:rPr>
            </w:pPr>
            <w:r>
              <w:rPr>
                <w:rFonts w:hint="eastAsia" w:ascii="宋体" w:hAnsi="宋体" w:cs="宋体"/>
                <w:b/>
                <w:kern w:val="0"/>
                <w:sz w:val="24"/>
              </w:rPr>
              <w:t>数量</w:t>
            </w:r>
          </w:p>
        </w:tc>
        <w:tc>
          <w:tcPr>
            <w:tcW w:w="1972" w:type="dxa"/>
            <w:vAlign w:val="center"/>
          </w:tcPr>
          <w:p w14:paraId="4673E225">
            <w:pPr>
              <w:jc w:val="center"/>
              <w:rPr>
                <w:rFonts w:ascii="宋体" w:hAnsi="宋体" w:cs="宋体"/>
                <w:b/>
                <w:kern w:val="0"/>
                <w:sz w:val="24"/>
              </w:rPr>
            </w:pPr>
            <w:r>
              <w:rPr>
                <w:rFonts w:hint="eastAsia" w:ascii="宋体" w:hAnsi="宋体" w:cs="宋体"/>
                <w:b/>
                <w:kern w:val="0"/>
                <w:sz w:val="24"/>
              </w:rPr>
              <w:t>品目号</w:t>
            </w:r>
          </w:p>
          <w:p w14:paraId="59336379">
            <w:pPr>
              <w:jc w:val="center"/>
              <w:rPr>
                <w:rFonts w:ascii="宋体" w:hAnsi="宋体" w:cs="宋体"/>
                <w:b/>
                <w:kern w:val="0"/>
                <w:sz w:val="24"/>
              </w:rPr>
            </w:pPr>
            <w:r>
              <w:rPr>
                <w:rFonts w:hint="eastAsia" w:ascii="宋体" w:hAnsi="宋体" w:cs="宋体"/>
                <w:b/>
                <w:kern w:val="0"/>
                <w:sz w:val="24"/>
              </w:rPr>
              <w:t>最高总价限价(元)</w:t>
            </w:r>
          </w:p>
        </w:tc>
        <w:tc>
          <w:tcPr>
            <w:tcW w:w="2031" w:type="dxa"/>
            <w:vAlign w:val="center"/>
          </w:tcPr>
          <w:p w14:paraId="3C798C81">
            <w:pPr>
              <w:jc w:val="center"/>
              <w:rPr>
                <w:rFonts w:ascii="宋体" w:hAnsi="宋体" w:cs="宋体"/>
                <w:b/>
                <w:kern w:val="0"/>
                <w:sz w:val="24"/>
              </w:rPr>
            </w:pPr>
            <w:r>
              <w:rPr>
                <w:rFonts w:hint="eastAsia" w:ascii="宋体" w:hAnsi="宋体" w:cs="宋体"/>
                <w:b/>
                <w:kern w:val="0"/>
                <w:sz w:val="24"/>
              </w:rPr>
              <w:t>合同包</w:t>
            </w:r>
          </w:p>
          <w:p w14:paraId="5AF06CED">
            <w:pPr>
              <w:jc w:val="center"/>
              <w:rPr>
                <w:rFonts w:ascii="宋体" w:hAnsi="宋体" w:cs="宋体"/>
                <w:b/>
                <w:kern w:val="0"/>
                <w:sz w:val="24"/>
              </w:rPr>
            </w:pPr>
            <w:r>
              <w:rPr>
                <w:rFonts w:hint="eastAsia" w:ascii="宋体" w:hAnsi="宋体" w:cs="宋体"/>
                <w:b/>
                <w:kern w:val="0"/>
                <w:sz w:val="24"/>
              </w:rPr>
              <w:t>最高总价限价（元）</w:t>
            </w:r>
          </w:p>
        </w:tc>
        <w:tc>
          <w:tcPr>
            <w:tcW w:w="1476" w:type="dxa"/>
            <w:vAlign w:val="center"/>
          </w:tcPr>
          <w:p w14:paraId="2389E435">
            <w:pPr>
              <w:jc w:val="center"/>
              <w:rPr>
                <w:rFonts w:ascii="宋体" w:hAnsi="宋体" w:cs="宋体"/>
                <w:b/>
                <w:sz w:val="24"/>
              </w:rPr>
            </w:pPr>
            <w:r>
              <w:rPr>
                <w:rFonts w:hint="eastAsia" w:ascii="宋体" w:hAnsi="宋体" w:cs="宋体"/>
                <w:b/>
                <w:sz w:val="24"/>
              </w:rPr>
              <w:t>投标</w:t>
            </w:r>
          </w:p>
          <w:p w14:paraId="6BFA1F93">
            <w:pPr>
              <w:jc w:val="center"/>
              <w:rPr>
                <w:rFonts w:ascii="宋体" w:hAnsi="宋体" w:cs="宋体"/>
                <w:b/>
                <w:sz w:val="24"/>
              </w:rPr>
            </w:pPr>
            <w:r>
              <w:rPr>
                <w:rFonts w:hint="eastAsia" w:ascii="宋体" w:hAnsi="宋体" w:cs="宋体"/>
                <w:b/>
                <w:sz w:val="24"/>
              </w:rPr>
              <w:t>保证金</w:t>
            </w:r>
          </w:p>
          <w:p w14:paraId="671CB11D">
            <w:pPr>
              <w:pStyle w:val="21"/>
              <w:jc w:val="center"/>
              <w:rPr>
                <w:rFonts w:ascii="宋体" w:hAnsi="宋体" w:cs="宋体"/>
                <w:b/>
                <w:sz w:val="24"/>
                <w:szCs w:val="24"/>
              </w:rPr>
            </w:pPr>
            <w:r>
              <w:rPr>
                <w:rFonts w:hint="eastAsia" w:ascii="宋体" w:hAnsi="宋体" w:cs="宋体"/>
                <w:b/>
                <w:kern w:val="0"/>
                <w:sz w:val="24"/>
                <w:szCs w:val="24"/>
              </w:rPr>
              <w:t>（元）</w:t>
            </w:r>
          </w:p>
        </w:tc>
      </w:tr>
      <w:tr w14:paraId="12F6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61" w:type="dxa"/>
            <w:vAlign w:val="center"/>
          </w:tcPr>
          <w:p w14:paraId="498C372C">
            <w:pPr>
              <w:jc w:val="center"/>
              <w:rPr>
                <w:rFonts w:ascii="宋体" w:hAnsi="宋体" w:cs="宋体"/>
                <w:bCs/>
                <w:sz w:val="24"/>
              </w:rPr>
            </w:pPr>
            <w:r>
              <w:rPr>
                <w:rFonts w:hint="eastAsia" w:ascii="宋体" w:hAnsi="宋体" w:cs="宋体"/>
                <w:bCs/>
                <w:kern w:val="0"/>
                <w:sz w:val="24"/>
              </w:rPr>
              <w:t>1</w:t>
            </w:r>
          </w:p>
        </w:tc>
        <w:tc>
          <w:tcPr>
            <w:tcW w:w="1025" w:type="dxa"/>
            <w:vAlign w:val="center"/>
          </w:tcPr>
          <w:p w14:paraId="2B31972E">
            <w:pPr>
              <w:jc w:val="center"/>
              <w:rPr>
                <w:rFonts w:ascii="宋体" w:hAnsi="宋体" w:cs="宋体"/>
                <w:bCs/>
                <w:sz w:val="24"/>
              </w:rPr>
            </w:pPr>
            <w:r>
              <w:rPr>
                <w:rFonts w:hint="eastAsia" w:ascii="宋体" w:hAnsi="宋体" w:cs="宋体"/>
                <w:bCs/>
                <w:kern w:val="0"/>
                <w:sz w:val="24"/>
              </w:rPr>
              <w:t>1-1</w:t>
            </w:r>
          </w:p>
        </w:tc>
        <w:tc>
          <w:tcPr>
            <w:tcW w:w="1714" w:type="dxa"/>
            <w:vAlign w:val="center"/>
          </w:tcPr>
          <w:p w14:paraId="50B4DC51">
            <w:pPr>
              <w:widowControl/>
              <w:jc w:val="center"/>
              <w:textAlignment w:val="center"/>
              <w:rPr>
                <w:rFonts w:ascii="宋体" w:hAnsi="宋体" w:cs="宋体"/>
                <w:bCs/>
                <w:kern w:val="0"/>
                <w:sz w:val="24"/>
                <w:lang w:bidi="ar"/>
              </w:rPr>
            </w:pPr>
            <w:r>
              <w:rPr>
                <w:rStyle w:val="22"/>
                <w:rFonts w:hint="default"/>
                <w:color w:val="auto"/>
                <w:sz w:val="24"/>
                <w:szCs w:val="24"/>
                <w:lang w:bidi="ar"/>
              </w:rPr>
              <w:t xml:space="preserve">员工一体化交互平台项目 </w:t>
            </w:r>
          </w:p>
        </w:tc>
        <w:tc>
          <w:tcPr>
            <w:tcW w:w="799" w:type="dxa"/>
            <w:vAlign w:val="center"/>
          </w:tcPr>
          <w:p w14:paraId="5E53C21E">
            <w:pPr>
              <w:widowControl/>
              <w:jc w:val="center"/>
              <w:textAlignment w:val="center"/>
              <w:rPr>
                <w:rFonts w:ascii="宋体" w:hAnsi="宋体" w:cs="宋体"/>
                <w:bCs/>
                <w:kern w:val="0"/>
                <w:sz w:val="24"/>
                <w:lang w:bidi="ar"/>
              </w:rPr>
            </w:pPr>
            <w:r>
              <w:rPr>
                <w:rFonts w:hint="eastAsia" w:ascii="宋体" w:hAnsi="宋体" w:cs="宋体"/>
                <w:kern w:val="0"/>
                <w:sz w:val="24"/>
                <w:lang w:bidi="ar"/>
              </w:rPr>
              <w:t>1项</w:t>
            </w:r>
          </w:p>
        </w:tc>
        <w:tc>
          <w:tcPr>
            <w:tcW w:w="1972" w:type="dxa"/>
            <w:vAlign w:val="center"/>
          </w:tcPr>
          <w:p w14:paraId="376AA6E7">
            <w:pPr>
              <w:widowControl/>
              <w:jc w:val="center"/>
              <w:textAlignment w:val="center"/>
              <w:rPr>
                <w:rFonts w:ascii="宋体" w:hAnsi="宋体" w:cs="宋体"/>
                <w:bCs/>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 4660000</w:t>
            </w:r>
          </w:p>
        </w:tc>
        <w:tc>
          <w:tcPr>
            <w:tcW w:w="2031" w:type="dxa"/>
            <w:vAlign w:val="center"/>
          </w:tcPr>
          <w:p w14:paraId="5411FE5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  4660000</w:t>
            </w:r>
          </w:p>
        </w:tc>
        <w:tc>
          <w:tcPr>
            <w:tcW w:w="1476" w:type="dxa"/>
            <w:vAlign w:val="center"/>
          </w:tcPr>
          <w:p w14:paraId="5ADEE027">
            <w:pPr>
              <w:widowControl/>
              <w:jc w:val="center"/>
              <w:textAlignment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46000</w:t>
            </w:r>
          </w:p>
        </w:tc>
      </w:tr>
    </w:tbl>
    <w:p w14:paraId="0F65B9F3">
      <w:pPr>
        <w:spacing w:line="480" w:lineRule="auto"/>
        <w:rPr>
          <w:rFonts w:ascii="宋体" w:hAnsi="宋体"/>
          <w:b/>
          <w:sz w:val="24"/>
        </w:rPr>
      </w:pPr>
      <w:r>
        <w:rPr>
          <w:rFonts w:hint="eastAsia" w:ascii="宋体" w:hAnsi="宋体"/>
          <w:b/>
          <w:sz w:val="24"/>
        </w:rPr>
        <w:t>注：</w:t>
      </w:r>
    </w:p>
    <w:p w14:paraId="296953C0">
      <w:pPr>
        <w:tabs>
          <w:tab w:val="right" w:pos="9723"/>
        </w:tabs>
        <w:spacing w:line="480" w:lineRule="auto"/>
        <w:ind w:firstLine="480" w:firstLineChars="200"/>
        <w:rPr>
          <w:rFonts w:ascii="宋体" w:hAnsi="宋体" w:cs="宋体"/>
          <w:sz w:val="24"/>
        </w:rPr>
      </w:pPr>
      <w:r>
        <w:rPr>
          <w:rFonts w:hint="eastAsia" w:ascii="宋体" w:hAnsi="宋体" w:cs="宋体"/>
          <w:sz w:val="24"/>
        </w:rPr>
        <w:t>1、投标人须按合同包投标，对同一个合同包内所有内容投标时必须完整。不得仅对一个合同包中的部分内容进行投标，否则按无效投标处理。评标与授标以合同包为单位。</w:t>
      </w:r>
    </w:p>
    <w:p w14:paraId="2A56395E">
      <w:pPr>
        <w:tabs>
          <w:tab w:val="right" w:pos="9637"/>
        </w:tabs>
        <w:spacing w:line="480" w:lineRule="auto"/>
        <w:ind w:firstLine="480"/>
        <w:rPr>
          <w:rFonts w:ascii="宋体" w:hAnsi="宋体" w:cs="宋体"/>
          <w:kern w:val="1"/>
          <w:sz w:val="24"/>
        </w:rPr>
      </w:pPr>
      <w:bookmarkStart w:id="1" w:name="_Toc24784"/>
      <w:r>
        <w:rPr>
          <w:rFonts w:hint="eastAsia" w:ascii="宋体" w:hAnsi="宋体" w:cs="宋体"/>
          <w:kern w:val="1"/>
          <w:sz w:val="24"/>
        </w:rPr>
        <w:t>2、投标人</w:t>
      </w:r>
      <w:r>
        <w:rPr>
          <w:rFonts w:ascii="宋体" w:hAnsi="宋体" w:cs="宋体"/>
          <w:kern w:val="1"/>
          <w:sz w:val="24"/>
        </w:rPr>
        <w:t>报价应包含</w:t>
      </w:r>
      <w:r>
        <w:rPr>
          <w:rFonts w:hint="eastAsia" w:ascii="宋体" w:hAnsi="宋体" w:cs="宋体"/>
          <w:kern w:val="1"/>
          <w:sz w:val="24"/>
        </w:rPr>
        <w:t>项目</w:t>
      </w:r>
      <w:r>
        <w:rPr>
          <w:rFonts w:ascii="宋体" w:hAnsi="宋体" w:cs="宋体"/>
          <w:kern w:val="1"/>
          <w:sz w:val="24"/>
        </w:rPr>
        <w:t>的</w:t>
      </w:r>
      <w:r>
        <w:rPr>
          <w:rFonts w:hint="eastAsia" w:ascii="宋体" w:hAnsi="宋体" w:cs="宋体"/>
          <w:kern w:val="1"/>
          <w:sz w:val="24"/>
        </w:rPr>
        <w:t>运输、安装、设备调试、项目验收、人员工资、缴纳五险一金、利润</w:t>
      </w:r>
      <w:r>
        <w:rPr>
          <w:rFonts w:ascii="宋体" w:hAnsi="宋体" w:cs="宋体"/>
          <w:kern w:val="1"/>
          <w:sz w:val="24"/>
        </w:rPr>
        <w:t>税金等</w:t>
      </w:r>
      <w:r>
        <w:rPr>
          <w:rFonts w:hint="eastAsia" w:ascii="宋体" w:hAnsi="宋体" w:cs="宋体"/>
          <w:kern w:val="1"/>
          <w:sz w:val="24"/>
        </w:rPr>
        <w:t>履行合同所需的</w:t>
      </w:r>
      <w:r>
        <w:rPr>
          <w:rFonts w:ascii="宋体" w:hAnsi="宋体" w:cs="宋体"/>
          <w:kern w:val="1"/>
          <w:sz w:val="24"/>
        </w:rPr>
        <w:t>一切费用。</w:t>
      </w:r>
    </w:p>
    <w:p w14:paraId="6CC524CF">
      <w:pPr>
        <w:bidi w:val="0"/>
      </w:pPr>
    </w:p>
    <w:p w14:paraId="726341C3">
      <w:pPr>
        <w:bidi w:val="0"/>
      </w:pPr>
    </w:p>
    <w:p w14:paraId="083E3215">
      <w:pPr>
        <w:bidi w:val="0"/>
      </w:pPr>
    </w:p>
    <w:p w14:paraId="331414D8">
      <w:pPr>
        <w:bidi w:val="0"/>
      </w:pPr>
    </w:p>
    <w:p w14:paraId="58C65683">
      <w:pPr>
        <w:bidi w:val="0"/>
      </w:pPr>
    </w:p>
    <w:p w14:paraId="5FF00E5C">
      <w:pPr>
        <w:bidi w:val="0"/>
      </w:pPr>
    </w:p>
    <w:p w14:paraId="51EDDBBF">
      <w:pPr>
        <w:bidi w:val="0"/>
      </w:pPr>
    </w:p>
    <w:p w14:paraId="7A1CB571">
      <w:pPr>
        <w:bidi w:val="0"/>
      </w:pPr>
    </w:p>
    <w:p w14:paraId="773D4574">
      <w:pPr>
        <w:bidi w:val="0"/>
      </w:pPr>
    </w:p>
    <w:p w14:paraId="25B5B2A3">
      <w:pPr>
        <w:bidi w:val="0"/>
      </w:pPr>
    </w:p>
    <w:p w14:paraId="44192B5D">
      <w:pPr>
        <w:bidi w:val="0"/>
      </w:pPr>
    </w:p>
    <w:p w14:paraId="706C4DDA">
      <w:pPr>
        <w:bidi w:val="0"/>
      </w:pPr>
    </w:p>
    <w:p w14:paraId="2B23EDA3">
      <w:pPr>
        <w:bidi w:val="0"/>
      </w:pPr>
    </w:p>
    <w:p w14:paraId="52AFF790">
      <w:pPr>
        <w:bidi w:val="0"/>
      </w:pPr>
    </w:p>
    <w:p w14:paraId="7E1B404F">
      <w:pPr>
        <w:bidi w:val="0"/>
      </w:pPr>
    </w:p>
    <w:p w14:paraId="7A9E858D">
      <w:pPr>
        <w:bidi w:val="0"/>
      </w:pPr>
    </w:p>
    <w:p w14:paraId="7394FEBE">
      <w:pPr>
        <w:bidi w:val="0"/>
      </w:pPr>
    </w:p>
    <w:p w14:paraId="438C2CA1">
      <w:pPr>
        <w:bidi w:val="0"/>
      </w:pPr>
    </w:p>
    <w:p w14:paraId="52C292FC">
      <w:pPr>
        <w:bidi w:val="0"/>
      </w:pPr>
    </w:p>
    <w:p w14:paraId="0E24D09A">
      <w:pPr>
        <w:bidi w:val="0"/>
      </w:pPr>
    </w:p>
    <w:p w14:paraId="3606128D">
      <w:pPr>
        <w:bidi w:val="0"/>
      </w:pPr>
    </w:p>
    <w:p w14:paraId="668066CA">
      <w:pPr>
        <w:bidi w:val="0"/>
      </w:pPr>
    </w:p>
    <w:p w14:paraId="5AD0FDAB">
      <w:pPr>
        <w:bidi w:val="0"/>
      </w:pPr>
    </w:p>
    <w:p w14:paraId="6B8BCF05">
      <w:pPr>
        <w:bidi w:val="0"/>
      </w:pPr>
    </w:p>
    <w:p w14:paraId="2B2523EB">
      <w:pPr>
        <w:bidi w:val="0"/>
      </w:pPr>
    </w:p>
    <w:p w14:paraId="38DF164B">
      <w:pPr>
        <w:bidi w:val="0"/>
      </w:pPr>
    </w:p>
    <w:p w14:paraId="3D10A974">
      <w:pPr>
        <w:bidi w:val="0"/>
      </w:pPr>
    </w:p>
    <w:p w14:paraId="6CB79F9C">
      <w:pPr>
        <w:bidi w:val="0"/>
      </w:pPr>
    </w:p>
    <w:p w14:paraId="5F6D9A6F">
      <w:pPr>
        <w:bidi w:val="0"/>
      </w:pPr>
    </w:p>
    <w:p w14:paraId="7A9D1357">
      <w:pPr>
        <w:bidi w:val="0"/>
      </w:pPr>
    </w:p>
    <w:p w14:paraId="6B2ABC80">
      <w:pPr>
        <w:bidi w:val="0"/>
      </w:pPr>
    </w:p>
    <w:p w14:paraId="2867D71D">
      <w:pPr>
        <w:bidi w:val="0"/>
      </w:pPr>
    </w:p>
    <w:p w14:paraId="4B8C3BBE">
      <w:pPr>
        <w:bidi w:val="0"/>
      </w:pPr>
    </w:p>
    <w:p w14:paraId="71192D64">
      <w:pPr>
        <w:bidi w:val="0"/>
      </w:pPr>
    </w:p>
    <w:p w14:paraId="52B33FFF">
      <w:pPr>
        <w:bidi w:val="0"/>
      </w:pPr>
    </w:p>
    <w:p w14:paraId="53CD7035">
      <w:pPr>
        <w:bidi w:val="0"/>
      </w:pPr>
    </w:p>
    <w:p w14:paraId="572BA624">
      <w:pPr>
        <w:bidi w:val="0"/>
      </w:pPr>
    </w:p>
    <w:p w14:paraId="185C6149">
      <w:pPr>
        <w:bidi w:val="0"/>
      </w:pPr>
    </w:p>
    <w:p w14:paraId="1444AD86">
      <w:pPr>
        <w:bidi w:val="0"/>
      </w:pPr>
    </w:p>
    <w:p w14:paraId="75CD8BEC">
      <w:pPr>
        <w:numPr>
          <w:ilvl w:val="0"/>
          <w:numId w:val="2"/>
        </w:numPr>
        <w:spacing w:line="360" w:lineRule="auto"/>
        <w:ind w:left="0" w:leftChars="0" w:firstLine="0" w:firstLineChars="0"/>
        <w:jc w:val="center"/>
        <w:outlineLvl w:val="0"/>
        <w:rPr>
          <w:rFonts w:hint="eastAsia" w:ascii="宋体" w:hAnsi="宋体" w:cs="宋体"/>
          <w:b/>
          <w:bCs/>
          <w:sz w:val="36"/>
          <w:szCs w:val="36"/>
        </w:rPr>
      </w:pPr>
      <w:r>
        <w:rPr>
          <w:rFonts w:hint="eastAsia" w:ascii="宋体" w:hAnsi="宋体" w:cs="宋体"/>
          <w:b/>
          <w:bCs/>
          <w:sz w:val="36"/>
          <w:szCs w:val="36"/>
          <w:lang w:val="en-US" w:eastAsia="zh-CN"/>
        </w:rPr>
        <w:t xml:space="preserve"> </w:t>
      </w:r>
      <w:r>
        <w:rPr>
          <w:rFonts w:hint="eastAsia" w:ascii="宋体" w:hAnsi="宋体" w:cs="宋体"/>
          <w:b/>
          <w:bCs/>
          <w:sz w:val="36"/>
          <w:szCs w:val="36"/>
        </w:rPr>
        <w:t>投标人须知</w:t>
      </w:r>
      <w:bookmarkEnd w:id="1"/>
    </w:p>
    <w:p w14:paraId="483D8801">
      <w:pPr>
        <w:bidi w:val="0"/>
        <w:jc w:val="center"/>
        <w:rPr>
          <w:b/>
          <w:bCs/>
          <w:sz w:val="24"/>
          <w:szCs w:val="32"/>
        </w:rPr>
      </w:pPr>
      <w:bookmarkStart w:id="2" w:name="_Toc18066"/>
      <w:r>
        <w:rPr>
          <w:rFonts w:hint="eastAsia"/>
          <w:b/>
          <w:bCs/>
          <w:sz w:val="24"/>
          <w:szCs w:val="32"/>
        </w:rPr>
        <w:t>投标人须知前附表</w:t>
      </w:r>
      <w:bookmarkEnd w:id="2"/>
    </w:p>
    <w:p w14:paraId="5DD75207">
      <w:pPr>
        <w:bidi w:val="0"/>
        <w:rPr>
          <w:sz w:val="24"/>
          <w:szCs w:val="32"/>
        </w:rPr>
      </w:pPr>
      <w:r>
        <w:rPr>
          <w:rFonts w:hint="eastAsia"/>
          <w:sz w:val="24"/>
          <w:szCs w:val="32"/>
        </w:rPr>
        <w:t>本须知前附表的项号内容与招标文件内容如有矛盾，应以本须知前附表为准。</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99"/>
        <w:gridCol w:w="8510"/>
      </w:tblGrid>
      <w:tr w14:paraId="4F11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8" w:type="dxa"/>
            <w:vAlign w:val="center"/>
          </w:tcPr>
          <w:p w14:paraId="095086AC">
            <w:pPr>
              <w:spacing w:line="360" w:lineRule="auto"/>
              <w:jc w:val="center"/>
              <w:rPr>
                <w:rFonts w:ascii="宋体" w:hAnsi="宋体"/>
                <w:b/>
                <w:sz w:val="24"/>
              </w:rPr>
            </w:pPr>
            <w:r>
              <w:rPr>
                <w:rFonts w:hint="eastAsia" w:ascii="宋体" w:hAnsi="宋体"/>
                <w:b/>
                <w:sz w:val="24"/>
              </w:rPr>
              <w:t>项号</w:t>
            </w:r>
          </w:p>
        </w:tc>
        <w:tc>
          <w:tcPr>
            <w:tcW w:w="899" w:type="dxa"/>
            <w:vAlign w:val="center"/>
          </w:tcPr>
          <w:p w14:paraId="545D5D1B">
            <w:pPr>
              <w:spacing w:line="300" w:lineRule="exact"/>
              <w:jc w:val="center"/>
              <w:rPr>
                <w:rFonts w:ascii="宋体" w:hAnsi="宋体"/>
                <w:b/>
                <w:sz w:val="24"/>
              </w:rPr>
            </w:pPr>
            <w:r>
              <w:rPr>
                <w:rFonts w:hint="eastAsia" w:ascii="宋体" w:hAnsi="宋体"/>
                <w:b/>
                <w:sz w:val="24"/>
              </w:rPr>
              <w:t>条</w:t>
            </w:r>
          </w:p>
          <w:p w14:paraId="791A59B1">
            <w:pPr>
              <w:spacing w:line="300" w:lineRule="exact"/>
              <w:jc w:val="center"/>
              <w:rPr>
                <w:rFonts w:ascii="宋体" w:hAnsi="宋体"/>
                <w:b/>
                <w:sz w:val="24"/>
              </w:rPr>
            </w:pPr>
            <w:r>
              <w:rPr>
                <w:rFonts w:hint="eastAsia" w:ascii="宋体" w:hAnsi="宋体"/>
                <w:b/>
                <w:sz w:val="24"/>
              </w:rPr>
              <w:t>款</w:t>
            </w:r>
          </w:p>
          <w:p w14:paraId="67D13D7A">
            <w:pPr>
              <w:spacing w:line="300" w:lineRule="exact"/>
              <w:jc w:val="center"/>
              <w:rPr>
                <w:rFonts w:ascii="宋体" w:hAnsi="宋体"/>
                <w:b/>
                <w:sz w:val="24"/>
              </w:rPr>
            </w:pPr>
            <w:r>
              <w:rPr>
                <w:rFonts w:hint="eastAsia" w:ascii="宋体" w:hAnsi="宋体"/>
                <w:b/>
                <w:sz w:val="24"/>
              </w:rPr>
              <w:t>号</w:t>
            </w:r>
          </w:p>
        </w:tc>
        <w:tc>
          <w:tcPr>
            <w:tcW w:w="8510" w:type="dxa"/>
            <w:vAlign w:val="center"/>
          </w:tcPr>
          <w:p w14:paraId="5221CDCE">
            <w:pPr>
              <w:spacing w:line="480" w:lineRule="exact"/>
              <w:jc w:val="center"/>
              <w:rPr>
                <w:rFonts w:ascii="宋体" w:hAnsi="宋体"/>
                <w:b/>
                <w:sz w:val="24"/>
              </w:rPr>
            </w:pPr>
            <w:r>
              <w:rPr>
                <w:rFonts w:hint="eastAsia" w:ascii="宋体" w:hAnsi="宋体"/>
                <w:b/>
                <w:sz w:val="24"/>
              </w:rPr>
              <w:t>编</w:t>
            </w:r>
            <w:r>
              <w:rPr>
                <w:rFonts w:ascii="宋体" w:hAnsi="宋体"/>
                <w:b/>
                <w:sz w:val="24"/>
              </w:rPr>
              <w:t xml:space="preserve">   </w:t>
            </w:r>
            <w:r>
              <w:rPr>
                <w:rFonts w:hint="eastAsia" w:ascii="宋体" w:hAnsi="宋体"/>
                <w:b/>
                <w:sz w:val="24"/>
              </w:rPr>
              <w:t>列</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6F24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8" w:type="dxa"/>
            <w:vAlign w:val="center"/>
          </w:tcPr>
          <w:p w14:paraId="72EEFF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w:t>
            </w:r>
          </w:p>
        </w:tc>
        <w:tc>
          <w:tcPr>
            <w:tcW w:w="899" w:type="dxa"/>
            <w:vAlign w:val="center"/>
          </w:tcPr>
          <w:p w14:paraId="5BF10F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p>
        </w:tc>
        <w:tc>
          <w:tcPr>
            <w:tcW w:w="8510" w:type="dxa"/>
            <w:vAlign w:val="center"/>
          </w:tcPr>
          <w:p w14:paraId="4714637B">
            <w:pPr>
              <w:pStyle w:val="7"/>
              <w:keepNext w:val="0"/>
              <w:keepLines w:val="0"/>
              <w:pageBreakBefore w:val="0"/>
              <w:widowControl w:val="0"/>
              <w:kinsoku/>
              <w:wordWrap/>
              <w:overflowPunct/>
              <w:topLinePunct w:val="0"/>
              <w:autoSpaceDE/>
              <w:autoSpaceDN/>
              <w:bidi w:val="0"/>
              <w:adjustRightInd/>
              <w:snapToGrid/>
              <w:spacing w:line="360" w:lineRule="auto"/>
              <w:ind w:firstLine="0"/>
              <w:textAlignment w:val="auto"/>
            </w:pPr>
            <w:r>
              <w:rPr>
                <w:rFonts w:hint="eastAsia"/>
              </w:rPr>
              <w:t>项目名称：员工一体化交互平台项目</w:t>
            </w:r>
          </w:p>
          <w:p w14:paraId="7ACE2E03">
            <w:pPr>
              <w:pStyle w:val="7"/>
              <w:keepNext w:val="0"/>
              <w:keepLines w:val="0"/>
              <w:pageBreakBefore w:val="0"/>
              <w:widowControl w:val="0"/>
              <w:kinsoku/>
              <w:wordWrap/>
              <w:overflowPunct/>
              <w:topLinePunct w:val="0"/>
              <w:autoSpaceDE/>
              <w:autoSpaceDN/>
              <w:bidi w:val="0"/>
              <w:adjustRightInd/>
              <w:snapToGrid/>
              <w:spacing w:line="360" w:lineRule="auto"/>
              <w:ind w:firstLine="0"/>
              <w:textAlignment w:val="auto"/>
            </w:pPr>
            <w:r>
              <w:rPr>
                <w:rFonts w:hint="eastAsia"/>
              </w:rPr>
              <w:t>招标人名称：福建省泉州升华实业有限公司</w:t>
            </w:r>
          </w:p>
          <w:p w14:paraId="7B0B7FA2">
            <w:pPr>
              <w:pStyle w:val="7"/>
              <w:keepNext w:val="0"/>
              <w:keepLines w:val="0"/>
              <w:pageBreakBefore w:val="0"/>
              <w:widowControl w:val="0"/>
              <w:kinsoku/>
              <w:wordWrap/>
              <w:overflowPunct/>
              <w:topLinePunct w:val="0"/>
              <w:autoSpaceDE/>
              <w:autoSpaceDN/>
              <w:bidi w:val="0"/>
              <w:adjustRightInd/>
              <w:snapToGrid/>
              <w:spacing w:line="360" w:lineRule="auto"/>
              <w:ind w:firstLine="0"/>
              <w:textAlignment w:val="auto"/>
            </w:pPr>
            <w:r>
              <w:rPr>
                <w:rFonts w:hint="eastAsia"/>
              </w:rPr>
              <w:t>项目内容：详见第三章招标内容及要求</w:t>
            </w:r>
          </w:p>
          <w:p w14:paraId="7AF67FF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u w:val="single"/>
              </w:rPr>
            </w:pPr>
            <w:r>
              <w:rPr>
                <w:rFonts w:hint="eastAsia" w:ascii="宋体" w:hAnsi="宋体"/>
                <w:sz w:val="24"/>
              </w:rPr>
              <w:t>项目编号：FJHR2023235</w:t>
            </w:r>
          </w:p>
        </w:tc>
      </w:tr>
      <w:tr w14:paraId="739C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vAlign w:val="center"/>
          </w:tcPr>
          <w:p w14:paraId="047E8867">
            <w:pPr>
              <w:spacing w:line="480" w:lineRule="exact"/>
              <w:jc w:val="center"/>
              <w:rPr>
                <w:rFonts w:ascii="宋体" w:hAnsi="宋体"/>
                <w:sz w:val="24"/>
              </w:rPr>
            </w:pPr>
            <w:r>
              <w:rPr>
                <w:rFonts w:ascii="宋体" w:hAnsi="宋体"/>
                <w:sz w:val="24"/>
              </w:rPr>
              <w:t>2</w:t>
            </w:r>
          </w:p>
        </w:tc>
        <w:tc>
          <w:tcPr>
            <w:tcW w:w="899" w:type="dxa"/>
            <w:vAlign w:val="center"/>
          </w:tcPr>
          <w:p w14:paraId="7C8DFCD5">
            <w:pPr>
              <w:spacing w:line="480" w:lineRule="exact"/>
              <w:jc w:val="center"/>
              <w:rPr>
                <w:rFonts w:ascii="宋体" w:hAnsi="宋体"/>
                <w:sz w:val="24"/>
              </w:rPr>
            </w:pPr>
            <w:r>
              <w:rPr>
                <w:rFonts w:ascii="宋体" w:hAnsi="宋体"/>
                <w:sz w:val="24"/>
              </w:rPr>
              <w:t>3.</w:t>
            </w:r>
            <w:r>
              <w:rPr>
                <w:rFonts w:hint="eastAsia" w:ascii="宋体" w:hAnsi="宋体"/>
                <w:sz w:val="24"/>
              </w:rPr>
              <w:t>1</w:t>
            </w:r>
          </w:p>
        </w:tc>
        <w:tc>
          <w:tcPr>
            <w:tcW w:w="8510" w:type="dxa"/>
            <w:vAlign w:val="center"/>
          </w:tcPr>
          <w:p w14:paraId="36D146B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合同包1资格标准：</w:t>
            </w:r>
          </w:p>
          <w:p w14:paraId="6799801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（1）凡有能力提供本招标文件所述</w:t>
            </w:r>
            <w:r>
              <w:rPr>
                <w:rFonts w:hint="eastAsia" w:asciiTheme="minorEastAsia" w:hAnsiTheme="minorEastAsia" w:eastAsiaTheme="minorEastAsia" w:cstheme="minorEastAsia"/>
                <w:sz w:val="24"/>
                <w:lang w:eastAsia="zh-CN"/>
              </w:rPr>
              <w:t>货物和</w:t>
            </w:r>
            <w:r>
              <w:rPr>
                <w:rFonts w:hint="eastAsia" w:asciiTheme="minorEastAsia" w:hAnsiTheme="minorEastAsia" w:eastAsiaTheme="minorEastAsia" w:cstheme="minorEastAsia"/>
                <w:sz w:val="24"/>
              </w:rPr>
              <w:t>服务的国内投标人均可能成为合格的投标人。</w:t>
            </w:r>
          </w:p>
          <w:p w14:paraId="3B4B764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（2）投标人须符合以下条件，并提交以下证明文件：</w:t>
            </w:r>
          </w:p>
          <w:p w14:paraId="19A2712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w:t>
            </w:r>
            <w:r>
              <w:rPr>
                <w:rFonts w:hint="eastAsia" w:asciiTheme="minorEastAsia" w:hAnsiTheme="minorEastAsia" w:eastAsiaTheme="minorEastAsia" w:cstheme="minorEastAsia"/>
                <w:b w:val="0"/>
                <w:bCs w:val="0"/>
                <w:sz w:val="24"/>
                <w:szCs w:val="24"/>
              </w:rPr>
              <w:t>投标人为企业的，提供有效的营业执照复印件；投标人为事业单位的，提供有效的事业单位法人证书复印件；投标人为社会团体的，提供有效的社会团体法人登记证书复印件。</w:t>
            </w:r>
            <w:r>
              <w:rPr>
                <w:rFonts w:hint="eastAsia" w:asciiTheme="minorEastAsia" w:hAnsiTheme="minorEastAsia" w:eastAsiaTheme="minorEastAsia" w:cstheme="minorEastAsia"/>
                <w:sz w:val="24"/>
              </w:rPr>
              <w:t xml:space="preserve"> (格式详见第五章“投标文件格式”)</w:t>
            </w:r>
          </w:p>
          <w:p w14:paraId="51B96B4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②</w:t>
            </w:r>
            <w:r>
              <w:rPr>
                <w:rFonts w:hint="eastAsia" w:asciiTheme="minorEastAsia" w:hAnsiTheme="minorEastAsia" w:eastAsiaTheme="minorEastAsia" w:cstheme="minorEastAsia"/>
                <w:b w:val="0"/>
                <w:bCs w:val="0"/>
                <w:sz w:val="24"/>
                <w:szCs w:val="24"/>
              </w:rPr>
              <w:t>单位授权书</w:t>
            </w:r>
            <w:r>
              <w:rPr>
                <w:rFonts w:hint="eastAsia" w:asciiTheme="minorEastAsia" w:hAnsiTheme="minorEastAsia" w:eastAsiaTheme="minorEastAsia" w:cstheme="minorEastAsia"/>
                <w:sz w:val="24"/>
              </w:rPr>
              <w:t>原件</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szCs w:val="24"/>
              </w:rPr>
              <w:t>若投标人代表为单位授权的委托代理人，应提供本授权书；若投标人代表为单位负责人，应在此项下提交其身份证正反面复印件，可不提供本授权书。</w:t>
            </w:r>
            <w:r>
              <w:rPr>
                <w:rFonts w:hint="eastAsia" w:asciiTheme="minorEastAsia" w:hAnsiTheme="minorEastAsia" w:eastAsiaTheme="minorEastAsia" w:cstheme="minorEastAsia"/>
                <w:sz w:val="24"/>
              </w:rPr>
              <w:t xml:space="preserve"> (格式详见第五章“投标文件格式”)；</w:t>
            </w:r>
          </w:p>
          <w:p w14:paraId="68E11FB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③</w:t>
            </w:r>
            <w:r>
              <w:rPr>
                <w:rFonts w:hint="eastAsia" w:asciiTheme="minorEastAsia" w:hAnsiTheme="minorEastAsia" w:eastAsiaTheme="minorEastAsia" w:cstheme="minorEastAsia"/>
                <w:sz w:val="24"/>
              </w:rPr>
              <w:t>投标人财务状况报告、依法缴纳税收和社会保障资金的相关材料：</w:t>
            </w:r>
          </w:p>
          <w:p w14:paraId="5409B0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A、财务状况报告：提供经第三方会计师事务所审计并出具的</w:t>
            </w:r>
            <w:r>
              <w:rPr>
                <w:rFonts w:hint="eastAsia" w:asciiTheme="minorEastAsia" w:hAnsiTheme="minorEastAsia" w:eastAsiaTheme="minorEastAsia" w:cstheme="minorEastAsia"/>
                <w:color w:val="auto"/>
                <w:sz w:val="24"/>
              </w:rPr>
              <w:t>2022年度</w:t>
            </w:r>
            <w:r>
              <w:rPr>
                <w:rFonts w:hint="eastAsia" w:asciiTheme="minorEastAsia" w:hAnsiTheme="minorEastAsia" w:eastAsiaTheme="minorEastAsia" w:cstheme="minorEastAsia"/>
                <w:color w:val="auto"/>
                <w:sz w:val="24"/>
                <w:lang w:eastAsia="zh-CN"/>
              </w:rPr>
              <w:t>或</w:t>
            </w:r>
            <w:r>
              <w:rPr>
                <w:rFonts w:hint="eastAsia" w:asciiTheme="minorEastAsia" w:hAnsiTheme="minorEastAsia" w:eastAsiaTheme="minorEastAsia" w:cstheme="minorEastAsia"/>
                <w:color w:val="auto"/>
                <w:sz w:val="24"/>
                <w:lang w:val="en-US" w:eastAsia="zh-CN"/>
              </w:rPr>
              <w:t>2023年度</w:t>
            </w:r>
            <w:r>
              <w:rPr>
                <w:rFonts w:hint="eastAsia" w:asciiTheme="minorEastAsia" w:hAnsiTheme="minorEastAsia" w:eastAsiaTheme="minorEastAsia" w:cstheme="minorEastAsia"/>
                <w:sz w:val="24"/>
                <w:lang w:val="en-US" w:eastAsia="zh-CN"/>
              </w:rPr>
              <w:t>的</w:t>
            </w:r>
            <w:r>
              <w:rPr>
                <w:rFonts w:hint="eastAsia" w:asciiTheme="minorEastAsia" w:hAnsiTheme="minorEastAsia" w:eastAsiaTheme="minorEastAsia" w:cstheme="minorEastAsia"/>
                <w:sz w:val="24"/>
              </w:rPr>
              <w:t xml:space="preserve">财务审计报告复印件（至少包括“资产负债表、利润表、现金流量表、所有者权益变动表（若有）及其附注（若有）、会计师事务所营业执照和注册会计师资格证书”）；或者提供开户（基本存款账户）银行出具的资信证明，投标人选择提供资信证明的，还应附上其开户（基本存款账户）许可证或基本存款账户证明。  (格式详见第五章“投标文件格式”)                                              </w:t>
            </w:r>
          </w:p>
          <w:p w14:paraId="5AF8FEAC">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B、依法缴纳税收的相关材料：</w:t>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提供的税收缴纳凭据复印件应符合下列规定： a.提交响应文件截止时间前（不含</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）已依法缴纳税收的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，提供提交响应文件截止时间前六个月（不含</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）中任一月份的税收缴纳凭据复印件。 b.</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成立的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,视同满足本项资格条件要求。 c.若为依法免税范围的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，提供依法免税证明材料的，视同满足本项资格条件要求。</w:t>
            </w:r>
            <w:r>
              <w:rPr>
                <w:rFonts w:hint="eastAsia" w:asciiTheme="minorEastAsia" w:hAnsiTheme="minorEastAsia" w:eastAsiaTheme="minorEastAsia" w:cstheme="minorEastAsia"/>
                <w:sz w:val="24"/>
              </w:rPr>
              <w:t xml:space="preserve"> (格式详见第五章“投标文件格式”)</w:t>
            </w:r>
          </w:p>
          <w:p w14:paraId="49153AA4">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C、依法缴纳</w:t>
            </w:r>
            <w:r>
              <w:rPr>
                <w:rFonts w:hint="eastAsia" w:asciiTheme="minorEastAsia" w:hAnsiTheme="minorEastAsia" w:eastAsiaTheme="minorEastAsia" w:cstheme="minorEastAsia"/>
                <w:sz w:val="24"/>
              </w:rPr>
              <w:t>社会保障资金的相关材料：</w:t>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提供的社会保障资金缴纳凭据复印件应符合下列规定： a.提交响应文件截止时间前（不含</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）已依法缴纳社会保障资金的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，提供提交响应文件截止时间前六个月（不含</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）中任一月份的社会保障资金缴纳凭据复印件。 b.</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成立的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，视同满足本项资格条件要求。 c.若为依法不需要缴纳或暂缓缴纳社会保障资金的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，提供依法不需要缴纳或暂缓缴纳社会保障资金证明材料的，视同满足本项资格条件要求。</w:t>
            </w:r>
            <w:r>
              <w:rPr>
                <w:rFonts w:hint="eastAsia" w:asciiTheme="minorEastAsia" w:hAnsiTheme="minorEastAsia" w:eastAsiaTheme="minorEastAsia" w:cstheme="minorEastAsia"/>
                <w:sz w:val="24"/>
              </w:rPr>
              <w:t xml:space="preserve"> (格式详见第五章“投标文件格式”)</w:t>
            </w:r>
          </w:p>
          <w:p w14:paraId="3364B35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④</w:t>
            </w:r>
            <w:r>
              <w:rPr>
                <w:rFonts w:hint="eastAsia" w:asciiTheme="minorEastAsia" w:hAnsiTheme="minorEastAsia" w:eastAsiaTheme="minorEastAsia" w:cstheme="minorEastAsia"/>
                <w:sz w:val="24"/>
              </w:rPr>
              <w:t>投标人须提供具备履行本项目所必需的设备及专业技术能力的声明函。 (格式详见第五章“投标文件格式”)</w:t>
            </w:r>
          </w:p>
          <w:p w14:paraId="447C6D3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⑤</w:t>
            </w:r>
            <w:r>
              <w:rPr>
                <w:rFonts w:hint="eastAsia" w:asciiTheme="minorEastAsia" w:hAnsiTheme="minorEastAsia" w:eastAsiaTheme="minorEastAsia" w:cstheme="minorEastAsia"/>
                <w:sz w:val="24"/>
              </w:rPr>
              <w:t>投标人须提供</w:t>
            </w:r>
            <w:r>
              <w:rPr>
                <w:rFonts w:hint="eastAsia" w:asciiTheme="minorEastAsia" w:hAnsiTheme="minorEastAsia" w:eastAsiaTheme="minorEastAsia" w:cstheme="minorEastAsia"/>
                <w:kern w:val="0"/>
                <w:sz w:val="24"/>
              </w:rPr>
              <w:t>参加本项目招标活动前三年内在经营活动中没有重大违法记录的声明</w:t>
            </w:r>
            <w:r>
              <w:rPr>
                <w:rFonts w:hint="eastAsia" w:asciiTheme="minorEastAsia" w:hAnsiTheme="minorEastAsia" w:eastAsiaTheme="minorEastAsia" w:cstheme="minorEastAsia"/>
                <w:sz w:val="24"/>
              </w:rPr>
              <w:t>函原件，格式详见招标文件第五章。</w:t>
            </w:r>
            <w:r>
              <w:rPr>
                <w:rFonts w:hint="eastAsia" w:asciiTheme="minorEastAsia" w:hAnsiTheme="minorEastAsia" w:eastAsiaTheme="minorEastAsia" w:cstheme="minorEastAsia"/>
                <w:kern w:val="0"/>
                <w:sz w:val="24"/>
              </w:rPr>
              <w:t>重大违法记录是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8B29BA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lang w:eastAsia="zh-CN"/>
              </w:rPr>
              <w:t>⑥</w:t>
            </w:r>
            <w:r>
              <w:rPr>
                <w:rFonts w:hint="eastAsia" w:asciiTheme="minorEastAsia" w:hAnsiTheme="minorEastAsia" w:eastAsiaTheme="minorEastAsia" w:cstheme="minorEastAsia"/>
                <w:kern w:val="0"/>
                <w:sz w:val="24"/>
              </w:rPr>
              <w:t>信用记录查询结果：投标人无需在投标文件中提供，本项由评标委员会在评标现场查询。A.信用记录查询的截止时点：信用记录查询的截止时点为本项目投标截止当日。B.信用记录查询渠道：信用中国（www.creditchina.gov.cn）、中国政府采购网（www.ccgp.gov.cn）。 C.信用记录的查询：由评标委员会通过上述网站查询并打印投标人的信用记录。D.经查询，投标人参加本项目招标活动(投标截止时间)前三年内被列入失信被执行人名单、重大税收违法案件当事人名单、政府采购严重违法失信行为记录名单及其他重大违法记录且相关信用惩戒期限未满的，其资格审查不合格。</w:t>
            </w:r>
          </w:p>
          <w:p w14:paraId="6A20A4F5">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lang w:eastAsia="zh-CN"/>
              </w:rPr>
              <w:t>⑦</w:t>
            </w:r>
            <w:r>
              <w:rPr>
                <w:rFonts w:hint="eastAsia" w:asciiTheme="minorEastAsia" w:hAnsiTheme="minorEastAsia" w:eastAsiaTheme="minorEastAsia" w:cstheme="minorEastAsia"/>
                <w:b w:val="0"/>
                <w:bCs w:val="0"/>
                <w:szCs w:val="21"/>
              </w:rPr>
              <w:t>投标人须提供承诺函并承诺投标文件递交截止时间当日未在景弘集团有限公司黑名单内</w:t>
            </w:r>
            <w:r>
              <w:rPr>
                <w:rFonts w:hint="eastAsia" w:asciiTheme="minorEastAsia" w:hAnsiTheme="minorEastAsia" w:eastAsiaTheme="minorEastAsia" w:cstheme="minorEastAsia"/>
                <w:b w:val="0"/>
                <w:bCs w:val="0"/>
              </w:rPr>
              <w:t>（格式详见第五章）</w:t>
            </w:r>
            <w:r>
              <w:rPr>
                <w:rFonts w:hint="eastAsia" w:asciiTheme="minorEastAsia" w:hAnsiTheme="minorEastAsia" w:eastAsiaTheme="minorEastAsia" w:cstheme="minorEastAsia"/>
                <w:b w:val="0"/>
                <w:bCs w:val="0"/>
                <w:szCs w:val="21"/>
              </w:rPr>
              <w:t>。</w:t>
            </w:r>
          </w:p>
          <w:p w14:paraId="1ED2084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（3）本项目不接受联合体投标。</w:t>
            </w:r>
          </w:p>
          <w:p w14:paraId="390DD38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5C97D86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已办理“三证合一”的投标人仅需提供营业执照，无须提供税务登记证及组织机构代码证。</w:t>
            </w:r>
          </w:p>
          <w:p w14:paraId="7748A03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u w:val="double"/>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投标人必须同时满足以上所有的资格要求并按招标文件要求提供材料，所有提供的相关资质证明文件应属法定有效期内。若发生变更的，应按有关规定办理完变更手续后方可参加投标，并以发证机关核准的变更为准。</w:t>
            </w:r>
            <w:r>
              <w:rPr>
                <w:rFonts w:hint="eastAsia" w:asciiTheme="minorEastAsia" w:hAnsiTheme="minorEastAsia" w:eastAsiaTheme="minorEastAsia" w:cstheme="minorEastAsia"/>
                <w:b/>
                <w:bCs/>
                <w:sz w:val="24"/>
                <w:u w:val="double"/>
              </w:rPr>
              <w:t>投标人提供的所有资格证明文件应是完整的、有效的、清晰的，否则按无效投标处理。</w:t>
            </w:r>
          </w:p>
          <w:p w14:paraId="5EF93DBC">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招标文件要求投标人提供复印件的，投标人在投标文件中提供原件、复印件（含扫描件）皆可；招标文件对原件、复印件未作要求的，投标人在投标文件中提供原件、复印件（含扫描件）皆可。但若投标人提供注明“复印件无效”或“复印无效”的证明材料或资料的，则应在其投标文件正本中提供该证明材料或资料的原件</w:t>
            </w:r>
            <w:r>
              <w:rPr>
                <w:rStyle w:val="17"/>
                <w:rFonts w:hint="eastAsia" w:asciiTheme="minorEastAsia" w:hAnsiTheme="minorEastAsia" w:eastAsiaTheme="minorEastAsia" w:cstheme="minorEastAsia"/>
                <w:bCs/>
                <w:sz w:val="24"/>
                <w:u w:val="double"/>
              </w:rPr>
              <w:t>（评标委员会将核对投标文件正本，未提供原件的证明材料或资料将导致投标无效）。</w:t>
            </w:r>
          </w:p>
        </w:tc>
      </w:tr>
      <w:tr w14:paraId="183A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8" w:type="dxa"/>
            <w:vAlign w:val="center"/>
          </w:tcPr>
          <w:p w14:paraId="64BB3B33">
            <w:pPr>
              <w:spacing w:line="480" w:lineRule="exact"/>
              <w:jc w:val="center"/>
              <w:rPr>
                <w:rFonts w:ascii="宋体" w:hAnsi="宋体"/>
                <w:sz w:val="24"/>
              </w:rPr>
            </w:pPr>
            <w:r>
              <w:rPr>
                <w:rFonts w:ascii="宋体" w:hAnsi="宋体"/>
                <w:sz w:val="24"/>
              </w:rPr>
              <w:t>3</w:t>
            </w:r>
          </w:p>
        </w:tc>
        <w:tc>
          <w:tcPr>
            <w:tcW w:w="899" w:type="dxa"/>
            <w:vAlign w:val="center"/>
          </w:tcPr>
          <w:p w14:paraId="4C38F559">
            <w:pPr>
              <w:spacing w:line="480" w:lineRule="exact"/>
              <w:jc w:val="center"/>
              <w:rPr>
                <w:rFonts w:ascii="宋体" w:hAnsi="宋体"/>
                <w:sz w:val="24"/>
              </w:rPr>
            </w:pPr>
            <w:r>
              <w:rPr>
                <w:rFonts w:hint="eastAsia" w:ascii="宋体" w:hAnsi="宋体"/>
                <w:sz w:val="24"/>
              </w:rPr>
              <w:t>11.1</w:t>
            </w:r>
          </w:p>
        </w:tc>
        <w:tc>
          <w:tcPr>
            <w:tcW w:w="8510" w:type="dxa"/>
            <w:vAlign w:val="center"/>
          </w:tcPr>
          <w:p w14:paraId="22EDA1AB">
            <w:pPr>
              <w:spacing w:line="360" w:lineRule="auto"/>
              <w:rPr>
                <w:rFonts w:ascii="宋体" w:hAnsi="宋体"/>
                <w:sz w:val="24"/>
              </w:rPr>
            </w:pPr>
            <w:r>
              <w:rPr>
                <w:rFonts w:hint="eastAsia" w:ascii="宋体" w:hAnsi="宋体"/>
                <w:sz w:val="24"/>
              </w:rPr>
              <w:t>投标有效期：投标截止时间起90个日历日。</w:t>
            </w:r>
          </w:p>
          <w:p w14:paraId="520F5C9B">
            <w:pPr>
              <w:spacing w:line="360" w:lineRule="auto"/>
              <w:rPr>
                <w:rFonts w:ascii="宋体" w:hAnsi="宋体"/>
                <w:sz w:val="24"/>
              </w:rPr>
            </w:pPr>
            <w:r>
              <w:rPr>
                <w:rFonts w:hint="eastAsia" w:ascii="宋体" w:hAnsi="宋体"/>
                <w:sz w:val="24"/>
              </w:rPr>
              <w:t>有效期不足将导致其投标文件无效。</w:t>
            </w:r>
          </w:p>
        </w:tc>
      </w:tr>
      <w:tr w14:paraId="1EE6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vAlign w:val="center"/>
          </w:tcPr>
          <w:p w14:paraId="2F2C3CFC">
            <w:pPr>
              <w:spacing w:line="480" w:lineRule="exact"/>
              <w:jc w:val="center"/>
              <w:rPr>
                <w:rFonts w:ascii="宋体" w:hAnsi="宋体"/>
                <w:sz w:val="24"/>
              </w:rPr>
            </w:pPr>
            <w:r>
              <w:rPr>
                <w:rFonts w:ascii="宋体" w:hAnsi="宋体"/>
                <w:sz w:val="24"/>
              </w:rPr>
              <w:t>4</w:t>
            </w:r>
          </w:p>
        </w:tc>
        <w:tc>
          <w:tcPr>
            <w:tcW w:w="899" w:type="dxa"/>
            <w:vAlign w:val="center"/>
          </w:tcPr>
          <w:p w14:paraId="6206A1ED">
            <w:pPr>
              <w:spacing w:line="480" w:lineRule="exact"/>
              <w:rPr>
                <w:rFonts w:ascii="宋体" w:hAnsi="宋体"/>
                <w:sz w:val="24"/>
              </w:rPr>
            </w:pPr>
          </w:p>
        </w:tc>
        <w:tc>
          <w:tcPr>
            <w:tcW w:w="8510" w:type="dxa"/>
            <w:vAlign w:val="center"/>
          </w:tcPr>
          <w:p w14:paraId="14FC778D">
            <w:pPr>
              <w:spacing w:line="360" w:lineRule="auto"/>
              <w:rPr>
                <w:rFonts w:ascii="宋体" w:hAnsi="宋体"/>
                <w:b/>
                <w:sz w:val="24"/>
                <w:shd w:val="pct10" w:color="auto" w:fill="FFFFFF"/>
              </w:rPr>
            </w:pPr>
            <w:r>
              <w:rPr>
                <w:rFonts w:hint="eastAsia" w:ascii="宋体" w:hAnsi="宋体"/>
                <w:spacing w:val="-4"/>
                <w:sz w:val="24"/>
              </w:rPr>
              <w:t>投标文件递交地址：</w:t>
            </w:r>
            <w:r>
              <w:rPr>
                <w:rFonts w:hint="eastAsia" w:ascii="宋体" w:hAnsi="宋体"/>
                <w:b/>
                <w:sz w:val="24"/>
                <w:shd w:val="pct10" w:color="auto" w:fill="FFFFFF"/>
              </w:rPr>
              <w:t>福建省宏瑞招标代理有限公司开标大厅（福建省福州市鼓楼区西洪路518号恩特楼A-403）。</w:t>
            </w:r>
          </w:p>
          <w:p w14:paraId="18BBBF66">
            <w:pPr>
              <w:spacing w:line="360" w:lineRule="auto"/>
              <w:rPr>
                <w:rFonts w:ascii="宋体" w:hAnsi="宋体"/>
                <w:sz w:val="24"/>
              </w:rPr>
            </w:pPr>
            <w:r>
              <w:rPr>
                <w:rFonts w:hint="eastAsia" w:ascii="宋体" w:hAnsi="宋体"/>
                <w:sz w:val="24"/>
              </w:rPr>
              <w:t>接收人：</w:t>
            </w:r>
            <w:r>
              <w:rPr>
                <w:rFonts w:hint="eastAsia" w:ascii="宋体" w:hAnsi="宋体"/>
                <w:sz w:val="24"/>
                <w:shd w:val="pct10" w:color="auto" w:fill="FFFFFF"/>
              </w:rPr>
              <w:t>福建省宏瑞招标代理有限公司工作人员</w:t>
            </w:r>
          </w:p>
          <w:p w14:paraId="56F2224B">
            <w:pPr>
              <w:spacing w:line="360" w:lineRule="auto"/>
              <w:rPr>
                <w:rFonts w:ascii="宋体" w:hAnsi="宋体"/>
                <w:sz w:val="24"/>
              </w:rPr>
            </w:pPr>
            <w:r>
              <w:rPr>
                <w:rFonts w:hint="eastAsia" w:ascii="宋体" w:hAnsi="宋体"/>
                <w:sz w:val="24"/>
              </w:rPr>
              <w:t>投标截止时间：[202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7</w:t>
            </w:r>
            <w:r>
              <w:rPr>
                <w:rFonts w:hint="eastAsia" w:ascii="宋体" w:hAnsi="宋体"/>
                <w:sz w:val="24"/>
              </w:rPr>
              <w:t>日</w:t>
            </w:r>
            <w:r>
              <w:rPr>
                <w:rFonts w:hint="eastAsia" w:ascii="宋体" w:hAnsi="宋体"/>
                <w:sz w:val="24"/>
                <w:lang w:val="en-US" w:eastAsia="zh-CN"/>
              </w:rPr>
              <w:t>09:00</w:t>
            </w:r>
            <w:r>
              <w:rPr>
                <w:rFonts w:hint="eastAsia" w:ascii="宋体" w:hAnsi="宋体"/>
                <w:sz w:val="24"/>
              </w:rPr>
              <w:t>]（北京时间）</w:t>
            </w:r>
          </w:p>
        </w:tc>
      </w:tr>
      <w:tr w14:paraId="2B12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vAlign w:val="center"/>
          </w:tcPr>
          <w:p w14:paraId="70E8630B">
            <w:pPr>
              <w:spacing w:line="480" w:lineRule="exact"/>
              <w:jc w:val="center"/>
              <w:rPr>
                <w:rFonts w:ascii="宋体" w:hAnsi="宋体"/>
                <w:sz w:val="24"/>
              </w:rPr>
            </w:pPr>
            <w:r>
              <w:rPr>
                <w:rFonts w:hint="eastAsia" w:ascii="宋体" w:hAnsi="宋体"/>
                <w:sz w:val="24"/>
              </w:rPr>
              <w:t>5</w:t>
            </w:r>
          </w:p>
        </w:tc>
        <w:tc>
          <w:tcPr>
            <w:tcW w:w="899" w:type="dxa"/>
            <w:vAlign w:val="center"/>
          </w:tcPr>
          <w:p w14:paraId="3DBB06CD">
            <w:pPr>
              <w:spacing w:line="480" w:lineRule="exact"/>
              <w:rPr>
                <w:rFonts w:ascii="宋体" w:hAnsi="宋体"/>
                <w:sz w:val="24"/>
              </w:rPr>
            </w:pPr>
          </w:p>
        </w:tc>
        <w:tc>
          <w:tcPr>
            <w:tcW w:w="8510" w:type="dxa"/>
            <w:vAlign w:val="center"/>
          </w:tcPr>
          <w:p w14:paraId="0D5F8BC3">
            <w:pPr>
              <w:tabs>
                <w:tab w:val="left" w:pos="6660"/>
              </w:tabs>
              <w:spacing w:line="360" w:lineRule="auto"/>
              <w:rPr>
                <w:rFonts w:ascii="宋体" w:hAnsi="宋体"/>
                <w:sz w:val="24"/>
              </w:rPr>
            </w:pPr>
            <w:r>
              <w:rPr>
                <w:rFonts w:hint="eastAsia" w:ascii="宋体" w:hAnsi="宋体"/>
                <w:sz w:val="24"/>
              </w:rPr>
              <w:t>开标时间：[202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7</w:t>
            </w:r>
            <w:r>
              <w:rPr>
                <w:rFonts w:hint="eastAsia" w:ascii="宋体" w:hAnsi="宋体"/>
                <w:sz w:val="24"/>
              </w:rPr>
              <w:t>日</w:t>
            </w:r>
            <w:r>
              <w:rPr>
                <w:rFonts w:hint="eastAsia" w:ascii="宋体" w:hAnsi="宋体"/>
                <w:sz w:val="24"/>
                <w:lang w:val="en-US" w:eastAsia="zh-CN"/>
              </w:rPr>
              <w:t>09:00</w:t>
            </w:r>
            <w:r>
              <w:rPr>
                <w:rFonts w:hint="eastAsia" w:ascii="宋体" w:hAnsi="宋体"/>
                <w:sz w:val="24"/>
              </w:rPr>
              <w:t>]（北京时间）；</w:t>
            </w:r>
          </w:p>
          <w:p w14:paraId="0D663FCD">
            <w:pPr>
              <w:spacing w:line="360" w:lineRule="auto"/>
              <w:rPr>
                <w:rFonts w:ascii="宋体" w:hAnsi="宋体"/>
                <w:spacing w:val="-4"/>
                <w:sz w:val="24"/>
              </w:rPr>
            </w:pPr>
            <w:r>
              <w:rPr>
                <w:rFonts w:hint="eastAsia" w:ascii="宋体" w:hAnsi="宋体"/>
                <w:sz w:val="24"/>
              </w:rPr>
              <w:t>开标地点：</w:t>
            </w:r>
            <w:r>
              <w:rPr>
                <w:rFonts w:hint="eastAsia" w:ascii="宋体" w:hAnsi="宋体"/>
                <w:b/>
                <w:sz w:val="24"/>
                <w:shd w:val="pct10" w:color="auto" w:fill="FFFFFF"/>
              </w:rPr>
              <w:t>福建省宏瑞招标代理有限公司开标大厅（福建省福州市鼓楼区西洪路518号恩特楼A-403）。</w:t>
            </w:r>
          </w:p>
        </w:tc>
      </w:tr>
      <w:tr w14:paraId="1C7A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vAlign w:val="center"/>
          </w:tcPr>
          <w:p w14:paraId="301EF37C">
            <w:pPr>
              <w:spacing w:line="480" w:lineRule="exact"/>
              <w:jc w:val="center"/>
              <w:rPr>
                <w:rFonts w:ascii="宋体" w:hAnsi="宋体"/>
                <w:sz w:val="24"/>
              </w:rPr>
            </w:pPr>
            <w:r>
              <w:rPr>
                <w:rFonts w:hint="eastAsia" w:ascii="宋体" w:hAnsi="宋体"/>
                <w:sz w:val="24"/>
              </w:rPr>
              <w:t>6</w:t>
            </w:r>
          </w:p>
        </w:tc>
        <w:tc>
          <w:tcPr>
            <w:tcW w:w="899" w:type="dxa"/>
            <w:vAlign w:val="center"/>
          </w:tcPr>
          <w:p w14:paraId="18E85E31">
            <w:pPr>
              <w:spacing w:line="480" w:lineRule="exact"/>
              <w:jc w:val="center"/>
              <w:rPr>
                <w:rFonts w:ascii="宋体" w:hAnsi="宋体"/>
                <w:sz w:val="24"/>
              </w:rPr>
            </w:pPr>
            <w:r>
              <w:rPr>
                <w:rFonts w:hint="eastAsia" w:ascii="宋体" w:hAnsi="宋体"/>
                <w:sz w:val="24"/>
              </w:rPr>
              <w:t>12</w:t>
            </w:r>
          </w:p>
        </w:tc>
        <w:tc>
          <w:tcPr>
            <w:tcW w:w="8510" w:type="dxa"/>
            <w:vAlign w:val="center"/>
          </w:tcPr>
          <w:p w14:paraId="562F97C1">
            <w:pPr>
              <w:tabs>
                <w:tab w:val="left" w:pos="6660"/>
              </w:tabs>
              <w:spacing w:line="360" w:lineRule="auto"/>
              <w:rPr>
                <w:rFonts w:ascii="宋体" w:hAnsi="宋体"/>
                <w:sz w:val="24"/>
              </w:rPr>
            </w:pPr>
            <w:r>
              <w:rPr>
                <w:rFonts w:hint="eastAsia" w:ascii="宋体" w:hAnsi="宋体"/>
                <w:sz w:val="24"/>
              </w:rPr>
              <w:t>投标保证金：</w:t>
            </w:r>
          </w:p>
          <w:p w14:paraId="6B1DB10E">
            <w:pPr>
              <w:tabs>
                <w:tab w:val="left" w:pos="6660"/>
              </w:tabs>
              <w:spacing w:line="360" w:lineRule="auto"/>
              <w:rPr>
                <w:rFonts w:ascii="宋体" w:hAnsi="宋体"/>
                <w:sz w:val="24"/>
              </w:rPr>
            </w:pPr>
            <w:r>
              <w:rPr>
                <w:rFonts w:hint="eastAsia" w:ascii="宋体" w:hAnsi="宋体"/>
                <w:sz w:val="24"/>
              </w:rPr>
              <w:t>(1)投标保证金的形式：以投标人公司名义按银行转账、电汇等非现金方式(不接受现金、现金存款方式)形式提交。</w:t>
            </w:r>
          </w:p>
          <w:p w14:paraId="2252BE80">
            <w:pPr>
              <w:tabs>
                <w:tab w:val="left" w:pos="6660"/>
              </w:tabs>
              <w:spacing w:line="360" w:lineRule="auto"/>
              <w:rPr>
                <w:rFonts w:ascii="宋体" w:hAnsi="宋体"/>
                <w:sz w:val="24"/>
              </w:rPr>
            </w:pPr>
            <w:r>
              <w:rPr>
                <w:rFonts w:hint="eastAsia" w:ascii="宋体" w:hAnsi="宋体"/>
                <w:sz w:val="24"/>
              </w:rPr>
              <w:t>(2)投标保证金金额：详见第一章“招标标的一览表”。</w:t>
            </w:r>
          </w:p>
          <w:p w14:paraId="31B13257">
            <w:pPr>
              <w:tabs>
                <w:tab w:val="left" w:pos="6660"/>
              </w:tabs>
              <w:spacing w:line="360" w:lineRule="auto"/>
              <w:rPr>
                <w:rFonts w:ascii="宋体" w:hAnsi="宋体"/>
                <w:sz w:val="24"/>
              </w:rPr>
            </w:pPr>
            <w:r>
              <w:rPr>
                <w:rFonts w:hint="eastAsia" w:ascii="宋体" w:hAnsi="宋体"/>
                <w:sz w:val="24"/>
              </w:rPr>
              <w:t>(3)以银行转账、电汇等非现金方式提交投标保证金的：各投标人应保证投标保证金于投标截止时间（开标时间）前以对公形式到达福建省宏瑞招标代理有限公司指定账户上，并以福建省宏瑞招标代理有限公司开户银行提供的投标保证金到账时间为依据进行确认。投标保证金未按前述规定缴交的，投标文件将被拒收，并将其原封不动地退回投标人。</w:t>
            </w:r>
          </w:p>
          <w:p w14:paraId="366BC2A7">
            <w:pPr>
              <w:tabs>
                <w:tab w:val="left" w:pos="6660"/>
              </w:tabs>
              <w:spacing w:line="360" w:lineRule="auto"/>
            </w:pPr>
            <w:r>
              <w:rPr>
                <w:rFonts w:hint="eastAsia" w:ascii="宋体" w:hAnsi="宋体"/>
                <w:sz w:val="24"/>
              </w:rPr>
              <w:t>(4)投标保证金的退还：招标代理机构应当自中标通知书发出之日起5个工作日内退还未中标人的投标保证金，自合同签订之日起5个工作日内退还中标人的投标保证金。</w:t>
            </w:r>
          </w:p>
        </w:tc>
      </w:tr>
      <w:tr w14:paraId="7A30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598" w:type="dxa"/>
            <w:vAlign w:val="center"/>
          </w:tcPr>
          <w:p w14:paraId="1266BC4D">
            <w:pPr>
              <w:spacing w:line="480" w:lineRule="exact"/>
              <w:jc w:val="center"/>
              <w:rPr>
                <w:rFonts w:ascii="宋体" w:hAnsi="宋体"/>
                <w:sz w:val="24"/>
              </w:rPr>
            </w:pPr>
            <w:r>
              <w:rPr>
                <w:rFonts w:hint="eastAsia" w:ascii="宋体" w:hAnsi="宋体"/>
                <w:sz w:val="24"/>
              </w:rPr>
              <w:t>7</w:t>
            </w:r>
          </w:p>
        </w:tc>
        <w:tc>
          <w:tcPr>
            <w:tcW w:w="899" w:type="dxa"/>
            <w:vAlign w:val="center"/>
          </w:tcPr>
          <w:p w14:paraId="4D615F47">
            <w:pPr>
              <w:spacing w:line="480" w:lineRule="exact"/>
              <w:jc w:val="center"/>
              <w:rPr>
                <w:rFonts w:ascii="宋体" w:hAnsi="宋体"/>
                <w:sz w:val="24"/>
              </w:rPr>
            </w:pPr>
          </w:p>
        </w:tc>
        <w:tc>
          <w:tcPr>
            <w:tcW w:w="8510" w:type="dxa"/>
            <w:vAlign w:val="center"/>
          </w:tcPr>
          <w:p w14:paraId="56E51DBA">
            <w:pPr>
              <w:tabs>
                <w:tab w:val="left" w:pos="6660"/>
              </w:tabs>
              <w:spacing w:line="360" w:lineRule="auto"/>
              <w:rPr>
                <w:rFonts w:ascii="宋体" w:hAnsi="宋体"/>
                <w:sz w:val="24"/>
              </w:rPr>
            </w:pPr>
            <w:r>
              <w:rPr>
                <w:rFonts w:hint="eastAsia" w:ascii="宋体" w:hAnsi="宋体"/>
                <w:sz w:val="24"/>
              </w:rPr>
              <w:t>中标通知书：</w:t>
            </w:r>
          </w:p>
          <w:p w14:paraId="3870385A">
            <w:pPr>
              <w:tabs>
                <w:tab w:val="left" w:pos="6660"/>
              </w:tabs>
              <w:spacing w:line="360" w:lineRule="auto"/>
              <w:rPr>
                <w:rFonts w:ascii="宋体" w:hAnsi="宋体"/>
                <w:sz w:val="24"/>
              </w:rPr>
            </w:pPr>
            <w:r>
              <w:rPr>
                <w:rFonts w:hint="eastAsia" w:ascii="宋体" w:hAnsi="宋体"/>
                <w:sz w:val="24"/>
              </w:rPr>
              <w:t>(1)《中标通知书》的领取：由投标代表本人持服务费全额转账凭证及身份证复印件(加盖公章)至福建省宏瑞招标代理有限公司领取中标通知书；</w:t>
            </w:r>
          </w:p>
          <w:p w14:paraId="5EEA3CA2">
            <w:pPr>
              <w:tabs>
                <w:tab w:val="left" w:pos="6660"/>
              </w:tabs>
              <w:spacing w:line="360" w:lineRule="auto"/>
              <w:rPr>
                <w:rFonts w:ascii="宋体" w:hAnsi="宋体"/>
                <w:b/>
                <w:sz w:val="24"/>
              </w:rPr>
            </w:pPr>
            <w:r>
              <w:rPr>
                <w:rFonts w:hint="eastAsia" w:ascii="宋体" w:hAnsi="宋体"/>
                <w:sz w:val="24"/>
              </w:rPr>
              <w:t>(2)若非投标代表本人领取，须携带服务费全额转账凭证、领取人身份证复印件(加盖公章)及中标人出具的《委托书》至福建省宏瑞招标代理有限公司领取。</w:t>
            </w:r>
          </w:p>
        </w:tc>
      </w:tr>
      <w:tr w14:paraId="7116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8" w:type="dxa"/>
            <w:vAlign w:val="center"/>
          </w:tcPr>
          <w:p w14:paraId="33C3D799">
            <w:pPr>
              <w:spacing w:line="240" w:lineRule="auto"/>
              <w:jc w:val="center"/>
              <w:rPr>
                <w:rFonts w:ascii="宋体" w:hAnsi="宋体"/>
                <w:sz w:val="24"/>
              </w:rPr>
            </w:pPr>
            <w:r>
              <w:rPr>
                <w:rFonts w:hint="eastAsia" w:ascii="宋体" w:hAnsi="宋体"/>
                <w:sz w:val="24"/>
              </w:rPr>
              <w:t>8</w:t>
            </w:r>
          </w:p>
        </w:tc>
        <w:tc>
          <w:tcPr>
            <w:tcW w:w="899" w:type="dxa"/>
            <w:vAlign w:val="center"/>
          </w:tcPr>
          <w:p w14:paraId="494C6851">
            <w:pPr>
              <w:spacing w:line="240" w:lineRule="auto"/>
              <w:jc w:val="center"/>
              <w:rPr>
                <w:rFonts w:hint="eastAsia" w:ascii="宋体" w:hAnsi="宋体"/>
                <w:sz w:val="24"/>
                <w:lang w:eastAsia="zh-CN"/>
              </w:rPr>
            </w:pPr>
            <w:r>
              <w:rPr>
                <w:rFonts w:hint="eastAsia" w:ascii="宋体" w:hAnsi="宋体"/>
                <w:sz w:val="24"/>
                <w:lang w:val="en-US" w:eastAsia="zh-CN"/>
              </w:rPr>
              <w:t>六</w:t>
            </w:r>
          </w:p>
        </w:tc>
        <w:tc>
          <w:tcPr>
            <w:tcW w:w="8510" w:type="dxa"/>
            <w:vAlign w:val="center"/>
          </w:tcPr>
          <w:p w14:paraId="3E641DED">
            <w:pPr>
              <w:tabs>
                <w:tab w:val="left" w:pos="6660"/>
              </w:tabs>
              <w:spacing w:line="240" w:lineRule="auto"/>
              <w:rPr>
                <w:rFonts w:ascii="宋体" w:hAnsi="宋体"/>
                <w:sz w:val="24"/>
              </w:rPr>
            </w:pPr>
            <w:r>
              <w:rPr>
                <w:highlight w:val="none"/>
              </w:rPr>
              <w:fldChar w:fldCharType="begin"/>
            </w:r>
            <w:r>
              <w:rPr>
                <w:highlight w:val="none"/>
              </w:rPr>
              <w:instrText xml:space="preserve"> HYPERLINK \l "评标方法" </w:instrText>
            </w:r>
            <w:r>
              <w:rPr>
                <w:highlight w:val="none"/>
              </w:rPr>
              <w:fldChar w:fldCharType="separate"/>
            </w:r>
            <w:r>
              <w:rPr>
                <w:rFonts w:hint="eastAsia" w:ascii="宋体" w:hAnsi="宋体"/>
                <w:sz w:val="24"/>
                <w:highlight w:val="none"/>
              </w:rPr>
              <w:t>评标</w:t>
            </w:r>
            <w:bookmarkStart w:id="3" w:name="_Hlt227205320"/>
            <w:r>
              <w:rPr>
                <w:rFonts w:hint="eastAsia" w:ascii="宋体" w:hAnsi="宋体"/>
                <w:sz w:val="24"/>
                <w:highlight w:val="none"/>
              </w:rPr>
              <w:t>标</w:t>
            </w:r>
            <w:bookmarkStart w:id="4" w:name="_Hlt307470752"/>
            <w:r>
              <w:rPr>
                <w:rFonts w:hint="eastAsia" w:ascii="宋体" w:hAnsi="宋体"/>
                <w:sz w:val="24"/>
                <w:highlight w:val="none"/>
              </w:rPr>
              <w:t>准</w:t>
            </w:r>
            <w:bookmarkEnd w:id="4"/>
            <w:bookmarkStart w:id="5" w:name="_Hlt307470554"/>
            <w:bookmarkStart w:id="6" w:name="_Hlt307470553"/>
            <w:bookmarkStart w:id="7" w:name="_Hlt307434490"/>
            <w:bookmarkStart w:id="8" w:name="_Hlt307434491"/>
            <w:r>
              <w:rPr>
                <w:rFonts w:hint="eastAsia" w:ascii="宋体" w:hAnsi="宋体"/>
                <w:sz w:val="24"/>
                <w:highlight w:val="none"/>
              </w:rPr>
              <w:t>和</w:t>
            </w:r>
            <w:bookmarkEnd w:id="5"/>
            <w:bookmarkEnd w:id="6"/>
            <w:bookmarkEnd w:id="7"/>
            <w:bookmarkEnd w:id="8"/>
            <w:bookmarkStart w:id="9" w:name="_Hlt318708530"/>
            <w:bookmarkStart w:id="10" w:name="_Hlt318708531"/>
            <w:r>
              <w:rPr>
                <w:rFonts w:hint="eastAsia" w:ascii="宋体" w:hAnsi="宋体"/>
                <w:sz w:val="24"/>
                <w:highlight w:val="none"/>
              </w:rPr>
              <w:t>方</w:t>
            </w:r>
            <w:bookmarkEnd w:id="3"/>
            <w:bookmarkEnd w:id="9"/>
            <w:bookmarkEnd w:id="10"/>
            <w:r>
              <w:rPr>
                <w:rFonts w:hint="eastAsia" w:ascii="宋体" w:hAnsi="宋体"/>
                <w:sz w:val="24"/>
                <w:highlight w:val="none"/>
              </w:rPr>
              <w:t>法</w:t>
            </w:r>
            <w:r>
              <w:rPr>
                <w:rFonts w:hint="eastAsia" w:ascii="宋体" w:hAnsi="宋体"/>
                <w:sz w:val="24"/>
                <w:highlight w:val="none"/>
              </w:rPr>
              <w:fldChar w:fldCharType="end"/>
            </w:r>
            <w:r>
              <w:rPr>
                <w:rFonts w:hint="eastAsia" w:ascii="宋体" w:hAnsi="宋体"/>
                <w:sz w:val="24"/>
                <w:highlight w:val="none"/>
              </w:rPr>
              <w:t>：本项目采用综合评分法。</w:t>
            </w:r>
          </w:p>
        </w:tc>
      </w:tr>
      <w:tr w14:paraId="441A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8" w:type="dxa"/>
            <w:vAlign w:val="center"/>
          </w:tcPr>
          <w:p w14:paraId="1EB7B5C8">
            <w:pPr>
              <w:spacing w:line="480" w:lineRule="exact"/>
              <w:jc w:val="center"/>
              <w:rPr>
                <w:rFonts w:ascii="宋体" w:hAnsi="宋体"/>
                <w:sz w:val="24"/>
              </w:rPr>
            </w:pPr>
            <w:r>
              <w:rPr>
                <w:rFonts w:hint="eastAsia" w:ascii="宋体" w:hAnsi="宋体"/>
                <w:sz w:val="24"/>
              </w:rPr>
              <w:t>9</w:t>
            </w:r>
          </w:p>
        </w:tc>
        <w:tc>
          <w:tcPr>
            <w:tcW w:w="899" w:type="dxa"/>
            <w:vAlign w:val="center"/>
          </w:tcPr>
          <w:p w14:paraId="78C9A16E">
            <w:pPr>
              <w:spacing w:line="480" w:lineRule="exact"/>
              <w:jc w:val="center"/>
              <w:rPr>
                <w:rFonts w:ascii="宋体" w:hAnsi="宋体"/>
                <w:sz w:val="24"/>
              </w:rPr>
            </w:pPr>
            <w:r>
              <w:rPr>
                <w:rFonts w:hint="eastAsia" w:ascii="宋体" w:hAnsi="宋体"/>
                <w:sz w:val="24"/>
              </w:rPr>
              <w:t>13.2</w:t>
            </w:r>
          </w:p>
        </w:tc>
        <w:tc>
          <w:tcPr>
            <w:tcW w:w="8510" w:type="dxa"/>
            <w:vAlign w:val="center"/>
          </w:tcPr>
          <w:p w14:paraId="51E9CFB2">
            <w:pPr>
              <w:spacing w:line="360" w:lineRule="auto"/>
              <w:rPr>
                <w:rFonts w:ascii="宋体" w:hAnsi="宋体"/>
                <w:b/>
                <w:sz w:val="24"/>
                <w:shd w:val="pct10" w:color="auto" w:fill="FFFFFF"/>
              </w:rPr>
            </w:pPr>
            <w:r>
              <w:rPr>
                <w:rFonts w:hint="eastAsia" w:ascii="宋体" w:hAnsi="宋体"/>
                <w:b/>
                <w:bCs/>
                <w:sz w:val="24"/>
              </w:rPr>
              <w:t>投标文件应由投标人的单位负责人或者其授权代表签名并加盖公章，如由后者签名，应提供“单位负责人授权书”。</w:t>
            </w:r>
          </w:p>
        </w:tc>
      </w:tr>
      <w:tr w14:paraId="23B3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98" w:type="dxa"/>
            <w:vAlign w:val="center"/>
          </w:tcPr>
          <w:p w14:paraId="3EB345DF">
            <w:pPr>
              <w:spacing w:line="480" w:lineRule="exact"/>
              <w:jc w:val="center"/>
              <w:rPr>
                <w:rFonts w:ascii="宋体" w:hAnsi="宋体"/>
                <w:sz w:val="24"/>
              </w:rPr>
            </w:pPr>
            <w:r>
              <w:rPr>
                <w:rFonts w:hint="eastAsia" w:ascii="宋体" w:hAnsi="宋体"/>
                <w:sz w:val="24"/>
              </w:rPr>
              <w:t>10</w:t>
            </w:r>
          </w:p>
        </w:tc>
        <w:tc>
          <w:tcPr>
            <w:tcW w:w="899" w:type="dxa"/>
            <w:vAlign w:val="center"/>
          </w:tcPr>
          <w:p w14:paraId="586C2BDA">
            <w:pPr>
              <w:spacing w:line="480" w:lineRule="exact"/>
              <w:jc w:val="center"/>
              <w:rPr>
                <w:rFonts w:ascii="宋体" w:hAnsi="宋体"/>
                <w:b/>
                <w:sz w:val="24"/>
              </w:rPr>
            </w:pPr>
          </w:p>
        </w:tc>
        <w:tc>
          <w:tcPr>
            <w:tcW w:w="8510" w:type="dxa"/>
            <w:vAlign w:val="center"/>
          </w:tcPr>
          <w:p w14:paraId="41F151E1">
            <w:pPr>
              <w:pStyle w:val="11"/>
              <w:wordWrap w:val="0"/>
              <w:spacing w:before="0" w:beforeAutospacing="0" w:after="0" w:afterAutospacing="0" w:line="360" w:lineRule="auto"/>
              <w:rPr>
                <w:b w:val="0"/>
                <w:bCs/>
                <w:highlight w:val="none"/>
              </w:rPr>
            </w:pPr>
            <w:r>
              <w:rPr>
                <w:rFonts w:hint="eastAsia"/>
                <w:b/>
                <w:highlight w:val="none"/>
              </w:rPr>
              <w:t>招标代理服务费：</w:t>
            </w:r>
            <w:r>
              <w:rPr>
                <w:rFonts w:hint="eastAsia"/>
                <w:b w:val="0"/>
                <w:bCs/>
                <w:highlight w:val="none"/>
              </w:rPr>
              <w:t>本项目招标代理服务费按合同包分别收取，以合同包中标金额为基数，按差额定率累进法计取，具体标准如下：（0，50]万元：1%；</w:t>
            </w:r>
            <w:r>
              <w:rPr>
                <w:b w:val="0"/>
                <w:bCs/>
                <w:highlight w:val="none"/>
              </w:rPr>
              <w:t>（50，100]万元：0.90%，（100，500]万元 0.50%。</w:t>
            </w:r>
          </w:p>
          <w:p w14:paraId="23DB8C14">
            <w:pPr>
              <w:pStyle w:val="11"/>
              <w:wordWrap w:val="0"/>
              <w:spacing w:before="0" w:beforeAutospacing="0" w:after="0" w:afterAutospacing="0" w:line="360" w:lineRule="auto"/>
              <w:rPr>
                <w:lang w:bidi="ar"/>
              </w:rPr>
            </w:pPr>
            <w:r>
              <w:rPr>
                <w:rFonts w:hint="eastAsia"/>
                <w:lang w:bidi="ar"/>
              </w:rPr>
              <w:t>招标代理服务费专户</w:t>
            </w:r>
          </w:p>
          <w:p w14:paraId="13B0BDC0">
            <w:pPr>
              <w:widowControl/>
              <w:wordWrap w:val="0"/>
              <w:spacing w:line="360" w:lineRule="auto"/>
              <w:jc w:val="left"/>
              <w:rPr>
                <w:rFonts w:ascii="宋体" w:hAnsi="宋体" w:cs="宋体"/>
                <w:kern w:val="0"/>
                <w:sz w:val="24"/>
                <w:lang w:bidi="ar"/>
              </w:rPr>
            </w:pPr>
            <w:r>
              <w:rPr>
                <w:rFonts w:hint="eastAsia" w:ascii="宋体" w:hAnsi="宋体" w:cs="宋体"/>
                <w:kern w:val="0"/>
                <w:sz w:val="24"/>
                <w:lang w:bidi="ar"/>
              </w:rPr>
              <w:t>【开户行：中国建设银行股份有限公司福州市杨桥支行；</w:t>
            </w:r>
          </w:p>
          <w:p w14:paraId="4709C739">
            <w:pPr>
              <w:widowControl/>
              <w:wordWrap w:val="0"/>
              <w:spacing w:line="360" w:lineRule="auto"/>
              <w:jc w:val="left"/>
              <w:rPr>
                <w:rFonts w:ascii="宋体" w:hAnsi="宋体" w:cs="宋体"/>
                <w:kern w:val="0"/>
                <w:sz w:val="24"/>
                <w:lang w:bidi="ar"/>
              </w:rPr>
            </w:pPr>
            <w:r>
              <w:rPr>
                <w:rFonts w:hint="eastAsia" w:ascii="宋体" w:hAnsi="宋体" w:cs="宋体"/>
                <w:kern w:val="0"/>
                <w:sz w:val="24"/>
                <w:lang w:bidi="ar"/>
              </w:rPr>
              <w:t>开户名：福建省宏瑞招标代理有限公司；</w:t>
            </w:r>
          </w:p>
          <w:p w14:paraId="3D1AD657">
            <w:pPr>
              <w:spacing w:line="360" w:lineRule="auto"/>
              <w:rPr>
                <w:rFonts w:ascii="宋体" w:hAnsi="宋体"/>
                <w:sz w:val="24"/>
              </w:rPr>
            </w:pPr>
            <w:r>
              <w:rPr>
                <w:rFonts w:hint="eastAsia" w:ascii="宋体" w:hAnsi="宋体" w:cs="宋体"/>
                <w:kern w:val="0"/>
                <w:sz w:val="24"/>
                <w:lang w:bidi="ar"/>
              </w:rPr>
              <w:t xml:space="preserve">账号：35001877607052505105】。 </w:t>
            </w:r>
          </w:p>
        </w:tc>
      </w:tr>
      <w:tr w14:paraId="7A35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vAlign w:val="center"/>
          </w:tcPr>
          <w:p w14:paraId="2AB897EE">
            <w:pPr>
              <w:spacing w:line="480" w:lineRule="exact"/>
              <w:jc w:val="center"/>
              <w:rPr>
                <w:rFonts w:ascii="宋体" w:hAnsi="宋体"/>
                <w:sz w:val="24"/>
              </w:rPr>
            </w:pPr>
            <w:r>
              <w:rPr>
                <w:rFonts w:hint="eastAsia" w:ascii="宋体" w:hAnsi="宋体"/>
                <w:sz w:val="24"/>
              </w:rPr>
              <w:t>11</w:t>
            </w:r>
          </w:p>
        </w:tc>
        <w:tc>
          <w:tcPr>
            <w:tcW w:w="899" w:type="dxa"/>
            <w:vAlign w:val="center"/>
          </w:tcPr>
          <w:p w14:paraId="57396963">
            <w:pPr>
              <w:spacing w:line="480" w:lineRule="exact"/>
              <w:jc w:val="center"/>
              <w:rPr>
                <w:rFonts w:ascii="宋体" w:hAnsi="宋体"/>
                <w:sz w:val="24"/>
              </w:rPr>
            </w:pPr>
            <w:r>
              <w:rPr>
                <w:rFonts w:hint="eastAsia" w:ascii="宋体" w:hAnsi="宋体" w:cs="Tahoma"/>
                <w:kern w:val="0"/>
                <w:sz w:val="24"/>
              </w:rPr>
              <w:t>关于串通投标认定与处理</w:t>
            </w:r>
          </w:p>
        </w:tc>
        <w:tc>
          <w:tcPr>
            <w:tcW w:w="8510" w:type="dxa"/>
            <w:vAlign w:val="center"/>
          </w:tcPr>
          <w:p w14:paraId="209EFFC6">
            <w:pPr>
              <w:spacing w:line="400" w:lineRule="exact"/>
              <w:rPr>
                <w:rFonts w:ascii="宋体" w:hAnsi="宋体" w:cs="Tahoma"/>
                <w:b/>
                <w:kern w:val="0"/>
                <w:sz w:val="24"/>
              </w:rPr>
            </w:pPr>
            <w:r>
              <w:rPr>
                <w:rFonts w:hint="eastAsia" w:ascii="宋体" w:hAnsi="宋体" w:cs="Tahoma"/>
                <w:b/>
                <w:kern w:val="0"/>
                <w:sz w:val="24"/>
              </w:rPr>
              <w:t>关于串通投标处理：</w:t>
            </w:r>
          </w:p>
          <w:p w14:paraId="73DE6AB5">
            <w:pPr>
              <w:widowControl/>
              <w:spacing w:line="400" w:lineRule="exact"/>
              <w:ind w:firstLine="360" w:firstLineChars="150"/>
              <w:jc w:val="left"/>
              <w:rPr>
                <w:rFonts w:ascii="宋体" w:hAnsi="宋体" w:cs="Tahoma"/>
                <w:kern w:val="0"/>
                <w:sz w:val="24"/>
              </w:rPr>
            </w:pPr>
            <w:r>
              <w:rPr>
                <w:rFonts w:hint="eastAsia" w:ascii="宋体" w:hAnsi="宋体" w:cs="Tahoma"/>
                <w:kern w:val="0"/>
                <w:sz w:val="24"/>
              </w:rPr>
              <w:t>评标委员会在评标过程中发现投标人存在下列情形之一的，可认定其有串通投标行为，并做出其投标无效的决定：</w:t>
            </w:r>
          </w:p>
          <w:p w14:paraId="3252225E">
            <w:pPr>
              <w:widowControl/>
              <w:spacing w:line="400" w:lineRule="exact"/>
              <w:jc w:val="left"/>
              <w:rPr>
                <w:rFonts w:ascii="宋体" w:hAnsi="宋体" w:cs="Tahoma"/>
                <w:kern w:val="0"/>
                <w:sz w:val="24"/>
              </w:rPr>
            </w:pPr>
            <w:r>
              <w:rPr>
                <w:rFonts w:hint="eastAsia" w:ascii="宋体" w:hAnsi="宋体" w:cs="Tahoma"/>
                <w:kern w:val="0"/>
                <w:sz w:val="24"/>
              </w:rPr>
              <w:t>（1）不同投标人的投标文件错、漏之处一致或雷同，且不能合理解释的；</w:t>
            </w:r>
          </w:p>
          <w:p w14:paraId="565954E3">
            <w:pPr>
              <w:widowControl/>
              <w:spacing w:line="400" w:lineRule="exact"/>
              <w:jc w:val="left"/>
              <w:rPr>
                <w:rFonts w:ascii="宋体" w:hAnsi="宋体" w:cs="Tahoma"/>
                <w:kern w:val="0"/>
                <w:sz w:val="24"/>
              </w:rPr>
            </w:pPr>
            <w:r>
              <w:rPr>
                <w:rFonts w:hint="eastAsia" w:ascii="宋体" w:hAnsi="宋体" w:cs="Tahoma"/>
                <w:kern w:val="0"/>
                <w:sz w:val="24"/>
              </w:rPr>
              <w:t>（2）不同的投标人的法定代表人或单位负责人或授权代表等由同一个单位缴纳社会保险的；</w:t>
            </w:r>
          </w:p>
          <w:p w14:paraId="3FF122C5">
            <w:pPr>
              <w:widowControl/>
              <w:spacing w:line="400" w:lineRule="exact"/>
              <w:jc w:val="left"/>
              <w:rPr>
                <w:rFonts w:ascii="宋体" w:hAnsi="宋体" w:cs="Tahoma"/>
                <w:kern w:val="0"/>
                <w:sz w:val="24"/>
              </w:rPr>
            </w:pPr>
            <w:r>
              <w:rPr>
                <w:rFonts w:hint="eastAsia" w:ascii="宋体" w:hAnsi="宋体" w:cs="Tahoma"/>
                <w:kern w:val="0"/>
                <w:sz w:val="24"/>
              </w:rPr>
              <w:t>（3）由同一人或分别由几个有利害关系人携带两个以上（含两个）投标人的企业资料参与资格审查、领取招标资料，或代表两个以上（含两个）投标人参加招标答疑会、交纳或退还投标保证金、开标的；</w:t>
            </w:r>
          </w:p>
          <w:p w14:paraId="7DBD9005">
            <w:pPr>
              <w:spacing w:line="400" w:lineRule="exact"/>
              <w:rPr>
                <w:rFonts w:ascii="宋体" w:hAnsi="宋体"/>
                <w:sz w:val="24"/>
              </w:rPr>
            </w:pPr>
            <w:r>
              <w:rPr>
                <w:rFonts w:hint="eastAsia" w:ascii="宋体" w:hAnsi="宋体" w:cs="Tahoma"/>
                <w:kern w:val="0"/>
                <w:sz w:val="24"/>
              </w:rPr>
              <w:t>(4)有关法律、法规或规章规定的其他串通投标行为。</w:t>
            </w:r>
          </w:p>
        </w:tc>
      </w:tr>
      <w:tr w14:paraId="0459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98" w:type="dxa"/>
            <w:vAlign w:val="center"/>
          </w:tcPr>
          <w:p w14:paraId="1F0F93AF">
            <w:pPr>
              <w:spacing w:line="480" w:lineRule="exact"/>
              <w:jc w:val="center"/>
              <w:rPr>
                <w:rFonts w:ascii="宋体" w:hAnsi="宋体"/>
                <w:sz w:val="24"/>
              </w:rPr>
            </w:pPr>
            <w:r>
              <w:rPr>
                <w:rFonts w:hint="eastAsia" w:ascii="宋体" w:hAnsi="宋体"/>
                <w:sz w:val="24"/>
              </w:rPr>
              <w:t>12</w:t>
            </w:r>
          </w:p>
        </w:tc>
        <w:tc>
          <w:tcPr>
            <w:tcW w:w="899" w:type="dxa"/>
            <w:vAlign w:val="center"/>
          </w:tcPr>
          <w:p w14:paraId="6D5B1210">
            <w:pPr>
              <w:spacing w:line="480" w:lineRule="exact"/>
              <w:jc w:val="center"/>
              <w:rPr>
                <w:rFonts w:ascii="宋体" w:hAnsi="宋体"/>
                <w:b/>
                <w:sz w:val="24"/>
              </w:rPr>
            </w:pPr>
          </w:p>
        </w:tc>
        <w:tc>
          <w:tcPr>
            <w:tcW w:w="8510" w:type="dxa"/>
            <w:vAlign w:val="center"/>
          </w:tcPr>
          <w:p w14:paraId="2EEBC2BF">
            <w:pPr>
              <w:spacing w:line="400" w:lineRule="exact"/>
              <w:rPr>
                <w:rFonts w:ascii="宋体" w:hAnsi="宋体"/>
                <w:b/>
                <w:sz w:val="24"/>
              </w:rPr>
            </w:pPr>
            <w:r>
              <w:rPr>
                <w:rFonts w:hint="eastAsia" w:ascii="宋体" w:hAnsi="宋体"/>
                <w:b/>
                <w:sz w:val="24"/>
              </w:rPr>
              <w:t>废标条款：</w:t>
            </w:r>
          </w:p>
          <w:p w14:paraId="779B7E03">
            <w:pPr>
              <w:spacing w:line="400" w:lineRule="exact"/>
              <w:rPr>
                <w:rFonts w:ascii="宋体" w:hAnsi="宋体" w:cs="Tahoma"/>
                <w:sz w:val="24"/>
              </w:rPr>
            </w:pPr>
            <w:r>
              <w:rPr>
                <w:rFonts w:ascii="宋体" w:hAnsi="宋体" w:cs="Tahoma"/>
                <w:sz w:val="24"/>
              </w:rPr>
              <w:t xml:space="preserve">在招标采购中，出现下列情形之一的，应予废标： </w:t>
            </w:r>
          </w:p>
          <w:p w14:paraId="49FE9B05">
            <w:pPr>
              <w:spacing w:line="400" w:lineRule="exact"/>
              <w:rPr>
                <w:rFonts w:ascii="宋体" w:hAnsi="宋体" w:cs="Tahoma"/>
                <w:sz w:val="24"/>
              </w:rPr>
            </w:pPr>
            <w:r>
              <w:rPr>
                <w:rFonts w:hint="eastAsia" w:ascii="宋体" w:hAnsi="宋体" w:cs="Tahoma"/>
                <w:sz w:val="24"/>
              </w:rPr>
              <w:t>（一）</w:t>
            </w:r>
            <w:r>
              <w:rPr>
                <w:rFonts w:ascii="宋体" w:hAnsi="宋体" w:cs="Tahoma"/>
                <w:sz w:val="24"/>
              </w:rPr>
              <w:t>符合专业条件的</w:t>
            </w:r>
            <w:r>
              <w:rPr>
                <w:rFonts w:hint="eastAsia" w:ascii="宋体" w:hAnsi="宋体" w:cs="Tahoma"/>
                <w:sz w:val="24"/>
              </w:rPr>
              <w:t>投标人</w:t>
            </w:r>
            <w:r>
              <w:rPr>
                <w:rFonts w:ascii="宋体" w:hAnsi="宋体" w:cs="Tahoma"/>
                <w:sz w:val="24"/>
              </w:rPr>
              <w:t>或者对招标文件作实质响应的</w:t>
            </w:r>
            <w:r>
              <w:rPr>
                <w:rFonts w:hint="eastAsia" w:ascii="宋体" w:hAnsi="宋体" w:cs="Tahoma"/>
                <w:sz w:val="24"/>
              </w:rPr>
              <w:t>投标人</w:t>
            </w:r>
            <w:r>
              <w:rPr>
                <w:rFonts w:ascii="宋体" w:hAnsi="宋体" w:cs="Tahoma"/>
                <w:sz w:val="24"/>
              </w:rPr>
              <w:t xml:space="preserve">不足三家的； </w:t>
            </w:r>
          </w:p>
          <w:p w14:paraId="2F1C6CAC">
            <w:pPr>
              <w:spacing w:line="400" w:lineRule="exact"/>
              <w:rPr>
                <w:rFonts w:ascii="宋体" w:hAnsi="宋体" w:cs="Tahoma"/>
                <w:sz w:val="24"/>
              </w:rPr>
            </w:pPr>
            <w:r>
              <w:rPr>
                <w:rFonts w:ascii="宋体" w:hAnsi="宋体" w:cs="Tahoma"/>
                <w:sz w:val="24"/>
              </w:rPr>
              <w:t xml:space="preserve">（二）出现影响采购公正的违法、违规行为的； </w:t>
            </w:r>
          </w:p>
          <w:p w14:paraId="39EDF17D">
            <w:pPr>
              <w:spacing w:line="400" w:lineRule="exact"/>
              <w:rPr>
                <w:rFonts w:ascii="宋体" w:hAnsi="宋体" w:cs="Tahoma"/>
                <w:sz w:val="24"/>
              </w:rPr>
            </w:pPr>
            <w:r>
              <w:rPr>
                <w:rFonts w:ascii="宋体" w:hAnsi="宋体" w:cs="Tahoma"/>
                <w:sz w:val="24"/>
              </w:rPr>
              <w:t>（三）</w:t>
            </w:r>
            <w:r>
              <w:rPr>
                <w:rFonts w:hint="eastAsia" w:ascii="宋体" w:hAnsi="宋体" w:cs="Tahoma"/>
                <w:sz w:val="24"/>
              </w:rPr>
              <w:t>投标人</w:t>
            </w:r>
            <w:r>
              <w:rPr>
                <w:rFonts w:ascii="宋体" w:hAnsi="宋体" w:cs="Tahoma"/>
                <w:sz w:val="24"/>
              </w:rPr>
              <w:t>的报价均超过了</w:t>
            </w:r>
            <w:r>
              <w:rPr>
                <w:rFonts w:hint="eastAsia" w:ascii="宋体" w:hAnsi="宋体" w:cs="Tahoma"/>
                <w:sz w:val="24"/>
              </w:rPr>
              <w:t>最高限价</w:t>
            </w:r>
            <w:r>
              <w:rPr>
                <w:rFonts w:ascii="宋体" w:hAnsi="宋体" w:cs="Tahoma"/>
                <w:sz w:val="24"/>
              </w:rPr>
              <w:t>，</w:t>
            </w:r>
            <w:r>
              <w:rPr>
                <w:rFonts w:hint="eastAsia" w:ascii="宋体" w:hAnsi="宋体" w:cs="Tahoma"/>
                <w:sz w:val="24"/>
              </w:rPr>
              <w:t>招标人</w:t>
            </w:r>
            <w:r>
              <w:rPr>
                <w:rFonts w:ascii="宋体" w:hAnsi="宋体" w:cs="Tahoma"/>
                <w:sz w:val="24"/>
              </w:rPr>
              <w:t xml:space="preserve">不能支付的； </w:t>
            </w:r>
          </w:p>
          <w:p w14:paraId="4B3F57C3">
            <w:pPr>
              <w:spacing w:line="400" w:lineRule="exact"/>
              <w:rPr>
                <w:rFonts w:ascii="宋体" w:hAnsi="宋体"/>
                <w:b/>
                <w:sz w:val="24"/>
              </w:rPr>
            </w:pPr>
            <w:r>
              <w:rPr>
                <w:rFonts w:ascii="宋体" w:hAnsi="宋体" w:cs="Tahoma"/>
                <w:sz w:val="24"/>
              </w:rPr>
              <w:t>（四）因重大变故，采购任务取消的。</w:t>
            </w:r>
          </w:p>
        </w:tc>
      </w:tr>
      <w:tr w14:paraId="6304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598" w:type="dxa"/>
            <w:vAlign w:val="center"/>
          </w:tcPr>
          <w:p w14:paraId="2E2BD0A0">
            <w:pPr>
              <w:spacing w:line="480" w:lineRule="exact"/>
              <w:jc w:val="center"/>
              <w:rPr>
                <w:rFonts w:ascii="宋体" w:hAnsi="宋体"/>
                <w:sz w:val="24"/>
              </w:rPr>
            </w:pPr>
            <w:r>
              <w:rPr>
                <w:rFonts w:hint="eastAsia" w:ascii="宋体" w:hAnsi="宋体"/>
                <w:sz w:val="24"/>
              </w:rPr>
              <w:t>13</w:t>
            </w:r>
          </w:p>
        </w:tc>
        <w:tc>
          <w:tcPr>
            <w:tcW w:w="899" w:type="dxa"/>
            <w:vAlign w:val="center"/>
          </w:tcPr>
          <w:p w14:paraId="5952ED59">
            <w:pPr>
              <w:spacing w:line="480" w:lineRule="exact"/>
              <w:jc w:val="center"/>
              <w:rPr>
                <w:rFonts w:ascii="宋体" w:hAnsi="宋体"/>
                <w:b/>
                <w:sz w:val="24"/>
              </w:rPr>
            </w:pPr>
          </w:p>
        </w:tc>
        <w:tc>
          <w:tcPr>
            <w:tcW w:w="8510" w:type="dxa"/>
            <w:vAlign w:val="center"/>
          </w:tcPr>
          <w:p w14:paraId="2404C046">
            <w:pPr>
              <w:spacing w:line="400" w:lineRule="exact"/>
              <w:rPr>
                <w:rFonts w:ascii="宋体" w:hAnsi="宋体"/>
                <w:b/>
                <w:sz w:val="24"/>
              </w:rPr>
            </w:pPr>
            <w:r>
              <w:rPr>
                <w:rFonts w:hint="eastAsia" w:ascii="宋体" w:hAnsi="宋体"/>
                <w:b/>
                <w:sz w:val="24"/>
              </w:rPr>
              <w:t>重大偏差与细微偏差：</w:t>
            </w:r>
          </w:p>
          <w:p w14:paraId="750E2B13">
            <w:pPr>
              <w:spacing w:line="400" w:lineRule="exact"/>
              <w:rPr>
                <w:rFonts w:ascii="宋体" w:hAnsi="宋体"/>
                <w:b/>
                <w:sz w:val="24"/>
              </w:rPr>
            </w:pPr>
            <w:r>
              <w:rPr>
                <w:rFonts w:hint="eastAsia" w:ascii="宋体" w:hAnsi="宋体"/>
                <w:b/>
                <w:sz w:val="24"/>
              </w:rPr>
              <w:t>以下为重大偏差与细微偏差的条款，请各投标人认真审阅。</w:t>
            </w:r>
          </w:p>
          <w:p w14:paraId="524F9ABB">
            <w:pPr>
              <w:spacing w:line="400" w:lineRule="exact"/>
              <w:rPr>
                <w:rFonts w:ascii="宋体" w:hAnsi="宋体"/>
                <w:b/>
                <w:sz w:val="24"/>
              </w:rPr>
            </w:pPr>
            <w:r>
              <w:rPr>
                <w:rFonts w:hint="eastAsia" w:ascii="宋体" w:hAnsi="宋体"/>
                <w:b/>
                <w:sz w:val="24"/>
              </w:rPr>
              <w:t>（一）重大偏差：</w:t>
            </w:r>
          </w:p>
          <w:p w14:paraId="2ED636C2">
            <w:pPr>
              <w:numPr>
                <w:ilvl w:val="0"/>
                <w:numId w:val="3"/>
              </w:numPr>
              <w:spacing w:line="400" w:lineRule="exact"/>
              <w:jc w:val="left"/>
              <w:rPr>
                <w:rFonts w:ascii="宋体" w:hAnsi="宋体"/>
                <w:sz w:val="24"/>
              </w:rPr>
            </w:pPr>
            <w:r>
              <w:rPr>
                <w:rFonts w:hint="eastAsia" w:ascii="宋体" w:hAnsi="宋体"/>
                <w:sz w:val="24"/>
              </w:rPr>
              <w:t>投标文件未按招标文件要求加盖公章并由单位负责人或其书面授权的代理人签字的；</w:t>
            </w:r>
          </w:p>
          <w:p w14:paraId="5F151E1B">
            <w:pPr>
              <w:numPr>
                <w:ilvl w:val="0"/>
                <w:numId w:val="3"/>
              </w:numPr>
              <w:spacing w:line="400" w:lineRule="exact"/>
              <w:rPr>
                <w:rFonts w:ascii="宋体" w:hAnsi="宋体"/>
                <w:sz w:val="24"/>
              </w:rPr>
            </w:pPr>
            <w:r>
              <w:rPr>
                <w:rFonts w:hint="eastAsia" w:ascii="宋体" w:hAnsi="宋体"/>
                <w:sz w:val="24"/>
              </w:rPr>
              <w:t>投标文件中附有招标人不能接受的条件；</w:t>
            </w:r>
          </w:p>
          <w:p w14:paraId="662BC77A">
            <w:pPr>
              <w:numPr>
                <w:ilvl w:val="0"/>
                <w:numId w:val="3"/>
              </w:numPr>
              <w:spacing w:line="400" w:lineRule="exact"/>
              <w:rPr>
                <w:rFonts w:ascii="宋体" w:hAnsi="宋体"/>
                <w:sz w:val="24"/>
              </w:rPr>
            </w:pPr>
            <w:r>
              <w:rPr>
                <w:rFonts w:hint="eastAsia" w:ascii="宋体" w:hAnsi="宋体"/>
                <w:sz w:val="24"/>
              </w:rPr>
              <w:t>不符合招标文件中规定的实质性条款；</w:t>
            </w:r>
          </w:p>
          <w:p w14:paraId="56A3022F">
            <w:pPr>
              <w:spacing w:line="400" w:lineRule="exact"/>
              <w:rPr>
                <w:rFonts w:ascii="宋体" w:hAnsi="宋体"/>
                <w:b/>
                <w:sz w:val="24"/>
              </w:rPr>
            </w:pPr>
            <w:r>
              <w:rPr>
                <w:rFonts w:hint="eastAsia" w:ascii="宋体" w:hAnsi="宋体"/>
                <w:b/>
                <w:sz w:val="24"/>
              </w:rPr>
              <w:t>注：投标人的投标文件若有上述情形之一的，认定为未对招标文件作出实质性响应，作无效投标处理。</w:t>
            </w:r>
          </w:p>
          <w:p w14:paraId="12C820EE">
            <w:pPr>
              <w:spacing w:line="400" w:lineRule="exact"/>
              <w:rPr>
                <w:rFonts w:ascii="宋体" w:hAnsi="宋体"/>
                <w:sz w:val="24"/>
              </w:rPr>
            </w:pPr>
            <w:r>
              <w:rPr>
                <w:rFonts w:hint="eastAsia" w:ascii="宋体" w:hAnsi="宋体"/>
                <w:b/>
                <w:sz w:val="24"/>
              </w:rPr>
              <w:t>（二）细微偏差：</w:t>
            </w:r>
            <w:r>
              <w:rPr>
                <w:rFonts w:hint="eastAsia" w:ascii="宋体" w:hAnsi="宋体"/>
                <w:sz w:val="24"/>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398CDB79">
            <w:pPr>
              <w:spacing w:line="400" w:lineRule="exact"/>
              <w:ind w:firstLine="235" w:firstLineChars="98"/>
              <w:rPr>
                <w:rFonts w:ascii="宋体" w:hAnsi="宋体"/>
                <w:sz w:val="24"/>
              </w:rPr>
            </w:pPr>
            <w:r>
              <w:rPr>
                <w:rFonts w:hint="eastAsia" w:ascii="宋体" w:hAnsi="宋体"/>
                <w:sz w:val="24"/>
              </w:rPr>
              <w:t>评标委员会应当书面要求存在细微偏差的投标人在评标结束前予以补正。补正的程序和方法按照招标文件投标人须知第18条的规定执行。无法补正的，可在评审时对细微偏差作不利于该投标人的认定。</w:t>
            </w:r>
          </w:p>
          <w:p w14:paraId="00446C04">
            <w:pPr>
              <w:spacing w:line="400" w:lineRule="exact"/>
              <w:ind w:firstLine="236" w:firstLineChars="98"/>
              <w:rPr>
                <w:rFonts w:ascii="宋体" w:hAnsi="宋体"/>
                <w:b/>
                <w:sz w:val="24"/>
              </w:rPr>
            </w:pPr>
            <w:r>
              <w:rPr>
                <w:rFonts w:hint="eastAsia" w:ascii="宋体" w:hAnsi="宋体"/>
                <w:b/>
                <w:sz w:val="24"/>
              </w:rPr>
              <w:t>评标委员会判定重大偏差、细微偏差是依据投标文件，而不寻求其他的外部证据。</w:t>
            </w:r>
          </w:p>
        </w:tc>
      </w:tr>
      <w:tr w14:paraId="1EAE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vAlign w:val="center"/>
          </w:tcPr>
          <w:p w14:paraId="77C7C80A">
            <w:pPr>
              <w:spacing w:line="480" w:lineRule="exact"/>
              <w:jc w:val="center"/>
              <w:rPr>
                <w:rFonts w:ascii="宋体" w:hAnsi="宋体"/>
                <w:sz w:val="24"/>
              </w:rPr>
            </w:pPr>
            <w:r>
              <w:rPr>
                <w:rFonts w:hint="eastAsia" w:ascii="宋体" w:hAnsi="宋体"/>
                <w:sz w:val="24"/>
              </w:rPr>
              <w:t>14</w:t>
            </w:r>
          </w:p>
        </w:tc>
        <w:tc>
          <w:tcPr>
            <w:tcW w:w="899" w:type="dxa"/>
            <w:vAlign w:val="center"/>
          </w:tcPr>
          <w:p w14:paraId="5B32DCB8">
            <w:pPr>
              <w:spacing w:line="480" w:lineRule="exact"/>
              <w:jc w:val="center"/>
              <w:rPr>
                <w:rFonts w:ascii="宋体" w:hAnsi="宋体"/>
                <w:sz w:val="24"/>
              </w:rPr>
            </w:pPr>
            <w:r>
              <w:rPr>
                <w:rFonts w:hint="eastAsia" w:ascii="宋体" w:hAnsi="宋体"/>
                <w:sz w:val="24"/>
              </w:rPr>
              <w:t>24</w:t>
            </w:r>
          </w:p>
        </w:tc>
        <w:tc>
          <w:tcPr>
            <w:tcW w:w="8510" w:type="dxa"/>
            <w:vAlign w:val="center"/>
          </w:tcPr>
          <w:p w14:paraId="6E3B747C">
            <w:pPr>
              <w:spacing w:line="400" w:lineRule="exact"/>
              <w:rPr>
                <w:rFonts w:ascii="宋体" w:hAnsi="宋体"/>
                <w:b/>
                <w:sz w:val="24"/>
              </w:rPr>
            </w:pPr>
            <w:r>
              <w:rPr>
                <w:rFonts w:hint="eastAsia" w:ascii="宋体" w:hAnsi="宋体"/>
                <w:sz w:val="24"/>
              </w:rPr>
              <w:t>招标项目监督部门：</w:t>
            </w:r>
            <w:r>
              <w:rPr>
                <w:rFonts w:hint="eastAsia" w:ascii="宋体" w:hAnsi="宋体"/>
                <w:sz w:val="24"/>
                <w:highlight w:val="none"/>
              </w:rPr>
              <w:t>福建省泉州升华实业有限公司监事会</w:t>
            </w:r>
          </w:p>
        </w:tc>
      </w:tr>
    </w:tbl>
    <w:p w14:paraId="3D414238">
      <w:pPr>
        <w:pStyle w:val="12"/>
        <w:ind w:firstLine="0" w:firstLineChars="0"/>
      </w:pPr>
      <w:bookmarkStart w:id="11" w:name="_Toc455741404"/>
      <w:bookmarkStart w:id="12" w:name="_Toc455741403"/>
      <w:bookmarkStart w:id="13" w:name="_Toc366826746"/>
      <w:bookmarkStart w:id="14" w:name="_Toc393803830"/>
      <w:bookmarkStart w:id="15" w:name="_Toc393803915"/>
      <w:bookmarkStart w:id="16" w:name="_Toc366826834"/>
      <w:bookmarkStart w:id="17" w:name="_Toc366671492"/>
      <w:bookmarkStart w:id="18" w:name="_Toc405899244"/>
      <w:bookmarkStart w:id="19" w:name="_Toc353124981"/>
      <w:bookmarkStart w:id="20" w:name="_Toc20201"/>
      <w:bookmarkStart w:id="21" w:name="_Toc394923971"/>
      <w:bookmarkStart w:id="22" w:name="_Toc405899400"/>
    </w:p>
    <w:bookmarkEnd w:id="11"/>
    <w:bookmarkEnd w:id="12"/>
    <w:bookmarkEnd w:id="13"/>
    <w:bookmarkEnd w:id="14"/>
    <w:bookmarkEnd w:id="15"/>
    <w:bookmarkEnd w:id="16"/>
    <w:bookmarkEnd w:id="17"/>
    <w:bookmarkEnd w:id="18"/>
    <w:bookmarkEnd w:id="19"/>
    <w:bookmarkEnd w:id="20"/>
    <w:bookmarkEnd w:id="21"/>
    <w:bookmarkEnd w:id="22"/>
    <w:p w14:paraId="63B71790">
      <w:pPr>
        <w:bidi w:val="0"/>
      </w:pPr>
      <w:bookmarkStart w:id="23" w:name="_Toc31350"/>
    </w:p>
    <w:p w14:paraId="3A9347B5">
      <w:pPr>
        <w:bidi w:val="0"/>
      </w:pPr>
    </w:p>
    <w:p w14:paraId="286109FB">
      <w:pPr>
        <w:spacing w:line="400" w:lineRule="exact"/>
        <w:jc w:val="center"/>
        <w:outlineLvl w:val="1"/>
        <w:rPr>
          <w:rFonts w:ascii="宋体" w:hAnsi="宋体"/>
          <w:b/>
          <w:sz w:val="36"/>
        </w:rPr>
      </w:pPr>
      <w:r>
        <w:rPr>
          <w:rFonts w:hint="eastAsia" w:ascii="宋体" w:hAnsi="宋体"/>
          <w:b/>
          <w:sz w:val="36"/>
        </w:rPr>
        <w:t>一、说明</w:t>
      </w:r>
      <w:bookmarkEnd w:id="23"/>
    </w:p>
    <w:p w14:paraId="42106CF1">
      <w:pPr>
        <w:spacing w:line="480" w:lineRule="exact"/>
        <w:outlineLvl w:val="2"/>
        <w:rPr>
          <w:rFonts w:ascii="宋体" w:hAnsi="宋体"/>
          <w:b/>
          <w:sz w:val="24"/>
        </w:rPr>
      </w:pPr>
      <w:bookmarkStart w:id="24" w:name="_Toc2249"/>
      <w:r>
        <w:rPr>
          <w:rFonts w:ascii="宋体" w:hAnsi="宋体"/>
          <w:b/>
          <w:sz w:val="24"/>
        </w:rPr>
        <w:t>1.</w:t>
      </w:r>
      <w:r>
        <w:rPr>
          <w:rFonts w:hint="eastAsia" w:ascii="宋体" w:hAnsi="宋体"/>
          <w:b/>
          <w:sz w:val="24"/>
        </w:rPr>
        <w:t>适用范围</w:t>
      </w:r>
      <w:bookmarkEnd w:id="24"/>
    </w:p>
    <w:p w14:paraId="1B9484F8">
      <w:pPr>
        <w:spacing w:line="480" w:lineRule="exact"/>
        <w:rPr>
          <w:rFonts w:ascii="宋体" w:hAnsi="宋体"/>
          <w:sz w:val="24"/>
        </w:rPr>
      </w:pPr>
      <w:r>
        <w:rPr>
          <w:rFonts w:ascii="宋体" w:hAnsi="宋体"/>
          <w:sz w:val="24"/>
        </w:rPr>
        <w:t>1.1</w:t>
      </w:r>
      <w:r>
        <w:rPr>
          <w:rFonts w:hint="eastAsia" w:ascii="宋体" w:hAnsi="宋体"/>
          <w:sz w:val="24"/>
        </w:rPr>
        <w:t>本招标文件仅适用于投标邀请中所叙述项目的货物和服务采购。</w:t>
      </w:r>
    </w:p>
    <w:p w14:paraId="710B6130">
      <w:pPr>
        <w:spacing w:line="480" w:lineRule="exact"/>
        <w:outlineLvl w:val="2"/>
        <w:rPr>
          <w:rFonts w:ascii="宋体" w:hAnsi="宋体"/>
          <w:b/>
          <w:sz w:val="24"/>
        </w:rPr>
      </w:pPr>
      <w:bookmarkStart w:id="25" w:name="_Toc1297"/>
      <w:r>
        <w:rPr>
          <w:rFonts w:ascii="宋体" w:hAnsi="宋体"/>
          <w:b/>
          <w:sz w:val="24"/>
        </w:rPr>
        <w:t>2.</w:t>
      </w:r>
      <w:r>
        <w:rPr>
          <w:rFonts w:hint="eastAsia" w:ascii="宋体" w:hAnsi="宋体"/>
          <w:b/>
          <w:sz w:val="24"/>
        </w:rPr>
        <w:t>定义</w:t>
      </w:r>
      <w:bookmarkEnd w:id="25"/>
    </w:p>
    <w:p w14:paraId="014E07F7">
      <w:pPr>
        <w:spacing w:line="480" w:lineRule="exact"/>
        <w:rPr>
          <w:rFonts w:ascii="宋体" w:hAnsi="宋体"/>
          <w:sz w:val="24"/>
        </w:rPr>
      </w:pPr>
      <w:r>
        <w:rPr>
          <w:rFonts w:ascii="宋体" w:hAnsi="宋体"/>
          <w:sz w:val="24"/>
        </w:rPr>
        <w:t>2.1</w:t>
      </w:r>
      <w:r>
        <w:rPr>
          <w:rFonts w:hint="eastAsia" w:ascii="宋体" w:hAnsi="宋体"/>
          <w:sz w:val="24"/>
        </w:rPr>
        <w:t xml:space="preserve"> “招标人”系指本次采购项目的业主方。</w:t>
      </w:r>
    </w:p>
    <w:p w14:paraId="66B25701">
      <w:pPr>
        <w:spacing w:line="480" w:lineRule="exact"/>
        <w:rPr>
          <w:rFonts w:ascii="宋体" w:hAnsi="宋体"/>
          <w:sz w:val="24"/>
        </w:rPr>
      </w:pPr>
      <w:r>
        <w:rPr>
          <w:rFonts w:ascii="宋体" w:hAnsi="宋体"/>
          <w:sz w:val="24"/>
        </w:rPr>
        <w:t>2.</w:t>
      </w:r>
      <w:r>
        <w:rPr>
          <w:rFonts w:hint="eastAsia" w:ascii="宋体" w:hAnsi="宋体"/>
          <w:sz w:val="24"/>
        </w:rPr>
        <w:t>2 “招标采购单位”系指组织本次招标活动的招标人或招标代理机构。</w:t>
      </w:r>
    </w:p>
    <w:p w14:paraId="5BF70D6E">
      <w:pPr>
        <w:spacing w:line="480" w:lineRule="exact"/>
        <w:rPr>
          <w:rFonts w:ascii="宋体" w:hAnsi="宋体"/>
          <w:sz w:val="24"/>
        </w:rPr>
      </w:pPr>
      <w:r>
        <w:rPr>
          <w:rFonts w:ascii="宋体" w:hAnsi="宋体"/>
          <w:sz w:val="24"/>
        </w:rPr>
        <w:t>2.</w:t>
      </w:r>
      <w:r>
        <w:rPr>
          <w:rFonts w:hint="eastAsia" w:ascii="宋体" w:hAnsi="宋体"/>
          <w:sz w:val="24"/>
        </w:rPr>
        <w:t>3 “招标代理机构”系指本次招标采购项目活动组织方。</w:t>
      </w:r>
    </w:p>
    <w:p w14:paraId="2527E0E6">
      <w:pPr>
        <w:spacing w:line="480" w:lineRule="exact"/>
        <w:rPr>
          <w:rFonts w:ascii="宋体" w:hAnsi="宋体"/>
          <w:sz w:val="24"/>
        </w:rPr>
      </w:pPr>
      <w:r>
        <w:rPr>
          <w:rFonts w:hint="eastAsia" w:ascii="宋体" w:hAnsi="宋体"/>
          <w:sz w:val="24"/>
        </w:rPr>
        <w:t>2</w:t>
      </w:r>
      <w:r>
        <w:rPr>
          <w:rFonts w:ascii="宋体" w:hAnsi="宋体"/>
          <w:sz w:val="24"/>
        </w:rPr>
        <w:t xml:space="preserve">.4 </w:t>
      </w:r>
      <w:r>
        <w:rPr>
          <w:rFonts w:hint="eastAsia" w:ascii="宋体" w:hAnsi="宋体"/>
          <w:sz w:val="24"/>
        </w:rPr>
        <w:t>“投标人”系指购买了本招标文件，且已经提交或者准备提交本次投标文件的投标人。</w:t>
      </w:r>
    </w:p>
    <w:p w14:paraId="56FA64CA">
      <w:pPr>
        <w:spacing w:line="480" w:lineRule="exact"/>
        <w:rPr>
          <w:rFonts w:ascii="宋体" w:hAnsi="宋体"/>
          <w:sz w:val="24"/>
        </w:rPr>
      </w:pPr>
      <w:r>
        <w:rPr>
          <w:rFonts w:ascii="宋体" w:hAnsi="宋体"/>
          <w:sz w:val="24"/>
        </w:rPr>
        <w:t>2</w:t>
      </w:r>
      <w:r>
        <w:rPr>
          <w:rFonts w:hint="eastAsia" w:ascii="宋体" w:hAnsi="宋体"/>
          <w:sz w:val="24"/>
        </w:rPr>
        <w:t>.5 “服务”系指招标文件规定投标人须承担的履行本项目合同所需的服务。</w:t>
      </w:r>
    </w:p>
    <w:p w14:paraId="404C77AE">
      <w:pPr>
        <w:spacing w:line="480" w:lineRule="exact"/>
        <w:rPr>
          <w:rFonts w:eastAsia="黑体"/>
        </w:rPr>
      </w:pPr>
      <w:r>
        <w:rPr>
          <w:rFonts w:hint="eastAsia" w:ascii="宋体" w:hAnsi="宋体"/>
          <w:sz w:val="24"/>
        </w:rPr>
        <w:t>2.6 “货物”系指招标文件规定投标人须提供的所有货物（含配件）等。</w:t>
      </w:r>
    </w:p>
    <w:p w14:paraId="59B74AF6">
      <w:pPr>
        <w:spacing w:line="480" w:lineRule="exact"/>
        <w:outlineLvl w:val="2"/>
        <w:rPr>
          <w:rFonts w:ascii="宋体" w:hAnsi="宋体"/>
          <w:b/>
          <w:sz w:val="24"/>
        </w:rPr>
      </w:pPr>
      <w:bookmarkStart w:id="26" w:name="_Toc24866"/>
      <w:r>
        <w:rPr>
          <w:rFonts w:ascii="宋体" w:hAnsi="宋体"/>
          <w:b/>
          <w:sz w:val="24"/>
        </w:rPr>
        <w:t>3.</w:t>
      </w:r>
      <w:r>
        <w:rPr>
          <w:rFonts w:hint="eastAsia" w:ascii="宋体" w:hAnsi="宋体"/>
          <w:b/>
          <w:sz w:val="24"/>
        </w:rPr>
        <w:t>合格的</w:t>
      </w:r>
      <w:bookmarkEnd w:id="26"/>
      <w:r>
        <w:rPr>
          <w:rFonts w:hint="eastAsia" w:ascii="宋体" w:hAnsi="宋体"/>
          <w:b/>
          <w:sz w:val="24"/>
        </w:rPr>
        <w:t>投标人</w:t>
      </w:r>
    </w:p>
    <w:p w14:paraId="55A4F61A">
      <w:pPr>
        <w:widowControl/>
        <w:spacing w:line="480" w:lineRule="exact"/>
        <w:rPr>
          <w:rFonts w:ascii="宋体" w:hAnsi="宋体" w:cs="宋体"/>
          <w:kern w:val="0"/>
          <w:sz w:val="24"/>
        </w:rPr>
      </w:pPr>
      <w:r>
        <w:rPr>
          <w:rFonts w:ascii="宋体" w:hAnsi="宋体"/>
          <w:sz w:val="24"/>
        </w:rPr>
        <w:t>3.1</w:t>
      </w:r>
      <w:r>
        <w:rPr>
          <w:rFonts w:hint="eastAsia" w:ascii="宋体" w:hAnsi="宋体"/>
          <w:sz w:val="24"/>
        </w:rPr>
        <w:t>详见本章投标人须知前附表第2项号要求</w:t>
      </w:r>
      <w:r>
        <w:rPr>
          <w:rFonts w:hint="eastAsia" w:ascii="宋体" w:hAnsi="宋体" w:cs="宋体"/>
          <w:kern w:val="0"/>
          <w:sz w:val="24"/>
        </w:rPr>
        <w:t>。</w:t>
      </w:r>
    </w:p>
    <w:p w14:paraId="4AFF7DF6">
      <w:pPr>
        <w:widowControl/>
        <w:spacing w:line="480" w:lineRule="exact"/>
        <w:rPr>
          <w:rFonts w:ascii="宋体" w:hAnsi="宋体"/>
          <w:sz w:val="24"/>
        </w:rPr>
      </w:pPr>
      <w:r>
        <w:rPr>
          <w:rFonts w:ascii="宋体" w:hAnsi="宋体"/>
          <w:sz w:val="24"/>
        </w:rPr>
        <w:t>3.</w:t>
      </w:r>
      <w:r>
        <w:rPr>
          <w:rFonts w:hint="eastAsia" w:ascii="宋体" w:hAnsi="宋体"/>
          <w:sz w:val="24"/>
        </w:rPr>
        <w:t>2 投标人应遵守中国的有关法律、法规和规章的规定。</w:t>
      </w:r>
    </w:p>
    <w:p w14:paraId="2F852F6F">
      <w:pPr>
        <w:widowControl/>
        <w:spacing w:line="480" w:lineRule="exact"/>
        <w:rPr>
          <w:rFonts w:ascii="宋体" w:hAnsi="宋体"/>
          <w:sz w:val="24"/>
        </w:rPr>
      </w:pPr>
      <w:r>
        <w:rPr>
          <w:rFonts w:hint="eastAsia" w:ascii="宋体" w:hAnsi="宋体"/>
          <w:sz w:val="24"/>
        </w:rPr>
        <w:t>3.3一个投标人只能提交一个投标文件。</w:t>
      </w:r>
    </w:p>
    <w:p w14:paraId="04B0758E">
      <w:pPr>
        <w:widowControl/>
        <w:spacing w:line="480" w:lineRule="exact"/>
        <w:rPr>
          <w:rFonts w:ascii="宋体" w:hAnsi="宋体"/>
          <w:b/>
          <w:bCs/>
          <w:sz w:val="24"/>
        </w:rPr>
      </w:pPr>
      <w:r>
        <w:rPr>
          <w:rFonts w:hint="eastAsia" w:ascii="宋体" w:hAnsi="宋体"/>
          <w:sz w:val="24"/>
        </w:rPr>
        <w:t>3.4与招标人存在利害关系可能影响招标公正性的法人、其他组织或者个人，不得参加投标。单位负责人为同一人或者存在控股、管理关系的不同单位，不得参加同一标段投标或者未划分标段的同一招标项目投标。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b/>
          <w:bCs/>
          <w:sz w:val="24"/>
          <w:u w:val="single"/>
        </w:rPr>
        <w:t>违反本条规定的，相关投标均无效。</w:t>
      </w:r>
    </w:p>
    <w:p w14:paraId="692DF697">
      <w:pPr>
        <w:widowControl/>
        <w:spacing w:line="480" w:lineRule="exact"/>
        <w:rPr>
          <w:rFonts w:ascii="宋体" w:hAnsi="宋体"/>
          <w:sz w:val="24"/>
        </w:rPr>
      </w:pPr>
      <w:r>
        <w:rPr>
          <w:rFonts w:hint="eastAsia" w:ascii="宋体" w:hAnsi="宋体"/>
          <w:sz w:val="24"/>
        </w:rPr>
        <w:t>3.5本项目不接受联合体投标。</w:t>
      </w:r>
    </w:p>
    <w:p w14:paraId="1347D6E3">
      <w:pPr>
        <w:widowControl/>
        <w:spacing w:line="480" w:lineRule="exact"/>
        <w:rPr>
          <w:rFonts w:ascii="宋体" w:hAnsi="宋体"/>
          <w:sz w:val="24"/>
        </w:rPr>
      </w:pPr>
      <w:r>
        <w:rPr>
          <w:rFonts w:hint="eastAsia" w:ascii="宋体" w:hAnsi="宋体"/>
          <w:sz w:val="24"/>
        </w:rPr>
        <w:t>3.6投标代表在同一个项目中只能接受一个投标人的委托参加投标。</w:t>
      </w:r>
    </w:p>
    <w:p w14:paraId="1B85E037">
      <w:pPr>
        <w:spacing w:line="480" w:lineRule="exact"/>
        <w:outlineLvl w:val="2"/>
        <w:rPr>
          <w:rFonts w:ascii="宋体" w:hAnsi="宋体"/>
          <w:b/>
          <w:sz w:val="24"/>
        </w:rPr>
      </w:pPr>
      <w:bookmarkStart w:id="27" w:name="_Toc17952"/>
      <w:r>
        <w:rPr>
          <w:rFonts w:hint="eastAsia" w:ascii="宋体" w:hAnsi="宋体"/>
          <w:b/>
          <w:sz w:val="24"/>
        </w:rPr>
        <w:t>4</w:t>
      </w:r>
      <w:r>
        <w:rPr>
          <w:rFonts w:ascii="宋体" w:hAnsi="宋体"/>
          <w:b/>
          <w:sz w:val="24"/>
        </w:rPr>
        <w:t>.</w:t>
      </w:r>
      <w:r>
        <w:rPr>
          <w:rFonts w:hint="eastAsia" w:ascii="宋体" w:hAnsi="宋体"/>
          <w:b/>
          <w:sz w:val="24"/>
        </w:rPr>
        <w:t>投标费用</w:t>
      </w:r>
      <w:bookmarkEnd w:id="27"/>
    </w:p>
    <w:p w14:paraId="4DD0A659">
      <w:pPr>
        <w:spacing w:line="480" w:lineRule="exact"/>
        <w:rPr>
          <w:rFonts w:ascii="宋体" w:hAnsi="宋体"/>
          <w:sz w:val="24"/>
        </w:rPr>
      </w:pPr>
      <w:r>
        <w:rPr>
          <w:rFonts w:ascii="宋体" w:hAnsi="宋体"/>
          <w:sz w:val="24"/>
        </w:rPr>
        <w:t>4.1</w:t>
      </w:r>
      <w:r>
        <w:rPr>
          <w:rFonts w:hint="eastAsia" w:ascii="宋体" w:hAnsi="宋体"/>
          <w:sz w:val="24"/>
        </w:rPr>
        <w:t xml:space="preserve"> 投标人自行承担其参加投标所涉及的一切费用。</w:t>
      </w:r>
    </w:p>
    <w:p w14:paraId="66D23623">
      <w:pPr>
        <w:bidi w:val="0"/>
      </w:pPr>
    </w:p>
    <w:p w14:paraId="5C9FF71D">
      <w:pPr>
        <w:bidi w:val="0"/>
      </w:pPr>
    </w:p>
    <w:p w14:paraId="7020B5EC">
      <w:pPr>
        <w:pStyle w:val="23"/>
        <w:spacing w:line="400" w:lineRule="exact"/>
        <w:jc w:val="center"/>
        <w:outlineLvl w:val="1"/>
        <w:rPr>
          <w:rFonts w:hAnsi="宋体"/>
          <w:b/>
          <w:bCs/>
          <w:sz w:val="36"/>
          <w:szCs w:val="36"/>
        </w:rPr>
      </w:pPr>
      <w:bookmarkStart w:id="28" w:name="_Toc10179"/>
      <w:bookmarkStart w:id="29" w:name="_Toc1324"/>
      <w:r>
        <w:rPr>
          <w:rFonts w:hint="eastAsia" w:hAnsi="宋体"/>
          <w:b/>
          <w:bCs/>
          <w:sz w:val="36"/>
          <w:szCs w:val="36"/>
        </w:rPr>
        <w:t>二、招标文件</w:t>
      </w:r>
      <w:bookmarkEnd w:id="28"/>
    </w:p>
    <w:p w14:paraId="648F0F4D">
      <w:pPr>
        <w:spacing w:line="360" w:lineRule="auto"/>
        <w:outlineLvl w:val="2"/>
        <w:rPr>
          <w:rFonts w:ascii="宋体" w:hAnsi="宋体"/>
          <w:b/>
          <w:sz w:val="24"/>
        </w:rPr>
      </w:pPr>
      <w:bookmarkStart w:id="30" w:name="_Toc7287"/>
      <w:r>
        <w:rPr>
          <w:rFonts w:hint="eastAsia" w:ascii="宋体" w:hAnsi="宋体"/>
          <w:b/>
          <w:sz w:val="24"/>
          <w:lang w:val="en-US" w:eastAsia="zh-CN"/>
        </w:rPr>
        <w:t>1</w:t>
      </w:r>
      <w:r>
        <w:rPr>
          <w:rFonts w:ascii="宋体" w:hAnsi="宋体"/>
          <w:b/>
          <w:sz w:val="24"/>
        </w:rPr>
        <w:t>.</w:t>
      </w:r>
      <w:r>
        <w:rPr>
          <w:rFonts w:hint="eastAsia" w:ascii="宋体" w:hAnsi="宋体"/>
          <w:b/>
          <w:sz w:val="24"/>
        </w:rPr>
        <w:t>招标文件的组成</w:t>
      </w:r>
      <w:bookmarkEnd w:id="30"/>
    </w:p>
    <w:p w14:paraId="41D25F00">
      <w:pPr>
        <w:pStyle w:val="4"/>
        <w:snapToGrid w:val="0"/>
        <w:spacing w:line="360" w:lineRule="auto"/>
        <w:ind w:firstLine="0" w:firstLineChars="0"/>
        <w:rPr>
          <w:rFonts w:ascii="宋体" w:hAnsi="宋体"/>
          <w:sz w:val="24"/>
        </w:rPr>
      </w:pPr>
      <w:r>
        <w:rPr>
          <w:rFonts w:hint="eastAsia" w:ascii="宋体" w:hAnsi="宋体"/>
          <w:sz w:val="24"/>
          <w:lang w:val="en-US" w:eastAsia="zh-CN"/>
        </w:rPr>
        <w:t>1</w:t>
      </w:r>
      <w:r>
        <w:rPr>
          <w:rFonts w:hint="eastAsia" w:ascii="宋体" w:hAnsi="宋体"/>
          <w:sz w:val="24"/>
        </w:rPr>
        <w:t>.1招标文件用以阐明所需服务招标程序和合同主要条款。招标文件由下述部分组成：</w:t>
      </w:r>
    </w:p>
    <w:p w14:paraId="1A72B31D">
      <w:pPr>
        <w:pStyle w:val="4"/>
        <w:snapToGrid w:val="0"/>
        <w:spacing w:line="360" w:lineRule="auto"/>
        <w:ind w:firstLine="240" w:firstLineChars="100"/>
        <w:rPr>
          <w:rFonts w:ascii="宋体" w:hAnsi="宋体"/>
          <w:sz w:val="24"/>
        </w:rPr>
      </w:pPr>
      <w:r>
        <w:rPr>
          <w:rFonts w:hint="eastAsia" w:ascii="宋体" w:hAnsi="宋体"/>
          <w:sz w:val="24"/>
        </w:rPr>
        <w:t>⑴ 投标邀请</w:t>
      </w:r>
    </w:p>
    <w:p w14:paraId="59E27732">
      <w:pPr>
        <w:pStyle w:val="4"/>
        <w:snapToGrid w:val="0"/>
        <w:spacing w:line="360" w:lineRule="auto"/>
        <w:ind w:firstLine="240" w:firstLineChars="100"/>
        <w:rPr>
          <w:rFonts w:ascii="宋体" w:hAnsi="宋体"/>
          <w:sz w:val="24"/>
        </w:rPr>
      </w:pPr>
      <w:r>
        <w:rPr>
          <w:rFonts w:hint="eastAsia" w:ascii="宋体" w:hAnsi="宋体"/>
          <w:sz w:val="24"/>
        </w:rPr>
        <w:t xml:space="preserve">⑵ 投标人须知 </w:t>
      </w:r>
    </w:p>
    <w:p w14:paraId="0999F6DC">
      <w:pPr>
        <w:pStyle w:val="4"/>
        <w:snapToGrid w:val="0"/>
        <w:spacing w:line="360" w:lineRule="auto"/>
        <w:ind w:firstLine="240" w:firstLineChars="100"/>
        <w:rPr>
          <w:rFonts w:ascii="宋体" w:hAnsi="宋体"/>
          <w:sz w:val="24"/>
        </w:rPr>
      </w:pPr>
      <w:r>
        <w:rPr>
          <w:rFonts w:hint="eastAsia" w:ascii="宋体" w:hAnsi="宋体"/>
          <w:sz w:val="24"/>
        </w:rPr>
        <w:t>⑶ 招标内容及要求</w:t>
      </w:r>
    </w:p>
    <w:p w14:paraId="3A04FE80">
      <w:pPr>
        <w:pStyle w:val="4"/>
        <w:snapToGrid w:val="0"/>
        <w:spacing w:line="360" w:lineRule="auto"/>
        <w:ind w:firstLine="240" w:firstLineChars="100"/>
        <w:rPr>
          <w:rFonts w:ascii="宋体" w:hAnsi="宋体"/>
          <w:sz w:val="24"/>
        </w:rPr>
      </w:pPr>
      <w:r>
        <w:rPr>
          <w:rFonts w:hint="eastAsia" w:ascii="宋体" w:hAnsi="宋体"/>
          <w:sz w:val="24"/>
        </w:rPr>
        <w:t>⑷ 合同（参考）</w:t>
      </w:r>
    </w:p>
    <w:p w14:paraId="7B5E7553">
      <w:pPr>
        <w:pStyle w:val="4"/>
        <w:snapToGrid w:val="0"/>
        <w:spacing w:line="360" w:lineRule="auto"/>
        <w:ind w:firstLine="240" w:firstLineChars="100"/>
        <w:rPr>
          <w:rFonts w:ascii="宋体" w:hAnsi="宋体"/>
          <w:sz w:val="24"/>
        </w:rPr>
      </w:pPr>
      <w:r>
        <w:rPr>
          <w:rFonts w:hint="eastAsia" w:ascii="宋体" w:hAnsi="宋体"/>
          <w:sz w:val="24"/>
        </w:rPr>
        <w:t>⑸ 投标文件格式（技术商务部分格式和报价部分格式）</w:t>
      </w:r>
    </w:p>
    <w:p w14:paraId="3FA6C6AA">
      <w:pPr>
        <w:pStyle w:val="4"/>
        <w:snapToGrid w:val="0"/>
        <w:spacing w:line="360" w:lineRule="auto"/>
        <w:ind w:firstLine="0" w:firstLineChars="0"/>
        <w:rPr>
          <w:rFonts w:ascii="宋体" w:hAnsi="宋体"/>
          <w:bCs/>
          <w:sz w:val="24"/>
        </w:rPr>
      </w:pPr>
      <w:r>
        <w:rPr>
          <w:rFonts w:hint="eastAsia" w:ascii="宋体" w:hAnsi="宋体"/>
          <w:sz w:val="24"/>
          <w:lang w:val="en-US" w:eastAsia="zh-CN"/>
        </w:rPr>
        <w:t>1</w:t>
      </w:r>
      <w:r>
        <w:rPr>
          <w:rFonts w:hint="eastAsia" w:ascii="宋体" w:hAnsi="宋体"/>
          <w:sz w:val="24"/>
        </w:rPr>
        <w:t>.2除非有特殊需要，招标文件不单独提供本项目使用地的自然环境、气候条件、公有设施、配套设施等情况，投标人若对以上情况要求了解，经招标人同意后，可以到使用地勘察，否则将被视为熟悉上述与履行合同有关的一切情况</w:t>
      </w:r>
      <w:r>
        <w:rPr>
          <w:rFonts w:hint="eastAsia" w:ascii="宋体" w:hAnsi="宋体"/>
          <w:bCs/>
          <w:sz w:val="24"/>
        </w:rPr>
        <w:t>。</w:t>
      </w:r>
    </w:p>
    <w:p w14:paraId="223E5C2B">
      <w:pPr>
        <w:spacing w:line="360" w:lineRule="auto"/>
        <w:outlineLvl w:val="2"/>
        <w:rPr>
          <w:rFonts w:ascii="宋体" w:hAnsi="宋体"/>
          <w:b/>
          <w:sz w:val="24"/>
        </w:rPr>
      </w:pPr>
      <w:bookmarkStart w:id="31" w:name="_Toc20279"/>
      <w:r>
        <w:rPr>
          <w:rFonts w:hint="eastAsia" w:ascii="宋体" w:hAnsi="宋体"/>
          <w:b/>
          <w:sz w:val="24"/>
          <w:lang w:val="en-US" w:eastAsia="zh-CN"/>
        </w:rPr>
        <w:t>2</w:t>
      </w:r>
      <w:r>
        <w:rPr>
          <w:rFonts w:hint="eastAsia" w:ascii="宋体" w:hAnsi="宋体"/>
          <w:b/>
          <w:sz w:val="24"/>
        </w:rPr>
        <w:t>.招标文件的澄清</w:t>
      </w:r>
      <w:bookmarkEnd w:id="31"/>
    </w:p>
    <w:p w14:paraId="7CAC3DCA">
      <w:pPr>
        <w:pStyle w:val="4"/>
        <w:snapToGrid w:val="0"/>
        <w:spacing w:line="360" w:lineRule="auto"/>
        <w:ind w:firstLine="0" w:firstLineChars="0"/>
        <w:rPr>
          <w:rFonts w:ascii="宋体" w:hAnsi="宋体"/>
          <w:sz w:val="24"/>
        </w:rPr>
      </w:pPr>
      <w:r>
        <w:rPr>
          <w:rFonts w:hint="eastAsia" w:ascii="宋体" w:hAnsi="宋体"/>
          <w:bCs/>
          <w:sz w:val="24"/>
          <w:lang w:val="en-US" w:eastAsia="zh-CN"/>
        </w:rPr>
        <w:t>2</w:t>
      </w:r>
      <w:r>
        <w:rPr>
          <w:rFonts w:hint="eastAsia" w:ascii="宋体" w:hAnsi="宋体"/>
          <w:bCs/>
          <w:sz w:val="24"/>
        </w:rPr>
        <w:t>.1 投标人对招标文件如有疑点，可要求澄清。要求澄清应按投标邀请中载明的地址以书面形式（</w:t>
      </w:r>
      <w:r>
        <w:rPr>
          <w:rFonts w:hint="eastAsia" w:ascii="宋体" w:hAnsi="宋体"/>
          <w:spacing w:val="-6"/>
          <w:sz w:val="24"/>
        </w:rPr>
        <w:t>有效签署的原件并加盖公章，</w:t>
      </w:r>
      <w:r>
        <w:rPr>
          <w:rFonts w:hint="eastAsia" w:ascii="宋体" w:hAnsi="宋体"/>
          <w:sz w:val="24"/>
        </w:rPr>
        <w:t>拒绝传真、电邮、电话形式等其它形式</w:t>
      </w:r>
      <w:r>
        <w:rPr>
          <w:rFonts w:hint="eastAsia" w:ascii="宋体" w:hAnsi="宋体"/>
          <w:bCs/>
          <w:sz w:val="24"/>
        </w:rPr>
        <w:t>）通知</w:t>
      </w:r>
      <w:r>
        <w:rPr>
          <w:rFonts w:hint="eastAsia" w:ascii="宋体" w:hAnsi="宋体"/>
          <w:sz w:val="24"/>
        </w:rPr>
        <w:t>招标代理机构</w:t>
      </w:r>
      <w:r>
        <w:rPr>
          <w:rFonts w:hint="eastAsia" w:ascii="宋体" w:hAnsi="宋体"/>
          <w:bCs/>
          <w:sz w:val="24"/>
        </w:rPr>
        <w:t>。</w:t>
      </w:r>
      <w:r>
        <w:rPr>
          <w:rFonts w:hint="eastAsia" w:ascii="宋体" w:hAnsi="宋体"/>
          <w:sz w:val="24"/>
        </w:rPr>
        <w:t>招标代理机构</w:t>
      </w:r>
      <w:r>
        <w:rPr>
          <w:rFonts w:hint="eastAsia" w:ascii="宋体" w:hAnsi="宋体"/>
          <w:bCs/>
          <w:sz w:val="24"/>
        </w:rPr>
        <w:t>将视情况在投标截止时间前</w:t>
      </w:r>
      <w:r>
        <w:rPr>
          <w:rFonts w:hint="eastAsia" w:ascii="宋体" w:hAnsi="宋体"/>
          <w:sz w:val="24"/>
        </w:rPr>
        <w:t>在指定的信息发布媒体上发布更正公告</w:t>
      </w:r>
      <w:r>
        <w:rPr>
          <w:rFonts w:hint="eastAsia" w:ascii="宋体" w:hAnsi="宋体"/>
          <w:bCs/>
          <w:sz w:val="24"/>
        </w:rPr>
        <w:t>。</w:t>
      </w:r>
      <w:r>
        <w:rPr>
          <w:rFonts w:hint="eastAsia" w:ascii="宋体" w:hAnsi="宋体"/>
          <w:sz w:val="24"/>
        </w:rPr>
        <w:t>该澄清内容为招标文件的组成部分。</w:t>
      </w:r>
    </w:p>
    <w:p w14:paraId="2C624A28">
      <w:pPr>
        <w:spacing w:line="360" w:lineRule="auto"/>
        <w:outlineLvl w:val="2"/>
        <w:rPr>
          <w:rFonts w:ascii="宋体" w:hAnsi="宋体"/>
          <w:b/>
          <w:bCs/>
          <w:sz w:val="24"/>
        </w:rPr>
      </w:pPr>
      <w:bookmarkStart w:id="32" w:name="_Toc11087"/>
      <w:r>
        <w:rPr>
          <w:rFonts w:hint="eastAsia" w:ascii="宋体" w:hAnsi="宋体"/>
          <w:b/>
          <w:bCs/>
          <w:sz w:val="24"/>
          <w:lang w:val="en-US" w:eastAsia="zh-CN"/>
        </w:rPr>
        <w:t>3</w:t>
      </w:r>
      <w:r>
        <w:rPr>
          <w:rFonts w:hint="eastAsia" w:ascii="宋体" w:hAnsi="宋体"/>
          <w:b/>
          <w:bCs/>
          <w:sz w:val="24"/>
        </w:rPr>
        <w:t>.招标文件的修改</w:t>
      </w:r>
      <w:bookmarkEnd w:id="32"/>
    </w:p>
    <w:p w14:paraId="3A7B1A4A">
      <w:pPr>
        <w:pStyle w:val="4"/>
        <w:snapToGrid w:val="0"/>
        <w:spacing w:line="360" w:lineRule="auto"/>
        <w:ind w:firstLine="0" w:firstLineChars="0"/>
        <w:rPr>
          <w:rFonts w:ascii="宋体" w:hAnsi="宋体"/>
          <w:bCs/>
          <w:sz w:val="24"/>
        </w:rPr>
      </w:pPr>
      <w:r>
        <w:rPr>
          <w:rFonts w:hint="eastAsia" w:ascii="宋体" w:hAnsi="宋体"/>
          <w:bCs/>
          <w:sz w:val="24"/>
          <w:lang w:val="en-US" w:eastAsia="zh-CN"/>
        </w:rPr>
        <w:t>3</w:t>
      </w:r>
      <w:r>
        <w:rPr>
          <w:rFonts w:hint="eastAsia" w:ascii="宋体" w:hAnsi="宋体"/>
          <w:bCs/>
          <w:sz w:val="24"/>
        </w:rPr>
        <w:t>.1至投标截止时间前15日（如至原定截止时间不足15日，则招标人可以视情况决定是否推迟开标时间），</w:t>
      </w:r>
      <w:r>
        <w:rPr>
          <w:rFonts w:hint="eastAsia" w:ascii="宋体" w:hAnsi="宋体"/>
          <w:sz w:val="24"/>
        </w:rPr>
        <w:t>招标代理机构</w:t>
      </w:r>
      <w:r>
        <w:rPr>
          <w:rFonts w:hint="eastAsia" w:ascii="宋体" w:hAnsi="宋体"/>
          <w:bCs/>
          <w:sz w:val="24"/>
        </w:rPr>
        <w:t>可主动或依投标人要求澄清的问题而修改招标文件，应</w:t>
      </w:r>
      <w:r>
        <w:rPr>
          <w:rFonts w:hint="eastAsia" w:ascii="宋体" w:hAnsi="宋体"/>
          <w:sz w:val="24"/>
        </w:rPr>
        <w:t>在原信息发布的媒体上发布更正公告，</w:t>
      </w:r>
      <w:r>
        <w:rPr>
          <w:rFonts w:hint="eastAsia" w:ascii="宋体" w:hAnsi="宋体"/>
          <w:bCs/>
          <w:sz w:val="24"/>
        </w:rPr>
        <w:t>并以书面形式通知所有投标人，投标人在收到该通知后应立即以电报或传真的形式予以确认。</w:t>
      </w:r>
      <w:r>
        <w:rPr>
          <w:rFonts w:hint="eastAsia" w:ascii="宋体" w:hAnsi="宋体"/>
          <w:sz w:val="24"/>
        </w:rPr>
        <w:t>该修改内容为招标文件的组成部分，对投标人具有约束力。未确认或逾期确认的，视为已知悉更正公告内容。</w:t>
      </w:r>
    </w:p>
    <w:p w14:paraId="5E42D3F6">
      <w:pPr>
        <w:spacing w:line="360" w:lineRule="auto"/>
        <w:rPr>
          <w:rFonts w:hAnsi="宋体"/>
          <w:b/>
          <w:bCs/>
          <w:sz w:val="36"/>
          <w:szCs w:val="36"/>
        </w:rPr>
      </w:pPr>
      <w:r>
        <w:rPr>
          <w:rFonts w:hint="eastAsia" w:ascii="宋体" w:hAnsi="宋体"/>
          <w:bCs/>
          <w:sz w:val="24"/>
          <w:lang w:val="en-US" w:eastAsia="zh-CN"/>
        </w:rPr>
        <w:t>3</w:t>
      </w:r>
      <w:r>
        <w:rPr>
          <w:rFonts w:hint="eastAsia" w:ascii="宋体" w:hAnsi="宋体"/>
          <w:bCs/>
          <w:sz w:val="24"/>
        </w:rPr>
        <w:t>.2 招标采购单位可以视采购具体情况，延长投标截止时间和开标时间，将变更时间以书面形式通知所有招标文件收受</w:t>
      </w:r>
      <w:r>
        <w:rPr>
          <w:rFonts w:hint="eastAsia" w:ascii="宋体" w:hAnsi="宋体"/>
          <w:sz w:val="24"/>
        </w:rPr>
        <w:t>人，并在投标邀请中注明的信息发布媒体上发布变更公告。该修改内容为招标文件的组成部分。在此情况下，招标人和投标人受投标截止期制约的所有权利和义务均相应延长至新的截止日期。</w:t>
      </w:r>
      <w:r>
        <w:rPr>
          <w:rFonts w:ascii="宋体" w:hAnsi="宋体"/>
          <w:szCs w:val="21"/>
        </w:rPr>
        <w:t xml:space="preserve"> </w:t>
      </w:r>
    </w:p>
    <w:p w14:paraId="63AC8060">
      <w:pPr>
        <w:bidi w:val="0"/>
      </w:pPr>
    </w:p>
    <w:p w14:paraId="14F380F3">
      <w:pPr>
        <w:bidi w:val="0"/>
      </w:pPr>
    </w:p>
    <w:p w14:paraId="3BA0B139">
      <w:pPr>
        <w:bidi w:val="0"/>
      </w:pPr>
    </w:p>
    <w:p w14:paraId="596CFDF6">
      <w:pPr>
        <w:bidi w:val="0"/>
      </w:pPr>
    </w:p>
    <w:p w14:paraId="200A55BF">
      <w:pPr>
        <w:spacing w:line="400" w:lineRule="exact"/>
        <w:jc w:val="center"/>
        <w:outlineLvl w:val="1"/>
        <w:rPr>
          <w:rFonts w:ascii="宋体" w:hAnsi="宋体"/>
          <w:b/>
          <w:sz w:val="36"/>
          <w:szCs w:val="36"/>
        </w:rPr>
      </w:pPr>
      <w:r>
        <w:rPr>
          <w:rFonts w:hint="eastAsia" w:ascii="宋体" w:hAnsi="宋体"/>
          <w:b/>
          <w:sz w:val="36"/>
          <w:szCs w:val="36"/>
        </w:rPr>
        <w:t>三、投标文件的编写</w:t>
      </w:r>
      <w:bookmarkEnd w:id="29"/>
    </w:p>
    <w:p w14:paraId="456A1E61">
      <w:pPr>
        <w:spacing w:line="360" w:lineRule="auto"/>
        <w:outlineLvl w:val="2"/>
        <w:rPr>
          <w:rFonts w:ascii="宋体" w:hAnsi="宋体"/>
          <w:b/>
          <w:sz w:val="24"/>
        </w:rPr>
      </w:pPr>
      <w:bookmarkStart w:id="33" w:name="_Toc2968"/>
      <w:r>
        <w:rPr>
          <w:rFonts w:hint="eastAsia" w:ascii="宋体" w:hAnsi="宋体"/>
          <w:b/>
          <w:sz w:val="24"/>
          <w:lang w:val="en-US" w:eastAsia="zh-CN"/>
        </w:rPr>
        <w:t>1</w:t>
      </w:r>
      <w:r>
        <w:rPr>
          <w:rFonts w:ascii="宋体" w:hAnsi="宋体"/>
          <w:b/>
          <w:sz w:val="24"/>
        </w:rPr>
        <w:t>.</w:t>
      </w:r>
      <w:r>
        <w:rPr>
          <w:rFonts w:hint="eastAsia" w:ascii="宋体" w:hAnsi="宋体"/>
          <w:b/>
          <w:sz w:val="24"/>
        </w:rPr>
        <w:t>要求</w:t>
      </w:r>
      <w:bookmarkEnd w:id="33"/>
    </w:p>
    <w:p w14:paraId="7919E800">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.1投标人应仔细阅读招标文件的所有内容，按照招标文件的要求提交投标文件。投标文件应对招标文件的要求做出实质性响应，并保证所提供的全部资料的真实性，否则其投标无效。</w:t>
      </w:r>
    </w:p>
    <w:p w14:paraId="20FFD4E4">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.2 除非有另外的规定，投标人可对招标标的一览表所列的全部合同包或部分合同包进行投标。招标代理机构不接受有任何可选择性的报价，每一个合同包只能有一个报价。</w:t>
      </w:r>
    </w:p>
    <w:p w14:paraId="21DDA859">
      <w:pPr>
        <w:spacing w:line="360" w:lineRule="auto"/>
        <w:outlineLvl w:val="2"/>
        <w:rPr>
          <w:rFonts w:ascii="宋体" w:hAnsi="宋体"/>
          <w:b/>
          <w:sz w:val="24"/>
        </w:rPr>
      </w:pPr>
      <w:bookmarkStart w:id="34" w:name="_Toc24831"/>
      <w:r>
        <w:rPr>
          <w:rFonts w:hint="eastAsia" w:ascii="宋体" w:hAnsi="宋体"/>
          <w:b/>
          <w:sz w:val="24"/>
          <w:lang w:val="en-US" w:eastAsia="zh-CN"/>
        </w:rPr>
        <w:t>2</w:t>
      </w:r>
      <w:r>
        <w:rPr>
          <w:rFonts w:ascii="宋体" w:hAnsi="宋体"/>
          <w:b/>
          <w:sz w:val="24"/>
        </w:rPr>
        <w:t>.</w:t>
      </w:r>
      <w:r>
        <w:rPr>
          <w:rFonts w:hint="eastAsia" w:ascii="宋体" w:hAnsi="宋体"/>
          <w:b/>
          <w:sz w:val="24"/>
        </w:rPr>
        <w:t>投标文件语言</w:t>
      </w:r>
      <w:bookmarkEnd w:id="34"/>
    </w:p>
    <w:p w14:paraId="5C40930A">
      <w:pPr>
        <w:spacing w:line="360" w:lineRule="auto"/>
        <w:rPr>
          <w:rFonts w:ascii="宋体" w:hAnsi="宋体"/>
          <w:sz w:val="24"/>
        </w:rPr>
      </w:pPr>
      <w:r>
        <w:rPr>
          <w:rFonts w:hint="eastAsia" w:ascii="宋体" w:hAnsi="宋体"/>
          <w:sz w:val="24"/>
          <w:lang w:val="en-US" w:eastAsia="zh-CN"/>
        </w:rPr>
        <w:t>2</w:t>
      </w:r>
      <w:r>
        <w:rPr>
          <w:rFonts w:hint="eastAsia" w:ascii="宋体" w:hAnsi="宋体"/>
          <w:sz w:val="24"/>
        </w:rPr>
        <w:t>.1投标文件应用中文书写。投标文件中所附或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各种计量单位及符号应采用国际上统一使用的公制计量单位和符号。</w:t>
      </w:r>
    </w:p>
    <w:p w14:paraId="5CA0F33D">
      <w:pPr>
        <w:adjustRightInd w:val="0"/>
        <w:snapToGrid w:val="0"/>
        <w:spacing w:line="360" w:lineRule="auto"/>
        <w:ind w:firstLine="482" w:firstLineChars="200"/>
        <w:rPr>
          <w:rFonts w:ascii="宋体" w:hAnsi="宋体"/>
          <w:b/>
          <w:sz w:val="24"/>
        </w:rPr>
      </w:pPr>
      <w:r>
        <w:rPr>
          <w:rFonts w:hint="eastAsia" w:ascii="宋体" w:hAnsi="宋体"/>
          <w:b/>
          <w:sz w:val="24"/>
        </w:rPr>
        <w:t>※中文译本未按上述要求提供的，认定为该项资格或技术商务的证明文件/材料无效，即该项资格或技术商务要求不符合。</w:t>
      </w:r>
    </w:p>
    <w:p w14:paraId="52B3A4E2">
      <w:pPr>
        <w:spacing w:line="360" w:lineRule="auto"/>
        <w:outlineLvl w:val="2"/>
        <w:rPr>
          <w:rFonts w:ascii="宋体" w:hAnsi="宋体"/>
          <w:b/>
          <w:sz w:val="24"/>
        </w:rPr>
      </w:pPr>
      <w:bookmarkStart w:id="35" w:name="_Toc30904"/>
      <w:r>
        <w:rPr>
          <w:rFonts w:hint="eastAsia" w:ascii="宋体" w:hAnsi="宋体"/>
          <w:b/>
          <w:sz w:val="24"/>
          <w:lang w:val="en-US" w:eastAsia="zh-CN"/>
        </w:rPr>
        <w:t>3</w:t>
      </w:r>
      <w:r>
        <w:rPr>
          <w:rFonts w:ascii="宋体" w:hAnsi="宋体"/>
          <w:b/>
          <w:sz w:val="24"/>
        </w:rPr>
        <w:t>.</w:t>
      </w:r>
      <w:r>
        <w:rPr>
          <w:rFonts w:hint="eastAsia" w:ascii="宋体" w:hAnsi="宋体"/>
          <w:b/>
          <w:sz w:val="24"/>
        </w:rPr>
        <w:t>投标文件的组成</w:t>
      </w:r>
      <w:bookmarkEnd w:id="35"/>
    </w:p>
    <w:p w14:paraId="3B27E8D7">
      <w:pPr>
        <w:spacing w:line="360" w:lineRule="auto"/>
        <w:rPr>
          <w:rFonts w:ascii="宋体" w:hAnsi="宋体"/>
          <w:b/>
          <w:sz w:val="24"/>
        </w:rPr>
      </w:pPr>
      <w:r>
        <w:rPr>
          <w:rFonts w:hint="eastAsia" w:ascii="宋体" w:hAnsi="宋体"/>
          <w:b/>
          <w:sz w:val="24"/>
          <w:lang w:val="en-US" w:eastAsia="zh-CN"/>
        </w:rPr>
        <w:t>3</w:t>
      </w:r>
      <w:r>
        <w:rPr>
          <w:rFonts w:hint="eastAsia" w:ascii="宋体" w:hAnsi="宋体"/>
          <w:b/>
          <w:sz w:val="24"/>
        </w:rPr>
        <w:t>.1技术商务部分应包括下列部分：（单独编制、胶装成册并密封）</w:t>
      </w:r>
    </w:p>
    <w:p w14:paraId="78DA60C9">
      <w:pPr>
        <w:spacing w:line="360" w:lineRule="auto"/>
        <w:rPr>
          <w:rFonts w:ascii="宋体" w:hAnsi="宋体" w:cs="宋体"/>
          <w:bCs/>
          <w:sz w:val="24"/>
        </w:rPr>
      </w:pPr>
      <w:r>
        <w:rPr>
          <w:rFonts w:hint="eastAsia" w:ascii="宋体" w:hAnsi="宋体" w:cs="宋体"/>
          <w:bCs/>
          <w:sz w:val="24"/>
        </w:rPr>
        <w:t>一、投标人的资格证明文件</w:t>
      </w:r>
    </w:p>
    <w:p w14:paraId="36F162A5">
      <w:pPr>
        <w:spacing w:line="360" w:lineRule="auto"/>
        <w:rPr>
          <w:rFonts w:ascii="宋体" w:hAnsi="宋体" w:cs="宋体"/>
          <w:bCs/>
          <w:sz w:val="24"/>
        </w:rPr>
      </w:pPr>
      <w:r>
        <w:rPr>
          <w:rFonts w:hint="eastAsia" w:ascii="宋体" w:hAnsi="宋体" w:cs="宋体"/>
          <w:bCs/>
          <w:sz w:val="24"/>
        </w:rPr>
        <w:t>1、投标函</w:t>
      </w:r>
    </w:p>
    <w:p w14:paraId="262F5689">
      <w:pPr>
        <w:spacing w:line="360" w:lineRule="auto"/>
        <w:rPr>
          <w:rFonts w:ascii="宋体" w:hAnsi="宋体" w:cs="宋体"/>
          <w:bCs/>
          <w:sz w:val="24"/>
        </w:rPr>
      </w:pPr>
      <w:r>
        <w:rPr>
          <w:rFonts w:hint="eastAsia" w:ascii="宋体" w:hAnsi="宋体" w:cs="宋体"/>
          <w:bCs/>
          <w:sz w:val="24"/>
        </w:rPr>
        <w:t>2、关于资格的声明函</w:t>
      </w:r>
    </w:p>
    <w:p w14:paraId="54AA671C">
      <w:pPr>
        <w:spacing w:line="360" w:lineRule="auto"/>
        <w:rPr>
          <w:rFonts w:ascii="宋体" w:hAnsi="宋体" w:cs="宋体"/>
          <w:bCs/>
          <w:sz w:val="24"/>
        </w:rPr>
      </w:pPr>
      <w:r>
        <w:rPr>
          <w:rFonts w:hint="eastAsia" w:ascii="宋体" w:hAnsi="宋体" w:cs="宋体"/>
          <w:bCs/>
          <w:sz w:val="24"/>
        </w:rPr>
        <w:t>3、投标人的资格声明</w:t>
      </w:r>
    </w:p>
    <w:p w14:paraId="017DB8A7">
      <w:pPr>
        <w:spacing w:line="360" w:lineRule="auto"/>
        <w:jc w:val="left"/>
        <w:rPr>
          <w:rFonts w:ascii="宋体" w:hAnsi="宋体" w:cs="宋体"/>
          <w:bCs/>
          <w:sz w:val="24"/>
        </w:rPr>
      </w:pPr>
      <w:r>
        <w:rPr>
          <w:rFonts w:hint="eastAsia" w:ascii="宋体" w:hAnsi="宋体" w:cs="宋体"/>
          <w:bCs/>
          <w:sz w:val="24"/>
        </w:rPr>
        <w:t>4、投标人的资格证明材料</w:t>
      </w:r>
    </w:p>
    <w:p w14:paraId="415B569D">
      <w:pPr>
        <w:pStyle w:val="23"/>
        <w:spacing w:line="360" w:lineRule="auto"/>
        <w:jc w:val="left"/>
        <w:outlineLvl w:val="9"/>
        <w:rPr>
          <w:rFonts w:hAnsi="宋体" w:cs="宋体"/>
          <w:bCs/>
          <w:sz w:val="24"/>
        </w:rPr>
      </w:pPr>
      <w:r>
        <w:rPr>
          <w:rFonts w:hint="eastAsia" w:hAnsi="宋体" w:cs="宋体"/>
          <w:bCs/>
          <w:sz w:val="24"/>
        </w:rPr>
        <w:t>4.1合格有效的营业执照复印件</w:t>
      </w:r>
    </w:p>
    <w:p w14:paraId="27353BC5">
      <w:pPr>
        <w:pStyle w:val="23"/>
        <w:spacing w:line="360" w:lineRule="auto"/>
        <w:jc w:val="left"/>
        <w:outlineLvl w:val="9"/>
        <w:rPr>
          <w:rFonts w:hAnsi="宋体" w:cs="宋体"/>
          <w:bCs/>
          <w:sz w:val="24"/>
        </w:rPr>
      </w:pPr>
      <w:r>
        <w:rPr>
          <w:rFonts w:hint="eastAsia" w:hAnsi="宋体" w:cs="宋体"/>
          <w:bCs/>
          <w:sz w:val="24"/>
        </w:rPr>
        <w:t>4.2单位负责人授权书</w:t>
      </w:r>
    </w:p>
    <w:p w14:paraId="24A86E56">
      <w:pPr>
        <w:pStyle w:val="23"/>
        <w:spacing w:line="360" w:lineRule="auto"/>
        <w:jc w:val="left"/>
        <w:outlineLvl w:val="9"/>
        <w:rPr>
          <w:rFonts w:hAnsi="宋体" w:cs="宋体"/>
          <w:bCs/>
          <w:sz w:val="24"/>
        </w:rPr>
      </w:pPr>
      <w:r>
        <w:rPr>
          <w:rFonts w:hint="eastAsia" w:hAnsi="宋体" w:cs="宋体"/>
          <w:bCs/>
          <w:sz w:val="24"/>
        </w:rPr>
        <w:t>4.3投标人财务状况报告、依法缴纳税收和社会保障资金的相关材料</w:t>
      </w:r>
    </w:p>
    <w:p w14:paraId="3BB1350D">
      <w:pPr>
        <w:pStyle w:val="23"/>
        <w:spacing w:line="360" w:lineRule="auto"/>
        <w:jc w:val="left"/>
        <w:outlineLvl w:val="9"/>
        <w:rPr>
          <w:rFonts w:hAnsi="宋体" w:cs="宋体"/>
          <w:bCs/>
          <w:sz w:val="24"/>
        </w:rPr>
      </w:pPr>
      <w:r>
        <w:rPr>
          <w:rFonts w:hint="eastAsia" w:hAnsi="宋体" w:cs="宋体"/>
          <w:bCs/>
          <w:sz w:val="24"/>
        </w:rPr>
        <w:t>4.4声明函及承诺函</w:t>
      </w:r>
    </w:p>
    <w:p w14:paraId="1187CE2F">
      <w:pPr>
        <w:spacing w:line="360" w:lineRule="auto"/>
        <w:rPr>
          <w:rFonts w:ascii="宋体" w:hAnsi="宋体" w:cs="宋体"/>
          <w:bCs/>
          <w:sz w:val="24"/>
        </w:rPr>
      </w:pPr>
      <w:r>
        <w:rPr>
          <w:rFonts w:hint="eastAsia" w:ascii="宋体" w:hAnsi="宋体" w:cs="宋体"/>
          <w:bCs/>
          <w:sz w:val="24"/>
        </w:rPr>
        <w:t>4.5投标人廉政承诺书</w:t>
      </w:r>
    </w:p>
    <w:p w14:paraId="11BB9C32">
      <w:pPr>
        <w:spacing w:line="360" w:lineRule="auto"/>
        <w:rPr>
          <w:rFonts w:ascii="宋体" w:hAnsi="宋体" w:cs="宋体"/>
          <w:bCs/>
          <w:sz w:val="24"/>
        </w:rPr>
      </w:pPr>
      <w:r>
        <w:rPr>
          <w:rFonts w:hint="eastAsia" w:ascii="宋体" w:hAnsi="宋体" w:cs="宋体"/>
          <w:bCs/>
          <w:sz w:val="24"/>
        </w:rPr>
        <w:t>4.6招标服务费承诺书</w:t>
      </w:r>
    </w:p>
    <w:p w14:paraId="0468CDA0">
      <w:pPr>
        <w:spacing w:line="360" w:lineRule="auto"/>
        <w:rPr>
          <w:rFonts w:ascii="宋体" w:hAnsi="宋体" w:cs="宋体"/>
          <w:bCs/>
          <w:sz w:val="24"/>
        </w:rPr>
      </w:pPr>
      <w:r>
        <w:rPr>
          <w:rFonts w:hint="eastAsia" w:ascii="宋体" w:hAnsi="宋体" w:cs="宋体"/>
          <w:bCs/>
          <w:sz w:val="24"/>
        </w:rPr>
        <w:t>4.7投标保证金复印件</w:t>
      </w:r>
    </w:p>
    <w:p w14:paraId="0D481B14">
      <w:pPr>
        <w:spacing w:line="360" w:lineRule="auto"/>
        <w:rPr>
          <w:rFonts w:ascii="宋体" w:hAnsi="宋体" w:cs="宋体"/>
          <w:bCs/>
          <w:sz w:val="24"/>
        </w:rPr>
      </w:pPr>
      <w:r>
        <w:rPr>
          <w:rFonts w:hint="eastAsia" w:ascii="宋体" w:hAnsi="宋体" w:cs="宋体"/>
          <w:bCs/>
          <w:sz w:val="24"/>
        </w:rPr>
        <w:t>4.8招标文件规定的其他资格证明材料</w:t>
      </w:r>
    </w:p>
    <w:p w14:paraId="5256BED9">
      <w:pPr>
        <w:spacing w:line="360" w:lineRule="auto"/>
        <w:rPr>
          <w:rFonts w:ascii="宋体" w:hAnsi="宋体" w:cs="宋体"/>
          <w:bCs/>
          <w:sz w:val="24"/>
        </w:rPr>
      </w:pPr>
      <w:r>
        <w:rPr>
          <w:rFonts w:hint="eastAsia" w:ascii="宋体" w:hAnsi="宋体" w:cs="宋体"/>
          <w:bCs/>
          <w:sz w:val="24"/>
        </w:rPr>
        <w:t>二、技术商务部分</w:t>
      </w:r>
    </w:p>
    <w:p w14:paraId="272421B2">
      <w:pPr>
        <w:pStyle w:val="11"/>
        <w:spacing w:before="0" w:beforeAutospacing="0" w:after="0" w:afterAutospacing="0" w:line="360" w:lineRule="auto"/>
        <w:rPr>
          <w:bCs/>
        </w:rPr>
      </w:pPr>
      <w:r>
        <w:rPr>
          <w:rFonts w:hint="eastAsia"/>
          <w:bCs/>
        </w:rPr>
        <w:t>1、标的说明一览表</w:t>
      </w:r>
    </w:p>
    <w:p w14:paraId="272284C2">
      <w:pPr>
        <w:pStyle w:val="11"/>
        <w:spacing w:before="0" w:beforeAutospacing="0" w:after="0" w:afterAutospacing="0" w:line="360" w:lineRule="auto"/>
        <w:rPr>
          <w:bCs/>
        </w:rPr>
      </w:pPr>
      <w:r>
        <w:rPr>
          <w:rFonts w:hint="eastAsia"/>
          <w:bCs/>
        </w:rPr>
        <w:t>2、技术和服务要求响应表</w:t>
      </w:r>
    </w:p>
    <w:p w14:paraId="72B98B6F">
      <w:pPr>
        <w:pStyle w:val="11"/>
        <w:spacing w:before="0" w:beforeAutospacing="0" w:after="0" w:afterAutospacing="0" w:line="360" w:lineRule="auto"/>
        <w:rPr>
          <w:bCs/>
        </w:rPr>
      </w:pPr>
      <w:r>
        <w:rPr>
          <w:rFonts w:hint="eastAsia"/>
          <w:bCs/>
        </w:rPr>
        <w:t>3、商务条件响应表</w:t>
      </w:r>
    </w:p>
    <w:p w14:paraId="10B0F193">
      <w:pPr>
        <w:spacing w:line="360" w:lineRule="auto"/>
        <w:rPr>
          <w:rFonts w:ascii="宋体" w:hAnsi="宋体" w:cs="宋体"/>
          <w:bCs/>
          <w:sz w:val="24"/>
        </w:rPr>
      </w:pPr>
      <w:r>
        <w:rPr>
          <w:rFonts w:hint="eastAsia" w:ascii="宋体" w:hAnsi="宋体" w:cs="宋体"/>
          <w:bCs/>
          <w:sz w:val="24"/>
        </w:rPr>
        <w:t>4、专项承诺函</w:t>
      </w:r>
    </w:p>
    <w:p w14:paraId="66CF2809">
      <w:pPr>
        <w:spacing w:line="360" w:lineRule="auto"/>
      </w:pPr>
      <w:r>
        <w:rPr>
          <w:rFonts w:hint="eastAsia" w:ascii="宋体" w:hAnsi="宋体" w:cs="宋体"/>
          <w:bCs/>
          <w:sz w:val="24"/>
        </w:rPr>
        <w:t>5、投标人认为应提交的其他资料</w:t>
      </w:r>
    </w:p>
    <w:p w14:paraId="7578A1AE">
      <w:pPr>
        <w:spacing w:line="360" w:lineRule="auto"/>
        <w:rPr>
          <w:rFonts w:ascii="宋体" w:hAnsi="宋体"/>
          <w:b/>
          <w:sz w:val="24"/>
        </w:rPr>
      </w:pPr>
      <w:r>
        <w:rPr>
          <w:rFonts w:hint="eastAsia" w:ascii="宋体" w:hAnsi="宋体"/>
          <w:b/>
          <w:sz w:val="24"/>
          <w:lang w:val="en-US" w:eastAsia="zh-CN"/>
        </w:rPr>
        <w:t>3</w:t>
      </w:r>
      <w:r>
        <w:rPr>
          <w:rFonts w:hint="eastAsia" w:ascii="宋体" w:hAnsi="宋体"/>
          <w:b/>
          <w:sz w:val="24"/>
        </w:rPr>
        <w:t>.2报价部分应包括下列部分：（单独编制、胶装成册并密封）</w:t>
      </w:r>
    </w:p>
    <w:p w14:paraId="3EA4C223">
      <w:pPr>
        <w:pStyle w:val="23"/>
        <w:numPr>
          <w:ilvl w:val="0"/>
          <w:numId w:val="4"/>
        </w:numPr>
        <w:spacing w:line="360" w:lineRule="auto"/>
        <w:jc w:val="left"/>
        <w:outlineLvl w:val="9"/>
        <w:rPr>
          <w:rFonts w:hAnsi="宋体" w:cs="宋体"/>
          <w:bCs/>
          <w:sz w:val="24"/>
        </w:rPr>
      </w:pPr>
      <w:r>
        <w:rPr>
          <w:rFonts w:hint="eastAsia" w:hAnsi="宋体" w:cs="宋体"/>
          <w:bCs/>
          <w:sz w:val="24"/>
        </w:rPr>
        <w:t>开标一览表</w:t>
      </w:r>
    </w:p>
    <w:p w14:paraId="010CF4AC">
      <w:pPr>
        <w:spacing w:line="360" w:lineRule="auto"/>
        <w:rPr>
          <w:rFonts w:ascii="宋体" w:hAnsi="宋体" w:cs="Tahoma"/>
          <w:b/>
          <w:kern w:val="0"/>
          <w:sz w:val="24"/>
        </w:rPr>
      </w:pPr>
      <w:r>
        <w:rPr>
          <w:rFonts w:hint="eastAsia" w:ascii="宋体" w:hAnsi="宋体"/>
          <w:b/>
          <w:sz w:val="24"/>
          <w:lang w:val="en-US" w:eastAsia="zh-CN"/>
        </w:rPr>
        <w:t>3</w:t>
      </w:r>
      <w:r>
        <w:rPr>
          <w:rFonts w:hint="eastAsia" w:ascii="宋体" w:hAnsi="宋体"/>
          <w:b/>
          <w:sz w:val="24"/>
        </w:rPr>
        <w:t>.3</w:t>
      </w:r>
      <w:r>
        <w:rPr>
          <w:rFonts w:hint="eastAsia" w:ascii="宋体" w:hAnsi="宋体" w:cs="Tahoma"/>
          <w:b/>
          <w:kern w:val="0"/>
          <w:sz w:val="24"/>
        </w:rPr>
        <w:t>特别提示：</w:t>
      </w:r>
    </w:p>
    <w:p w14:paraId="11335350">
      <w:pPr>
        <w:spacing w:line="360" w:lineRule="auto"/>
        <w:rPr>
          <w:rFonts w:ascii="宋体" w:hAnsi="宋体"/>
          <w:b/>
          <w:sz w:val="24"/>
          <w:u w:val="double"/>
        </w:rPr>
      </w:pPr>
      <w:r>
        <w:rPr>
          <w:rFonts w:ascii="宋体" w:hAnsi="宋体" w:cs="Tahoma"/>
          <w:b/>
          <w:kern w:val="0"/>
          <w:sz w:val="24"/>
          <w:u w:val="double"/>
        </w:rPr>
        <w:t>（</w:t>
      </w:r>
      <w:r>
        <w:rPr>
          <w:rFonts w:hint="eastAsia" w:ascii="宋体" w:hAnsi="宋体" w:cs="Tahoma"/>
          <w:b/>
          <w:kern w:val="0"/>
          <w:sz w:val="24"/>
          <w:u w:val="double"/>
        </w:rPr>
        <w:t>1</w:t>
      </w:r>
      <w:r>
        <w:rPr>
          <w:rFonts w:ascii="宋体" w:hAnsi="宋体" w:cs="Tahoma"/>
          <w:b/>
          <w:kern w:val="0"/>
          <w:sz w:val="24"/>
          <w:u w:val="double"/>
        </w:rPr>
        <w:t>）</w:t>
      </w:r>
      <w:r>
        <w:rPr>
          <w:rFonts w:hint="eastAsia" w:ascii="宋体" w:hAnsi="宋体"/>
          <w:b/>
          <w:sz w:val="24"/>
          <w:u w:val="double"/>
        </w:rPr>
        <w:t>本项目实行两阶段评标。各投标人提交的投标文件应由技术商务部分和报价部分两部分组成，投标人必须将技术商务部分和报价部分分别单独胶装，密封投标，且技术商务部分中不得出现投标报价的信息，否则将被视为无效投标。</w:t>
      </w:r>
    </w:p>
    <w:p w14:paraId="3BC1177D">
      <w:pPr>
        <w:spacing w:line="480" w:lineRule="exact"/>
        <w:outlineLvl w:val="2"/>
        <w:rPr>
          <w:rFonts w:ascii="宋体" w:hAnsi="宋体"/>
          <w:b/>
          <w:sz w:val="24"/>
        </w:rPr>
      </w:pPr>
      <w:bookmarkStart w:id="36" w:name="_Toc13302"/>
      <w:r>
        <w:rPr>
          <w:rFonts w:hint="eastAsia" w:ascii="宋体" w:hAnsi="宋体"/>
          <w:b/>
          <w:sz w:val="24"/>
          <w:lang w:val="en-US" w:eastAsia="zh-CN"/>
        </w:rPr>
        <w:t>4</w:t>
      </w:r>
      <w:r>
        <w:rPr>
          <w:rFonts w:ascii="宋体" w:hAnsi="宋体"/>
          <w:b/>
          <w:sz w:val="24"/>
        </w:rPr>
        <w:t>.</w:t>
      </w:r>
      <w:r>
        <w:rPr>
          <w:rFonts w:hint="eastAsia" w:ascii="宋体" w:hAnsi="宋体"/>
          <w:b/>
          <w:sz w:val="24"/>
        </w:rPr>
        <w:t>投标有效期</w:t>
      </w:r>
      <w:bookmarkEnd w:id="36"/>
    </w:p>
    <w:p w14:paraId="1F4A23F9">
      <w:pPr>
        <w:spacing w:line="480" w:lineRule="exact"/>
        <w:rPr>
          <w:rFonts w:ascii="宋体" w:hAnsi="宋体"/>
          <w:sz w:val="24"/>
        </w:rPr>
      </w:pPr>
      <w:r>
        <w:rPr>
          <w:rFonts w:hint="eastAsia" w:ascii="宋体" w:hAnsi="宋体"/>
          <w:sz w:val="24"/>
          <w:lang w:val="en-US" w:eastAsia="zh-CN"/>
        </w:rPr>
        <w:t>4</w:t>
      </w:r>
      <w:r>
        <w:rPr>
          <w:rFonts w:hint="eastAsia" w:ascii="宋体" w:hAnsi="宋体"/>
          <w:sz w:val="24"/>
        </w:rPr>
        <w:t>.1投标文件从</w:t>
      </w:r>
      <w:r>
        <w:rPr>
          <w:rFonts w:hint="eastAsia" w:ascii="宋体" w:hAnsi="宋体"/>
          <w:bCs/>
          <w:sz w:val="24"/>
        </w:rPr>
        <w:t>投标人须知前附表</w:t>
      </w:r>
      <w:r>
        <w:rPr>
          <w:rFonts w:hint="eastAsia" w:ascii="宋体" w:hAnsi="宋体"/>
          <w:sz w:val="24"/>
        </w:rPr>
        <w:t>第4项所规定的投标截止期之后开始生效，在</w:t>
      </w:r>
      <w:r>
        <w:rPr>
          <w:rFonts w:hint="eastAsia" w:ascii="宋体" w:hAnsi="宋体"/>
          <w:bCs/>
          <w:sz w:val="24"/>
        </w:rPr>
        <w:t>投标人须知前附表</w:t>
      </w:r>
      <w:r>
        <w:rPr>
          <w:rFonts w:hint="eastAsia" w:ascii="宋体" w:hAnsi="宋体"/>
          <w:sz w:val="24"/>
        </w:rPr>
        <w:t>第</w:t>
      </w:r>
      <w:r>
        <w:rPr>
          <w:rFonts w:ascii="宋体" w:hAnsi="宋体"/>
          <w:sz w:val="24"/>
        </w:rPr>
        <w:t>3</w:t>
      </w:r>
      <w:r>
        <w:rPr>
          <w:rFonts w:hint="eastAsia" w:ascii="宋体" w:hAnsi="宋体"/>
          <w:sz w:val="24"/>
        </w:rPr>
        <w:t>项所规定的期限内保持有效。有效期不足将导致其投标文件无效。</w:t>
      </w:r>
    </w:p>
    <w:p w14:paraId="3B6B1B9D">
      <w:pPr>
        <w:spacing w:line="480" w:lineRule="exact"/>
        <w:rPr>
          <w:rFonts w:ascii="宋体" w:hAnsi="宋体"/>
          <w:sz w:val="24"/>
        </w:rPr>
      </w:pPr>
      <w:r>
        <w:rPr>
          <w:rFonts w:hint="eastAsia" w:ascii="宋体" w:hAnsi="宋体"/>
          <w:sz w:val="24"/>
          <w:lang w:val="en-US" w:eastAsia="zh-CN"/>
        </w:rPr>
        <w:t>4</w:t>
      </w:r>
      <w:r>
        <w:rPr>
          <w:rFonts w:hint="eastAsia" w:ascii="宋体" w:hAnsi="宋体"/>
          <w:sz w:val="24"/>
        </w:rPr>
        <w:t>.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14:paraId="37204DB1">
      <w:pPr>
        <w:spacing w:line="480" w:lineRule="exact"/>
        <w:outlineLvl w:val="2"/>
        <w:rPr>
          <w:rFonts w:ascii="宋体" w:hAnsi="宋体"/>
          <w:b/>
          <w:sz w:val="24"/>
        </w:rPr>
      </w:pPr>
      <w:bookmarkStart w:id="37" w:name="_Toc23661"/>
      <w:r>
        <w:rPr>
          <w:rFonts w:hint="eastAsia" w:ascii="宋体" w:hAnsi="宋体"/>
          <w:b/>
          <w:sz w:val="24"/>
          <w:lang w:val="en-US" w:eastAsia="zh-CN"/>
        </w:rPr>
        <w:t>5</w:t>
      </w:r>
      <w:r>
        <w:rPr>
          <w:rFonts w:hint="eastAsia" w:ascii="宋体" w:hAnsi="宋体"/>
          <w:b/>
          <w:sz w:val="24"/>
        </w:rPr>
        <w:t>.投标保证金</w:t>
      </w:r>
      <w:bookmarkEnd w:id="37"/>
    </w:p>
    <w:p w14:paraId="528905DD">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.1 投标保证金为投标文件的组成部分之一。</w:t>
      </w:r>
    </w:p>
    <w:p w14:paraId="704E95E1">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.2 投标人应在提交投标文件之前向招标代理机构缴交投标人须知前附表第6项要求的投标保证金。</w:t>
      </w:r>
    </w:p>
    <w:p w14:paraId="5FA26A06">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.3 投标保证金用于保护本次招标活动免受投标人的行为而引起的风险。</w:t>
      </w:r>
    </w:p>
    <w:p w14:paraId="205F5E8D">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.4 投标保证金以转账、电汇等非现金形式提交。</w:t>
      </w:r>
    </w:p>
    <w:p w14:paraId="61A1CF3B">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.5 未按规定缴交投标保证金的投标，其将被视为未实质性响应招标文件要求，按无效投标处理。</w:t>
      </w:r>
    </w:p>
    <w:p w14:paraId="2480FB9C">
      <w:pPr>
        <w:pStyle w:val="4"/>
        <w:snapToGrid w:val="0"/>
        <w:spacing w:line="480" w:lineRule="exact"/>
        <w:ind w:firstLine="0" w:firstLineChars="0"/>
        <w:rPr>
          <w:rFonts w:ascii="宋体" w:hAnsi="宋体"/>
          <w:sz w:val="24"/>
        </w:rPr>
      </w:pPr>
      <w:r>
        <w:rPr>
          <w:rFonts w:hint="eastAsia" w:ascii="宋体" w:hAnsi="宋体"/>
          <w:sz w:val="24"/>
          <w:lang w:val="en-US" w:eastAsia="zh-CN"/>
        </w:rPr>
        <w:t>5</w:t>
      </w:r>
      <w:r>
        <w:rPr>
          <w:rFonts w:hint="eastAsia" w:ascii="宋体" w:hAnsi="宋体"/>
          <w:sz w:val="24"/>
        </w:rPr>
        <w:t>.6招标代理机构</w:t>
      </w:r>
      <w:r>
        <w:rPr>
          <w:rFonts w:ascii="宋体" w:hAnsi="宋体"/>
          <w:sz w:val="24"/>
        </w:rPr>
        <w:t>将在</w:t>
      </w:r>
      <w:r>
        <w:rPr>
          <w:rFonts w:hint="eastAsia" w:ascii="宋体" w:hAnsi="宋体"/>
          <w:sz w:val="24"/>
        </w:rPr>
        <w:t>中标通知书发出之日起五个工作日内退还</w:t>
      </w:r>
      <w:r>
        <w:rPr>
          <w:rFonts w:ascii="宋体" w:hAnsi="宋体"/>
          <w:sz w:val="24"/>
        </w:rPr>
        <w:t>中标人</w:t>
      </w:r>
      <w:r>
        <w:rPr>
          <w:rFonts w:hint="eastAsia" w:ascii="宋体" w:hAnsi="宋体"/>
          <w:sz w:val="24"/>
        </w:rPr>
        <w:t>以外</w:t>
      </w:r>
      <w:r>
        <w:rPr>
          <w:rFonts w:ascii="宋体" w:hAnsi="宋体"/>
          <w:sz w:val="24"/>
        </w:rPr>
        <w:t>的</w:t>
      </w:r>
      <w:r>
        <w:rPr>
          <w:rFonts w:hint="eastAsia" w:ascii="宋体" w:hAnsi="宋体"/>
          <w:sz w:val="24"/>
        </w:rPr>
        <w:t>投标人</w:t>
      </w:r>
      <w:r>
        <w:rPr>
          <w:rFonts w:ascii="宋体" w:hAnsi="宋体"/>
          <w:sz w:val="24"/>
        </w:rPr>
        <w:t>的投标保证金</w:t>
      </w:r>
      <w:r>
        <w:rPr>
          <w:rFonts w:hint="eastAsia" w:ascii="宋体" w:hAnsi="宋体"/>
          <w:sz w:val="24"/>
        </w:rPr>
        <w:t>。</w:t>
      </w:r>
    </w:p>
    <w:p w14:paraId="2A83A822">
      <w:pPr>
        <w:pStyle w:val="4"/>
        <w:snapToGrid w:val="0"/>
        <w:spacing w:line="480" w:lineRule="exact"/>
        <w:ind w:firstLine="0" w:firstLineChars="0"/>
        <w:rPr>
          <w:rFonts w:ascii="宋体" w:hAnsi="宋体"/>
          <w:sz w:val="24"/>
        </w:rPr>
      </w:pPr>
      <w:r>
        <w:rPr>
          <w:rFonts w:hint="eastAsia" w:ascii="宋体" w:hAnsi="宋体"/>
          <w:sz w:val="24"/>
          <w:lang w:val="en-US" w:eastAsia="zh-CN"/>
        </w:rPr>
        <w:t>5</w:t>
      </w:r>
      <w:r>
        <w:rPr>
          <w:rFonts w:hint="eastAsia" w:ascii="宋体" w:hAnsi="宋体"/>
          <w:sz w:val="24"/>
        </w:rPr>
        <w:t>.7在中标人签订合同后5个工作日内，</w:t>
      </w:r>
      <w:r>
        <w:rPr>
          <w:rFonts w:ascii="宋体" w:hAnsi="宋体"/>
          <w:sz w:val="24"/>
        </w:rPr>
        <w:t>中标人的投标保证金</w:t>
      </w:r>
      <w:r>
        <w:rPr>
          <w:rFonts w:hint="eastAsia" w:ascii="宋体" w:hAnsi="宋体"/>
          <w:sz w:val="24"/>
        </w:rPr>
        <w:t>予以退还。</w:t>
      </w:r>
    </w:p>
    <w:p w14:paraId="0707F974">
      <w:pPr>
        <w:pStyle w:val="4"/>
        <w:snapToGrid w:val="0"/>
        <w:spacing w:line="480" w:lineRule="exact"/>
        <w:ind w:firstLine="0" w:firstLineChars="0"/>
        <w:rPr>
          <w:rFonts w:ascii="宋体" w:hAnsi="宋体"/>
          <w:sz w:val="24"/>
        </w:rPr>
      </w:pPr>
      <w:r>
        <w:rPr>
          <w:rFonts w:hint="eastAsia" w:ascii="宋体" w:hAnsi="宋体"/>
          <w:sz w:val="24"/>
          <w:lang w:val="en-US" w:eastAsia="zh-CN"/>
        </w:rPr>
        <w:t>5</w:t>
      </w:r>
      <w:r>
        <w:rPr>
          <w:rFonts w:hint="eastAsia" w:ascii="宋体" w:hAnsi="宋体"/>
          <w:sz w:val="24"/>
        </w:rPr>
        <w:t>.8 投标保证金的有效期同投标有效期。</w:t>
      </w:r>
    </w:p>
    <w:p w14:paraId="406B2731">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.9 发生以下情况之一的，投标保证金将不予退还：</w:t>
      </w:r>
    </w:p>
    <w:p w14:paraId="719C663A">
      <w:pPr>
        <w:pStyle w:val="4"/>
        <w:snapToGrid w:val="0"/>
        <w:spacing w:line="480" w:lineRule="exact"/>
        <w:ind w:firstLine="0" w:firstLineChars="0"/>
        <w:rPr>
          <w:rFonts w:ascii="宋体" w:hAnsi="宋体"/>
          <w:sz w:val="24"/>
        </w:rPr>
      </w:pPr>
      <w:r>
        <w:rPr>
          <w:rFonts w:hint="eastAsia" w:ascii="宋体" w:hAnsi="宋体"/>
          <w:sz w:val="24"/>
        </w:rPr>
        <w:t>⑴投标人在投标截止时间后，投标有效期内撤回投标；</w:t>
      </w:r>
    </w:p>
    <w:p w14:paraId="35C688D2">
      <w:pPr>
        <w:spacing w:line="480" w:lineRule="exact"/>
        <w:rPr>
          <w:rFonts w:ascii="宋体" w:hAnsi="宋体"/>
          <w:sz w:val="24"/>
        </w:rPr>
      </w:pPr>
      <w:r>
        <w:rPr>
          <w:rFonts w:hint="eastAsia" w:ascii="宋体" w:hAnsi="宋体"/>
          <w:sz w:val="24"/>
        </w:rPr>
        <w:t>⑵中标人未能做到按本须知第22条规定签订合同；</w:t>
      </w:r>
    </w:p>
    <w:p w14:paraId="543B00AB">
      <w:pPr>
        <w:spacing w:line="480" w:lineRule="exact"/>
        <w:rPr>
          <w:rFonts w:ascii="宋体" w:hAnsi="宋体"/>
          <w:sz w:val="24"/>
        </w:rPr>
      </w:pPr>
      <w:r>
        <w:rPr>
          <w:rFonts w:hint="eastAsia" w:ascii="宋体" w:hAnsi="宋体"/>
          <w:sz w:val="24"/>
        </w:rPr>
        <w:t>⑶以他人名义投标或者以其他方式弄虚作假，骗取中标；</w:t>
      </w:r>
    </w:p>
    <w:p w14:paraId="14F5C970">
      <w:pPr>
        <w:spacing w:line="480" w:lineRule="exact"/>
        <w:rPr>
          <w:rFonts w:ascii="宋体" w:hAnsi="宋体"/>
          <w:sz w:val="24"/>
        </w:rPr>
      </w:pPr>
      <w:r>
        <w:rPr>
          <w:rFonts w:hint="eastAsia" w:ascii="宋体" w:hAnsi="宋体"/>
          <w:sz w:val="24"/>
        </w:rPr>
        <w:t>⑷本招标文件中规定的其他没收投标保证金的情形。</w:t>
      </w:r>
    </w:p>
    <w:p w14:paraId="216FFDE3">
      <w:pPr>
        <w:spacing w:line="480" w:lineRule="exact"/>
        <w:ind w:firstLine="480" w:firstLineChars="200"/>
        <w:rPr>
          <w:rFonts w:ascii="宋体" w:hAnsi="宋体"/>
          <w:sz w:val="24"/>
        </w:rPr>
      </w:pPr>
      <w:r>
        <w:rPr>
          <w:rFonts w:hint="eastAsia" w:ascii="宋体" w:hAnsi="宋体"/>
          <w:sz w:val="24"/>
        </w:rPr>
        <w:t>上述不予退还投标保证金的情况给招标采购单位造成损失的，还要承担赔偿责任。</w:t>
      </w:r>
    </w:p>
    <w:p w14:paraId="00D7371C">
      <w:pPr>
        <w:spacing w:line="480" w:lineRule="exact"/>
        <w:outlineLvl w:val="2"/>
        <w:rPr>
          <w:rFonts w:ascii="宋体" w:hAnsi="宋体"/>
          <w:b/>
          <w:sz w:val="24"/>
        </w:rPr>
      </w:pPr>
      <w:bookmarkStart w:id="38" w:name="_Toc28703"/>
      <w:r>
        <w:rPr>
          <w:rFonts w:hint="eastAsia" w:ascii="宋体" w:hAnsi="宋体"/>
          <w:b/>
          <w:sz w:val="24"/>
          <w:lang w:val="en-US" w:eastAsia="zh-CN"/>
        </w:rPr>
        <w:t>6</w:t>
      </w:r>
      <w:r>
        <w:rPr>
          <w:rFonts w:ascii="宋体" w:hAnsi="宋体"/>
          <w:b/>
          <w:sz w:val="24"/>
        </w:rPr>
        <w:t>.</w:t>
      </w:r>
      <w:r>
        <w:rPr>
          <w:rFonts w:hint="eastAsia" w:ascii="宋体" w:hAnsi="宋体"/>
          <w:b/>
          <w:sz w:val="24"/>
        </w:rPr>
        <w:t>投标文件的格式</w:t>
      </w:r>
      <w:bookmarkEnd w:id="38"/>
    </w:p>
    <w:p w14:paraId="48DA52FC">
      <w:pPr>
        <w:spacing w:line="480" w:lineRule="exact"/>
        <w:rPr>
          <w:rFonts w:ascii="宋体" w:hAnsi="宋体"/>
          <w:b/>
          <w:sz w:val="24"/>
          <w:shd w:val="pct10" w:color="auto" w:fill="FFFFFF"/>
        </w:rPr>
      </w:pPr>
      <w:r>
        <w:rPr>
          <w:rFonts w:hint="eastAsia" w:ascii="宋体" w:hAnsi="宋体"/>
          <w:b/>
          <w:sz w:val="24"/>
          <w:shd w:val="pct10" w:color="auto" w:fill="FFFFFF"/>
          <w:lang w:val="en-US" w:eastAsia="zh-CN"/>
        </w:rPr>
        <w:t>6</w:t>
      </w:r>
      <w:r>
        <w:rPr>
          <w:rFonts w:hint="eastAsia" w:ascii="宋体" w:hAnsi="宋体"/>
          <w:b/>
          <w:sz w:val="24"/>
          <w:shd w:val="pct10" w:color="auto" w:fill="FFFFFF"/>
        </w:rPr>
        <w:t>.1投标文件的编制与封装要求：投标人须按本招标文件中第五章第一册“技术商务部分格式”和第二册“报价部分格式”要求规定的内容分别编制和单独胶装投标文件：应编制封面、目录、页码，数量为正本一份，副本五份。正本必须用A4幅面纸张打印。副本可以用正本的完整复印件。正、副本均须胶装成册，并加盖骑缝章(或每页盖章)。封面须标明“正本”、“副本”字样。正本与副本如有不一致，则以正本为准。不符合前述要求的将被视为无效投标。</w:t>
      </w:r>
    </w:p>
    <w:p w14:paraId="5C751DB6">
      <w:pPr>
        <w:spacing w:line="480" w:lineRule="exact"/>
        <w:rPr>
          <w:rFonts w:ascii="宋体" w:hAnsi="宋体"/>
          <w:b/>
          <w:sz w:val="24"/>
          <w:shd w:val="pct10" w:color="auto" w:fill="FFFFFF"/>
        </w:rPr>
      </w:pPr>
      <w:r>
        <w:rPr>
          <w:rFonts w:hint="eastAsia" w:ascii="宋体" w:hAnsi="宋体"/>
          <w:b/>
          <w:sz w:val="24"/>
          <w:shd w:val="pct10" w:color="auto" w:fill="FFFFFF"/>
          <w:lang w:val="en-US" w:eastAsia="zh-CN"/>
        </w:rPr>
        <w:t>6</w:t>
      </w:r>
      <w:r>
        <w:rPr>
          <w:rFonts w:hint="eastAsia" w:ascii="宋体" w:hAnsi="宋体"/>
          <w:b/>
          <w:sz w:val="24"/>
          <w:shd w:val="pct10" w:color="auto" w:fill="FFFFFF"/>
        </w:rPr>
        <w:t>.2投标文件应由投标人的单位负责人或者其授权代表在第五章投标文件格式中出现签名和盖章的相应处签名并加盖公章，如由后者签名，应提供“单位负责人授权书”。</w:t>
      </w:r>
    </w:p>
    <w:p w14:paraId="3921AC5C">
      <w:pPr>
        <w:spacing w:line="480" w:lineRule="exact"/>
        <w:rPr>
          <w:rFonts w:ascii="宋体" w:hAnsi="宋体"/>
          <w:sz w:val="24"/>
        </w:rPr>
      </w:pPr>
      <w:r>
        <w:rPr>
          <w:rFonts w:hint="eastAsia" w:ascii="宋体" w:hAnsi="宋体"/>
          <w:sz w:val="24"/>
          <w:lang w:val="en-US" w:eastAsia="zh-CN"/>
        </w:rPr>
        <w:t>6</w:t>
      </w:r>
      <w:r>
        <w:rPr>
          <w:rFonts w:hint="eastAsia" w:ascii="宋体" w:hAnsi="宋体"/>
          <w:sz w:val="24"/>
        </w:rPr>
        <w:t>.3本次招标货币为人民币。</w:t>
      </w:r>
    </w:p>
    <w:p w14:paraId="6AE643C8">
      <w:pPr>
        <w:spacing w:line="480" w:lineRule="exact"/>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4投标人应提交证明其拟提供的服务符合招标文件要求的技术响应材料，该材料可以是文字资料、图纸和数据。</w:t>
      </w:r>
    </w:p>
    <w:p w14:paraId="0B00F86A">
      <w:pPr>
        <w:spacing w:line="480" w:lineRule="exact"/>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5投标文件的正本和全部副本均应使用不能擦去的墨料或墨水打印、书写或复印，并由单位负责人或其授权代表签署，盖投标人公章。</w:t>
      </w:r>
    </w:p>
    <w:p w14:paraId="152829F1">
      <w:pPr>
        <w:spacing w:line="480" w:lineRule="exact"/>
        <w:rPr>
          <w:rFonts w:ascii="宋体" w:hAnsi="宋体"/>
          <w:sz w:val="24"/>
        </w:rPr>
      </w:pPr>
      <w:r>
        <w:rPr>
          <w:rFonts w:hint="eastAsia" w:ascii="宋体" w:hAnsi="宋体"/>
          <w:sz w:val="24"/>
          <w:lang w:val="en-US" w:eastAsia="zh-CN"/>
        </w:rPr>
        <w:t>6</w:t>
      </w:r>
      <w:r>
        <w:rPr>
          <w:rFonts w:hint="eastAsia" w:ascii="宋体" w:hAnsi="宋体"/>
          <w:sz w:val="24"/>
        </w:rPr>
        <w:t xml:space="preserve">.6全套投标文件应无涂改和行间插字，除非这些改动是根据招标代理机构的指示进行的，或者是为改正投标人造成的必须修改的错误而进行的。有改动时，修改处应由单位负责人授权代表签署证明或加盖校正章。 </w:t>
      </w:r>
    </w:p>
    <w:p w14:paraId="7B9A963E">
      <w:pPr>
        <w:spacing w:line="480" w:lineRule="exact"/>
        <w:rPr>
          <w:rFonts w:ascii="宋体" w:hAnsi="宋体"/>
          <w:szCs w:val="21"/>
        </w:rPr>
      </w:pPr>
      <w:r>
        <w:rPr>
          <w:rFonts w:hint="eastAsia" w:ascii="宋体" w:hAnsi="宋体"/>
          <w:sz w:val="24"/>
          <w:lang w:val="en-US" w:eastAsia="zh-CN"/>
        </w:rPr>
        <w:t>6</w:t>
      </w:r>
      <w:r>
        <w:rPr>
          <w:rFonts w:hint="eastAsia" w:ascii="宋体" w:hAnsi="宋体"/>
          <w:sz w:val="24"/>
        </w:rPr>
        <w:t>.7未按本须知规定的格式填写投标文件、投标文件字迹模糊不清的，其投标无效。</w:t>
      </w:r>
    </w:p>
    <w:p w14:paraId="1C85A8F5">
      <w:pPr>
        <w:pStyle w:val="23"/>
        <w:spacing w:line="400" w:lineRule="exact"/>
        <w:jc w:val="center"/>
        <w:outlineLvl w:val="9"/>
        <w:rPr>
          <w:rFonts w:hAnsi="宋体"/>
          <w:b/>
          <w:bCs/>
          <w:sz w:val="36"/>
          <w:szCs w:val="36"/>
        </w:rPr>
      </w:pPr>
    </w:p>
    <w:p w14:paraId="4402DB5A">
      <w:pPr>
        <w:spacing w:line="360" w:lineRule="auto"/>
        <w:jc w:val="center"/>
        <w:outlineLvl w:val="1"/>
        <w:rPr>
          <w:rFonts w:ascii="宋体" w:hAnsi="宋体" w:cs="宋体"/>
          <w:b/>
          <w:sz w:val="36"/>
          <w:szCs w:val="36"/>
        </w:rPr>
      </w:pPr>
      <w:bookmarkStart w:id="39" w:name="_Toc31415"/>
      <w:r>
        <w:rPr>
          <w:rFonts w:hint="eastAsia" w:ascii="宋体" w:hAnsi="宋体" w:cs="宋体"/>
          <w:b/>
          <w:sz w:val="36"/>
          <w:szCs w:val="36"/>
        </w:rPr>
        <w:t>四、投标文件的提交</w:t>
      </w:r>
      <w:bookmarkEnd w:id="39"/>
    </w:p>
    <w:p w14:paraId="749B99EE">
      <w:pPr>
        <w:spacing w:line="360" w:lineRule="auto"/>
        <w:outlineLvl w:val="2"/>
        <w:rPr>
          <w:rFonts w:ascii="宋体" w:hAnsi="宋体" w:cs="宋体"/>
          <w:b/>
          <w:sz w:val="24"/>
          <w:u w:val="single"/>
        </w:rPr>
      </w:pPr>
      <w:bookmarkStart w:id="40" w:name="_Toc793"/>
      <w:r>
        <w:rPr>
          <w:rFonts w:hint="eastAsia" w:ascii="宋体" w:hAnsi="宋体" w:cs="宋体"/>
          <w:b/>
          <w:sz w:val="24"/>
          <w:u w:val="single"/>
          <w:lang w:val="en-US" w:eastAsia="zh-CN"/>
        </w:rPr>
        <w:t>1</w:t>
      </w:r>
      <w:r>
        <w:rPr>
          <w:rFonts w:hint="eastAsia" w:ascii="宋体" w:hAnsi="宋体" w:cs="宋体"/>
          <w:b/>
          <w:sz w:val="24"/>
          <w:u w:val="single"/>
        </w:rPr>
        <w:t>.投标文件的密封、标记和递交</w:t>
      </w:r>
      <w:bookmarkEnd w:id="40"/>
    </w:p>
    <w:p w14:paraId="4087BEAD">
      <w:pPr>
        <w:spacing w:line="360" w:lineRule="auto"/>
        <w:rPr>
          <w:rFonts w:ascii="宋体" w:hAnsi="宋体" w:cs="宋体"/>
          <w:b/>
          <w:sz w:val="24"/>
          <w:u w:val="single"/>
          <w:shd w:val="pct10" w:color="auto" w:fill="FFFFFF"/>
        </w:rPr>
      </w:pPr>
      <w:r>
        <w:rPr>
          <w:rFonts w:hint="eastAsia" w:ascii="宋体" w:hAnsi="宋体" w:cs="宋体"/>
          <w:b/>
          <w:sz w:val="24"/>
          <w:u w:val="single"/>
          <w:shd w:val="pct10" w:color="auto" w:fill="FFFFFF"/>
          <w:lang w:val="en-US" w:eastAsia="zh-CN"/>
        </w:rPr>
        <w:t>1</w:t>
      </w:r>
      <w:r>
        <w:rPr>
          <w:rFonts w:hint="eastAsia" w:ascii="宋体" w:hAnsi="宋体" w:cs="宋体"/>
          <w:b/>
          <w:sz w:val="24"/>
          <w:u w:val="single"/>
          <w:shd w:val="pct10" w:color="auto" w:fill="FFFFFF"/>
        </w:rPr>
        <w:t>.1投标人应将投标文件技术商务部分正本、报价部分正本、技术商务部分所有副本、报价部分所有副本、电子投标文件（U盘或光盘）分别用密封袋（箱）单独密封，投标时要递交共五个单独密封的密封袋（箱），密封袋（箱）的封装要标准、封口处要贴封条并盖投标人公章，密封袋（箱）上应标明招标编号、投标人名称、项目名称、所投合同包号及“正本”或“副本”字样。</w:t>
      </w:r>
    </w:p>
    <w:p w14:paraId="34E08509">
      <w:pPr>
        <w:spacing w:line="360" w:lineRule="auto"/>
        <w:rPr>
          <w:rFonts w:ascii="宋体" w:hAnsi="宋体" w:cs="宋体"/>
          <w:b/>
          <w:sz w:val="24"/>
          <w:u w:val="single"/>
          <w:shd w:val="pct10" w:color="auto" w:fill="FFFFFF"/>
        </w:rPr>
      </w:pPr>
      <w:r>
        <w:rPr>
          <w:rFonts w:hint="eastAsia" w:ascii="宋体" w:hAnsi="宋体" w:cs="宋体"/>
          <w:b/>
          <w:sz w:val="24"/>
          <w:u w:val="single"/>
          <w:shd w:val="pct10" w:color="auto" w:fill="FFFFFF"/>
          <w:lang w:val="en-US" w:eastAsia="zh-CN"/>
        </w:rPr>
        <w:t>1</w:t>
      </w:r>
      <w:r>
        <w:rPr>
          <w:rFonts w:hint="eastAsia" w:ascii="宋体" w:hAnsi="宋体" w:cs="宋体"/>
          <w:b/>
          <w:sz w:val="24"/>
          <w:u w:val="single"/>
          <w:shd w:val="pct10" w:color="auto" w:fill="FFFFFF"/>
        </w:rPr>
        <w:t>.2 封条上应注明“于      年  月  日   午    （北京时间）之前（指投标邀请中规定的开标日期及时间）不准启封”的字样，并加盖投标人公章。</w:t>
      </w:r>
    </w:p>
    <w:p w14:paraId="583CE282">
      <w:pPr>
        <w:pStyle w:val="12"/>
        <w:spacing w:line="360" w:lineRule="auto"/>
        <w:ind w:firstLine="0" w:firstLineChars="0"/>
        <w:rPr>
          <w:rFonts w:ascii="宋体" w:hAnsi="宋体" w:eastAsia="宋体" w:cs="宋体"/>
          <w:u w:val="single"/>
        </w:rPr>
      </w:pPr>
      <w:r>
        <w:rPr>
          <w:rFonts w:hint="eastAsia" w:ascii="宋体" w:hAnsi="宋体" w:eastAsia="宋体" w:cs="宋体"/>
          <w:b/>
          <w:sz w:val="24"/>
          <w:u w:val="single"/>
        </w:rPr>
        <w:t>注：未按前述1.1及1.2条规定进行密封或标记的，其投标文件将被拒收并原封不动地退还投标人。</w:t>
      </w:r>
    </w:p>
    <w:p w14:paraId="3F3AC26D">
      <w:pPr>
        <w:spacing w:line="360" w:lineRule="auto"/>
        <w:rPr>
          <w:rFonts w:ascii="宋体" w:hAnsi="宋体" w:cs="宋体"/>
          <w:sz w:val="24"/>
        </w:rPr>
      </w:pPr>
      <w:r>
        <w:rPr>
          <w:rFonts w:hint="eastAsia" w:ascii="宋体" w:hAnsi="宋体" w:cs="宋体"/>
          <w:sz w:val="24"/>
          <w:lang w:val="en-US" w:eastAsia="zh-CN"/>
        </w:rPr>
        <w:t>1</w:t>
      </w:r>
      <w:r>
        <w:rPr>
          <w:rFonts w:hint="eastAsia" w:ascii="宋体" w:hAnsi="宋体" w:cs="宋体"/>
          <w:sz w:val="24"/>
        </w:rPr>
        <w:t>.3如果未按上述规定进行密封和标记，招标代理机构将不承担由此造成的对投标文件的误投或提前拆封的责任。</w:t>
      </w:r>
    </w:p>
    <w:p w14:paraId="498E7738">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.4投标文件应在投标邀请中规定的截止时间前送达，迟到的投标文件为无效投标文件，将被拒收。</w:t>
      </w:r>
    </w:p>
    <w:p w14:paraId="7ECE479E">
      <w:pPr>
        <w:spacing w:line="480" w:lineRule="exact"/>
        <w:rPr>
          <w:rFonts w:ascii="宋体" w:hAnsi="宋体"/>
          <w:sz w:val="24"/>
        </w:rPr>
      </w:pPr>
      <w:r>
        <w:rPr>
          <w:rFonts w:hint="eastAsia" w:ascii="宋体" w:hAnsi="宋体"/>
          <w:sz w:val="24"/>
          <w:lang w:val="en-US" w:eastAsia="zh-CN"/>
        </w:rPr>
        <w:t>1</w:t>
      </w:r>
      <w:r>
        <w:rPr>
          <w:rFonts w:hint="eastAsia" w:ascii="宋体" w:hAnsi="宋体"/>
          <w:sz w:val="24"/>
        </w:rPr>
        <w:t>.5投标人在投标截止时间前，可以对所提交的投标文件进行修改或者撤回，并书面通知招标代理机构。修改的内容和撤回通知应当按本须知要求签署、盖章、密封，并作为投标文件的组成部分。</w:t>
      </w:r>
    </w:p>
    <w:p w14:paraId="30CD92D1">
      <w:pPr>
        <w:spacing w:line="480" w:lineRule="exact"/>
        <w:rPr>
          <w:rFonts w:ascii="宋体" w:hAnsi="宋体"/>
          <w:sz w:val="24"/>
        </w:rPr>
      </w:pPr>
      <w:r>
        <w:rPr>
          <w:rFonts w:hint="eastAsia" w:ascii="宋体" w:hAnsi="宋体"/>
          <w:sz w:val="24"/>
          <w:lang w:val="en-US" w:eastAsia="zh-CN"/>
        </w:rPr>
        <w:t>1</w:t>
      </w:r>
      <w:r>
        <w:rPr>
          <w:rFonts w:hint="eastAsia" w:ascii="宋体" w:hAnsi="宋体"/>
          <w:sz w:val="24"/>
        </w:rPr>
        <w:t>.6投标人在投标截止时间后不得修改、撤回投标文件。</w:t>
      </w:r>
    </w:p>
    <w:p w14:paraId="4B0DEF98">
      <w:pPr>
        <w:spacing w:line="480" w:lineRule="exact"/>
        <w:rPr>
          <w:rFonts w:ascii="宋体" w:hAnsi="宋体"/>
          <w:sz w:val="24"/>
        </w:rPr>
      </w:pPr>
      <w:r>
        <w:rPr>
          <w:rFonts w:hint="eastAsia" w:ascii="宋体" w:hAnsi="宋体"/>
          <w:sz w:val="24"/>
          <w:lang w:val="en-US" w:eastAsia="zh-CN"/>
        </w:rPr>
        <w:t>1</w:t>
      </w:r>
      <w:r>
        <w:rPr>
          <w:rFonts w:hint="eastAsia" w:ascii="宋体" w:hAnsi="宋体"/>
          <w:sz w:val="24"/>
        </w:rPr>
        <w:t>.7至投标截止时间止，参加投标的各合同包有效投标人不足三家的，本次招标程序终止，除采购任务取消情形外，招标人将依法重新组织招标或者采取其他方式采购。</w:t>
      </w:r>
    </w:p>
    <w:p w14:paraId="50B3799C">
      <w:pPr>
        <w:bidi w:val="0"/>
      </w:pPr>
      <w:bookmarkStart w:id="41" w:name="_Toc17891"/>
    </w:p>
    <w:p w14:paraId="0AE93405">
      <w:pPr>
        <w:spacing w:line="360" w:lineRule="auto"/>
        <w:jc w:val="center"/>
        <w:outlineLvl w:val="1"/>
        <w:rPr>
          <w:rFonts w:ascii="宋体" w:hAnsi="宋体"/>
          <w:b/>
          <w:sz w:val="36"/>
          <w:szCs w:val="36"/>
        </w:rPr>
      </w:pPr>
      <w:r>
        <w:rPr>
          <w:rFonts w:hint="eastAsia" w:ascii="宋体" w:hAnsi="宋体"/>
          <w:b/>
          <w:sz w:val="36"/>
          <w:szCs w:val="36"/>
        </w:rPr>
        <w:t>五、投标文件的评估和比较</w:t>
      </w:r>
      <w:bookmarkEnd w:id="41"/>
    </w:p>
    <w:p w14:paraId="6FF28D46">
      <w:pPr>
        <w:spacing w:line="360" w:lineRule="auto"/>
        <w:outlineLvl w:val="2"/>
        <w:rPr>
          <w:rFonts w:ascii="宋体" w:hAnsi="宋体"/>
          <w:b/>
          <w:sz w:val="24"/>
        </w:rPr>
      </w:pPr>
      <w:bookmarkStart w:id="42" w:name="_Toc11364"/>
      <w:r>
        <w:rPr>
          <w:rFonts w:hint="eastAsia" w:ascii="宋体" w:hAnsi="宋体"/>
          <w:b/>
          <w:sz w:val="24"/>
          <w:lang w:val="en-US" w:eastAsia="zh-CN"/>
        </w:rPr>
        <w:t>1</w:t>
      </w:r>
      <w:r>
        <w:rPr>
          <w:rFonts w:hint="eastAsia" w:ascii="宋体" w:hAnsi="宋体" w:cs="宋体"/>
          <w:b/>
          <w:sz w:val="24"/>
          <w:u w:val="none"/>
        </w:rPr>
        <w:t>.</w:t>
      </w:r>
      <w:r>
        <w:rPr>
          <w:rFonts w:hint="eastAsia" w:ascii="宋体" w:hAnsi="宋体"/>
          <w:b/>
          <w:sz w:val="24"/>
        </w:rPr>
        <w:t>开标、评标时间</w:t>
      </w:r>
      <w:bookmarkEnd w:id="42"/>
    </w:p>
    <w:p w14:paraId="43C81A7E">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.1 在投标人须知前附表中所规定的时间、地点开标。</w:t>
      </w:r>
    </w:p>
    <w:p w14:paraId="296A156D">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 xml:space="preserve">.2开标由招标代理机构主持，招标人、投标人和有关方面代表参加。 </w:t>
      </w:r>
    </w:p>
    <w:p w14:paraId="6BCA7470">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.3 开标时，由招标人监督人员或投标人推荐代表或投标人授权代表检查投标文件的密封情况，各投标人授权代表进行投标文件密封性检验与签名确认。对符合密封要求的投标文件报价部分正本当场逐一拆封，由开标会主持人宣唱并记录各投标人的报价，唱标内容为“开标一览表”中“投标报价”的内容。招标代理机构对唱标内容作开标记录，由投标人代表签名确认。</w:t>
      </w:r>
    </w:p>
    <w:p w14:paraId="45BDA8E3">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.4开标大会唱标结束后，各投标人授权代表对本公司的唱标报价给予签名确认。</w:t>
      </w:r>
    </w:p>
    <w:p w14:paraId="443C3AB3">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5投标人对开标过程及开标记录若有异议，须以书面形式当场向开标会主持人提出，否则视为对本次开标过程及开标记录予以认可，投标人不得在开标以后以各种事由就本次开标过程及开标记录向招标代理机构或招标人提出任何异议和要求。</w:t>
      </w:r>
    </w:p>
    <w:p w14:paraId="6FD9D361">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.6投标人代表未参加开标会或未对唱标报价给予签名确认的均视为认可开标结果。</w:t>
      </w:r>
    </w:p>
    <w:p w14:paraId="1FE7AB0E">
      <w:pPr>
        <w:tabs>
          <w:tab w:val="left" w:pos="3330"/>
        </w:tabs>
        <w:spacing w:line="360" w:lineRule="auto"/>
        <w:outlineLvl w:val="2"/>
        <w:rPr>
          <w:rFonts w:ascii="宋体" w:hAnsi="宋体"/>
          <w:b/>
          <w:sz w:val="24"/>
        </w:rPr>
      </w:pPr>
      <w:bookmarkStart w:id="43" w:name="_Toc25656"/>
      <w:r>
        <w:rPr>
          <w:rFonts w:hint="eastAsia" w:ascii="宋体" w:hAnsi="宋体"/>
          <w:b/>
          <w:sz w:val="24"/>
          <w:lang w:val="en-US" w:eastAsia="zh-CN"/>
        </w:rPr>
        <w:t>2</w:t>
      </w:r>
      <w:r>
        <w:rPr>
          <w:rFonts w:hint="eastAsia" w:ascii="宋体" w:hAnsi="宋体" w:cs="宋体"/>
          <w:b/>
          <w:sz w:val="24"/>
          <w:u w:val="none"/>
        </w:rPr>
        <w:t>.</w:t>
      </w:r>
      <w:r>
        <w:rPr>
          <w:rFonts w:hint="eastAsia" w:ascii="宋体" w:hAnsi="宋体"/>
          <w:b/>
          <w:sz w:val="24"/>
        </w:rPr>
        <w:t>评标委员会</w:t>
      </w:r>
      <w:bookmarkEnd w:id="43"/>
    </w:p>
    <w:p w14:paraId="61E4B7EF">
      <w:pPr>
        <w:spacing w:line="360" w:lineRule="auto"/>
        <w:rPr>
          <w:rFonts w:ascii="宋体" w:hAnsi="宋体"/>
          <w:sz w:val="24"/>
        </w:rPr>
      </w:pPr>
      <w:r>
        <w:rPr>
          <w:rFonts w:hint="eastAsia" w:ascii="宋体" w:hAnsi="宋体"/>
          <w:sz w:val="24"/>
          <w:lang w:val="en-US" w:eastAsia="zh-CN"/>
        </w:rPr>
        <w:t>2</w:t>
      </w:r>
      <w:r>
        <w:rPr>
          <w:rFonts w:hint="eastAsia" w:ascii="宋体" w:hAnsi="宋体"/>
          <w:sz w:val="24"/>
        </w:rPr>
        <w:t>.1招标人根据项目的特点依法组建评标委员会。</w:t>
      </w:r>
      <w:r>
        <w:rPr>
          <w:rFonts w:hint="eastAsia" w:ascii="宋体" w:hAnsi="宋体"/>
          <w:color w:val="auto"/>
          <w:sz w:val="24"/>
          <w:highlight w:val="none"/>
        </w:rPr>
        <w:t>评标委员会成员为5人或以上单数组成</w:t>
      </w:r>
      <w:r>
        <w:rPr>
          <w:rFonts w:hint="eastAsia" w:ascii="宋体" w:hAnsi="宋体"/>
          <w:color w:val="auto"/>
          <w:sz w:val="24"/>
        </w:rPr>
        <w:t>，</w:t>
      </w:r>
      <w:r>
        <w:rPr>
          <w:rFonts w:hint="eastAsia" w:ascii="宋体" w:hAnsi="宋体"/>
          <w:sz w:val="24"/>
        </w:rPr>
        <w:t>评审专家不能少于三分之二。在开标后的适当时间里由评标委员会对投标文件进行审查、异议、评估和比较，并做出授予合同的建议。</w:t>
      </w:r>
    </w:p>
    <w:p w14:paraId="33F8751D">
      <w:pPr>
        <w:spacing w:line="360" w:lineRule="auto"/>
        <w:rPr>
          <w:rFonts w:ascii="宋体" w:hAnsi="宋体"/>
          <w:sz w:val="24"/>
        </w:rPr>
      </w:pPr>
      <w:r>
        <w:rPr>
          <w:rFonts w:hint="eastAsia" w:ascii="宋体" w:hAnsi="宋体"/>
          <w:sz w:val="24"/>
          <w:lang w:val="en-US" w:eastAsia="zh-CN"/>
        </w:rPr>
        <w:t>2</w:t>
      </w:r>
      <w:r>
        <w:rPr>
          <w:rFonts w:hint="eastAsia" w:ascii="宋体" w:hAnsi="宋体"/>
          <w:sz w:val="24"/>
        </w:rPr>
        <w:t>.2 评标委员会成员有下列情形之一的，应当回避：</w:t>
      </w:r>
    </w:p>
    <w:p w14:paraId="7E432304">
      <w:pPr>
        <w:spacing w:line="360" w:lineRule="auto"/>
        <w:rPr>
          <w:rFonts w:ascii="宋体" w:hAnsi="宋体"/>
          <w:sz w:val="24"/>
        </w:rPr>
      </w:pPr>
      <w:r>
        <w:rPr>
          <w:rFonts w:hint="eastAsia" w:ascii="宋体" w:hAnsi="宋体"/>
          <w:sz w:val="24"/>
        </w:rPr>
        <w:t>(1) 现在或者在招标活动发生前三年内，与投标人存在雇佣关系；</w:t>
      </w:r>
    </w:p>
    <w:p w14:paraId="66123EAC">
      <w:pPr>
        <w:spacing w:line="360" w:lineRule="auto"/>
        <w:rPr>
          <w:rFonts w:ascii="宋体" w:hAnsi="宋体"/>
          <w:sz w:val="24"/>
        </w:rPr>
      </w:pPr>
      <w:r>
        <w:rPr>
          <w:rFonts w:hint="eastAsia" w:ascii="宋体" w:hAnsi="宋体"/>
          <w:sz w:val="24"/>
        </w:rPr>
        <w:t>(2) 现在或者在招标活动发生前三年内担任投标人的财务顾问、法律顾问或技术顾问；</w:t>
      </w:r>
    </w:p>
    <w:p w14:paraId="7C3841D7">
      <w:pPr>
        <w:spacing w:line="360" w:lineRule="auto"/>
        <w:rPr>
          <w:rFonts w:ascii="宋体" w:hAnsi="宋体"/>
          <w:sz w:val="24"/>
        </w:rPr>
      </w:pPr>
      <w:r>
        <w:rPr>
          <w:rFonts w:hint="eastAsia" w:ascii="宋体" w:hAnsi="宋体"/>
          <w:sz w:val="24"/>
        </w:rPr>
        <w:t>(3) 现在或者在招标活动发生前三年内是投标人的控股股东或者实际控制人；</w:t>
      </w:r>
    </w:p>
    <w:p w14:paraId="700EDD87">
      <w:pPr>
        <w:spacing w:line="360" w:lineRule="auto"/>
        <w:rPr>
          <w:rFonts w:ascii="宋体" w:hAnsi="宋体"/>
          <w:sz w:val="24"/>
        </w:rPr>
      </w:pPr>
      <w:r>
        <w:rPr>
          <w:rFonts w:hint="eastAsia" w:ascii="宋体" w:hAnsi="宋体"/>
          <w:sz w:val="24"/>
        </w:rPr>
        <w:t>(4) 与投标人的法定代表人或者单位负责人是直系血亲、三代以内旁系血亲及姻亲关系；</w:t>
      </w:r>
    </w:p>
    <w:p w14:paraId="6D41959D">
      <w:pPr>
        <w:spacing w:line="360" w:lineRule="auto"/>
        <w:rPr>
          <w:rFonts w:ascii="宋体" w:hAnsi="宋体"/>
          <w:sz w:val="24"/>
        </w:rPr>
      </w:pPr>
      <w:r>
        <w:rPr>
          <w:rFonts w:hint="eastAsia" w:ascii="宋体" w:hAnsi="宋体"/>
          <w:sz w:val="24"/>
        </w:rPr>
        <w:t>(5) 与投标人之间存在其他影响或可能影响招标活动依法进行的利害关系。</w:t>
      </w:r>
    </w:p>
    <w:p w14:paraId="6E44B46D">
      <w:pPr>
        <w:spacing w:line="360" w:lineRule="auto"/>
        <w:outlineLvl w:val="2"/>
        <w:rPr>
          <w:rFonts w:ascii="宋体" w:hAnsi="宋体"/>
          <w:b/>
          <w:sz w:val="24"/>
        </w:rPr>
      </w:pPr>
      <w:bookmarkStart w:id="44" w:name="_Toc21220"/>
      <w:r>
        <w:rPr>
          <w:rFonts w:hint="eastAsia" w:ascii="宋体" w:hAnsi="宋体"/>
          <w:b/>
          <w:sz w:val="24"/>
          <w:lang w:val="en-US" w:eastAsia="zh-CN"/>
        </w:rPr>
        <w:t>3</w:t>
      </w:r>
      <w:r>
        <w:rPr>
          <w:rFonts w:hint="eastAsia" w:ascii="宋体" w:hAnsi="宋体" w:cs="宋体"/>
          <w:b/>
          <w:sz w:val="24"/>
          <w:u w:val="none"/>
        </w:rPr>
        <w:t>.</w:t>
      </w:r>
      <w:r>
        <w:rPr>
          <w:rFonts w:hint="eastAsia" w:ascii="宋体" w:hAnsi="宋体"/>
          <w:b/>
          <w:sz w:val="24"/>
        </w:rPr>
        <w:t>投标文件的初审</w:t>
      </w:r>
      <w:bookmarkEnd w:id="44"/>
    </w:p>
    <w:p w14:paraId="52DB9FF3">
      <w:pPr>
        <w:spacing w:line="360" w:lineRule="auto"/>
        <w:ind w:firstLine="480" w:firstLineChars="200"/>
        <w:rPr>
          <w:rFonts w:ascii="宋体" w:hAnsi="宋体"/>
          <w:sz w:val="24"/>
        </w:rPr>
      </w:pPr>
      <w:r>
        <w:rPr>
          <w:rFonts w:hint="eastAsia" w:ascii="宋体" w:hAnsi="宋体"/>
          <w:sz w:val="24"/>
        </w:rPr>
        <w:t>对所有投标人的评估，都采用相同的程序和标准。评议过程将严格按照招标文件的要求和条件以及客观、公正、审慎的原则进行。</w:t>
      </w:r>
    </w:p>
    <w:p w14:paraId="78970C8A">
      <w:pPr>
        <w:spacing w:line="360" w:lineRule="auto"/>
        <w:ind w:firstLine="480" w:firstLineChars="200"/>
        <w:rPr>
          <w:rFonts w:ascii="宋体" w:hAnsi="宋体"/>
          <w:sz w:val="24"/>
        </w:rPr>
      </w:pPr>
      <w:r>
        <w:rPr>
          <w:rFonts w:hint="eastAsia" w:ascii="宋体" w:hAnsi="宋体"/>
          <w:sz w:val="24"/>
        </w:rPr>
        <w:t>有关投标文件的审查、澄清、评估和比较以及推荐中标候选人的一切情况都不得透露给任一投标人或与上述评标工作无关的人员。</w:t>
      </w:r>
    </w:p>
    <w:p w14:paraId="121CCC65">
      <w:pPr>
        <w:spacing w:line="360" w:lineRule="auto"/>
        <w:ind w:firstLine="480" w:firstLineChars="200"/>
        <w:rPr>
          <w:rFonts w:ascii="宋体" w:hAnsi="宋体"/>
          <w:sz w:val="24"/>
        </w:rPr>
      </w:pPr>
      <w:r>
        <w:rPr>
          <w:rFonts w:hint="eastAsia" w:ascii="宋体" w:hAnsi="宋体"/>
          <w:sz w:val="24"/>
        </w:rPr>
        <w:t>投标人任何试图影响评标委员会对投标文件的评估、比较或者推荐候选人的行为，都将导致其投标无效，并被没收投标保证金。</w:t>
      </w:r>
    </w:p>
    <w:p w14:paraId="0EB2C1B0">
      <w:pPr>
        <w:spacing w:line="360" w:lineRule="auto"/>
        <w:rPr>
          <w:rFonts w:ascii="宋体" w:hAnsi="宋体"/>
          <w:sz w:val="24"/>
        </w:rPr>
      </w:pPr>
      <w:r>
        <w:rPr>
          <w:rFonts w:hint="eastAsia" w:ascii="宋体" w:hAnsi="宋体"/>
          <w:sz w:val="24"/>
          <w:lang w:val="en-US" w:eastAsia="zh-CN"/>
        </w:rPr>
        <w:t>3</w:t>
      </w:r>
      <w:r>
        <w:rPr>
          <w:rFonts w:hint="eastAsia" w:ascii="宋体" w:hAnsi="宋体"/>
          <w:sz w:val="24"/>
        </w:rPr>
        <w:t>.1评标委员会将对投标文件进行检查，以确定投标文件是否完整、有无计算上的错误、是否提交了投标保证金、文件是否已正确签署。</w:t>
      </w:r>
      <w:r>
        <w:rPr>
          <w:rFonts w:ascii="宋体" w:hAnsi="宋体"/>
          <w:sz w:val="24"/>
        </w:rPr>
        <w:t xml:space="preserve"> </w:t>
      </w:r>
    </w:p>
    <w:p w14:paraId="3B5201A9">
      <w:pPr>
        <w:spacing w:line="360" w:lineRule="auto"/>
        <w:rPr>
          <w:rFonts w:ascii="宋体" w:hAnsi="宋体"/>
          <w:sz w:val="24"/>
        </w:rPr>
      </w:pPr>
      <w:r>
        <w:rPr>
          <w:rFonts w:hint="eastAsia" w:ascii="宋体" w:hAnsi="宋体"/>
          <w:sz w:val="24"/>
          <w:lang w:val="en-US" w:eastAsia="zh-CN"/>
        </w:rPr>
        <w:t>3</w:t>
      </w:r>
      <w:r>
        <w:rPr>
          <w:rFonts w:hint="eastAsia" w:ascii="宋体" w:hAnsi="宋体"/>
          <w:sz w:val="24"/>
        </w:rPr>
        <w:t>.2 投标文件报价出现前后不一致的，除招标文件另有规定外，按照下列规定修正：</w:t>
      </w:r>
    </w:p>
    <w:p w14:paraId="2AC62C32">
      <w:pPr>
        <w:spacing w:line="360" w:lineRule="auto"/>
        <w:ind w:firstLine="240" w:firstLineChars="100"/>
        <w:rPr>
          <w:rFonts w:ascii="宋体" w:hAnsi="宋体"/>
          <w:sz w:val="24"/>
        </w:rPr>
      </w:pPr>
      <w:r>
        <w:rPr>
          <w:rFonts w:hint="eastAsia" w:ascii="宋体" w:hAnsi="宋体"/>
          <w:sz w:val="24"/>
        </w:rPr>
        <w:t>（1）投标文件中开标一览表的投标报价与投标文件其他关于投标报价的内容有不一致的，以开标一览表为准；</w:t>
      </w:r>
    </w:p>
    <w:p w14:paraId="3104EF82">
      <w:pPr>
        <w:spacing w:line="360" w:lineRule="auto"/>
        <w:ind w:firstLine="240" w:firstLineChars="100"/>
        <w:rPr>
          <w:rFonts w:ascii="宋体" w:hAnsi="宋体"/>
          <w:sz w:val="24"/>
        </w:rPr>
      </w:pPr>
      <w:r>
        <w:rPr>
          <w:rFonts w:hint="eastAsia" w:ascii="宋体" w:hAnsi="宋体"/>
          <w:sz w:val="24"/>
        </w:rPr>
        <w:t>（2）投标文件的大写金额和小写金额不一致的，以大写金额为准；投标总价金额与按投标单价汇总金额不一致的，以按投标单价金额计算结果为准；投标单价金额小数点有明显错位的，应以总价为准，并修改单价；</w:t>
      </w:r>
    </w:p>
    <w:p w14:paraId="6490464F">
      <w:pPr>
        <w:spacing w:line="360" w:lineRule="auto"/>
        <w:ind w:firstLine="240" w:firstLineChars="100"/>
        <w:rPr>
          <w:rFonts w:ascii="宋体" w:hAnsi="宋体"/>
          <w:sz w:val="24"/>
        </w:rPr>
      </w:pPr>
      <w:r>
        <w:rPr>
          <w:rFonts w:hint="eastAsia" w:ascii="宋体" w:hAnsi="宋体"/>
          <w:sz w:val="24"/>
        </w:rPr>
        <w:t>（3）对不同文字文本投标文件的解释发生异议的，以中文文本为准。</w:t>
      </w:r>
    </w:p>
    <w:p w14:paraId="64FEF93A">
      <w:pPr>
        <w:spacing w:line="360" w:lineRule="auto"/>
        <w:ind w:firstLine="480" w:firstLineChars="200"/>
        <w:rPr>
          <w:rFonts w:ascii="宋体" w:hAnsi="宋体"/>
          <w:sz w:val="24"/>
        </w:rPr>
      </w:pPr>
      <w:r>
        <w:rPr>
          <w:rFonts w:hint="eastAsia" w:ascii="宋体" w:hAnsi="宋体"/>
          <w:sz w:val="24"/>
        </w:rPr>
        <w:t>如果投标人不接受按上述方法对投标文件中的算术错误进行修正，其投标无效并没收其投标保证金。</w:t>
      </w:r>
    </w:p>
    <w:p w14:paraId="21DE9FB3">
      <w:pPr>
        <w:spacing w:line="360" w:lineRule="auto"/>
        <w:rPr>
          <w:rFonts w:ascii="宋体" w:hAnsi="宋体"/>
          <w:sz w:val="24"/>
        </w:rPr>
      </w:pPr>
      <w:r>
        <w:rPr>
          <w:rFonts w:hint="eastAsia" w:ascii="宋体" w:hAnsi="宋体"/>
          <w:sz w:val="24"/>
          <w:lang w:val="en-US" w:eastAsia="zh-CN"/>
        </w:rPr>
        <w:t>3</w:t>
      </w:r>
      <w:r>
        <w:rPr>
          <w:rFonts w:hint="eastAsia" w:ascii="宋体" w:hAnsi="宋体"/>
          <w:sz w:val="24"/>
        </w:rPr>
        <w:t xml:space="preserve">.3资格性检查和符合性检查 </w:t>
      </w:r>
    </w:p>
    <w:p w14:paraId="24296006">
      <w:pPr>
        <w:spacing w:line="360" w:lineRule="auto"/>
        <w:rPr>
          <w:rFonts w:ascii="宋体" w:hAnsi="宋体" w:cs="宋体"/>
          <w:sz w:val="24"/>
        </w:rPr>
      </w:pPr>
      <w:r>
        <w:rPr>
          <w:rFonts w:hint="eastAsia" w:ascii="宋体" w:hAnsi="宋体"/>
          <w:sz w:val="24"/>
          <w:lang w:val="en-US" w:eastAsia="zh-CN"/>
        </w:rPr>
        <w:t>3</w:t>
      </w:r>
      <w:r>
        <w:rPr>
          <w:rFonts w:hint="eastAsia" w:ascii="宋体" w:hAnsi="宋体"/>
          <w:sz w:val="24"/>
        </w:rPr>
        <w:t>.3.</w:t>
      </w:r>
      <w:r>
        <w:rPr>
          <w:rFonts w:ascii="宋体" w:hAnsi="宋体"/>
          <w:sz w:val="24"/>
        </w:rPr>
        <w:t>1</w:t>
      </w:r>
      <w:r>
        <w:rPr>
          <w:rFonts w:hint="eastAsia" w:ascii="宋体" w:hAnsi="宋体"/>
          <w:sz w:val="24"/>
        </w:rPr>
        <w:t>资格性检查。</w:t>
      </w:r>
      <w:r>
        <w:rPr>
          <w:rFonts w:hint="eastAsia" w:ascii="宋体" w:hAnsi="宋体" w:cs="宋体"/>
          <w:sz w:val="24"/>
        </w:rPr>
        <w:t>评标委员会在对投标文件详细评估之前，评标委员会将依据投标人提交的投标文件按投标人须知前附表第2项所述的资格标准对投标人进行资格审查,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其投标无效。</w:t>
      </w:r>
    </w:p>
    <w:p w14:paraId="5D0C569F">
      <w:pPr>
        <w:spacing w:line="360" w:lineRule="auto"/>
        <w:rPr>
          <w:rFonts w:ascii="宋体" w:hAnsi="宋体"/>
          <w:sz w:val="24"/>
        </w:rPr>
      </w:pPr>
      <w:r>
        <w:rPr>
          <w:rFonts w:hint="eastAsia" w:ascii="宋体" w:hAnsi="宋体"/>
          <w:sz w:val="24"/>
          <w:lang w:val="en-US" w:eastAsia="zh-CN"/>
        </w:rPr>
        <w:t>3</w:t>
      </w:r>
      <w:r>
        <w:rPr>
          <w:rFonts w:hint="eastAsia" w:ascii="宋体" w:hAnsi="宋体"/>
          <w:sz w:val="24"/>
        </w:rPr>
        <w:t>.3.2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sz w:val="24"/>
        </w:rPr>
        <w:t>1</w:t>
      </w:r>
      <w:r>
        <w:rPr>
          <w:rFonts w:hint="eastAsia" w:ascii="宋体" w:hAnsi="宋体"/>
          <w:sz w:val="24"/>
        </w:rPr>
        <w:t>）实质性影响合同的范围、质量和履行；（</w:t>
      </w:r>
      <w:r>
        <w:rPr>
          <w:rFonts w:ascii="宋体" w:hAnsi="宋体"/>
          <w:sz w:val="24"/>
        </w:rPr>
        <w:t>2</w:t>
      </w:r>
      <w:r>
        <w:rPr>
          <w:rFonts w:hint="eastAsia" w:ascii="宋体" w:hAnsi="宋体"/>
          <w:sz w:val="24"/>
        </w:rPr>
        <w:t>）实质性违背招标文件，限制了招标人的权利和中标人合同项下的义务；（</w:t>
      </w:r>
      <w:r>
        <w:rPr>
          <w:rFonts w:ascii="宋体" w:hAnsi="宋体"/>
          <w:sz w:val="24"/>
        </w:rPr>
        <w:t>3</w:t>
      </w:r>
      <w:r>
        <w:rPr>
          <w:rFonts w:hint="eastAsia" w:ascii="宋体" w:hAnsi="宋体"/>
          <w:sz w:val="24"/>
        </w:rPr>
        <w:t>）不公正地影响了其它作出实质性响应的投标人的竞争地位。对没有实质性响应的投标文件无效。凡有下列情况之一者，投标文件也将被视为未实质性响应招标文件要求，按无效投标处理。</w:t>
      </w:r>
    </w:p>
    <w:p w14:paraId="1CCBF68A">
      <w:pPr>
        <w:spacing w:line="360" w:lineRule="auto"/>
        <w:rPr>
          <w:rFonts w:ascii="宋体" w:hAnsi="宋体"/>
          <w:sz w:val="24"/>
        </w:rPr>
      </w:pPr>
      <w:r>
        <w:rPr>
          <w:rFonts w:hint="eastAsia" w:ascii="宋体" w:hAnsi="宋体"/>
          <w:sz w:val="24"/>
        </w:rPr>
        <w:t>（1）投标文件未按照招标文件规定分为报价部分和技术商务部分的；或技术商务部分出现报价内容的；</w:t>
      </w:r>
    </w:p>
    <w:p w14:paraId="6A0E89F1">
      <w:pPr>
        <w:snapToGrid w:val="0"/>
        <w:spacing w:line="360" w:lineRule="auto"/>
        <w:rPr>
          <w:rFonts w:ascii="宋体" w:hAnsi="宋体"/>
          <w:sz w:val="24"/>
        </w:rPr>
      </w:pPr>
      <w:r>
        <w:rPr>
          <w:rFonts w:hint="eastAsia" w:ascii="宋体" w:hAnsi="宋体"/>
          <w:sz w:val="24"/>
        </w:rPr>
        <w:t>（2）投标文件未按本章第13、14条规定要求进行编制、胶装、密封、标记的；</w:t>
      </w:r>
    </w:p>
    <w:p w14:paraId="17CCDA56">
      <w:pPr>
        <w:tabs>
          <w:tab w:val="left" w:pos="720"/>
        </w:tabs>
        <w:adjustRightInd w:val="0"/>
        <w:snapToGrid w:val="0"/>
        <w:spacing w:line="360" w:lineRule="auto"/>
        <w:rPr>
          <w:rFonts w:ascii="宋体" w:hAnsi="宋体"/>
          <w:sz w:val="24"/>
        </w:rPr>
      </w:pPr>
      <w:r>
        <w:rPr>
          <w:rFonts w:hint="eastAsia" w:ascii="宋体" w:hAnsi="宋体"/>
          <w:sz w:val="24"/>
        </w:rPr>
        <w:t>（3）投标文件未按规定由投标人的单位负责人或其授权代表签名的；或未加盖投标人公章的；或签名人未经单位负责人有效授权委托的；</w:t>
      </w:r>
    </w:p>
    <w:p w14:paraId="5354778E">
      <w:pPr>
        <w:tabs>
          <w:tab w:val="left" w:pos="6660"/>
        </w:tabs>
        <w:spacing w:line="360" w:lineRule="auto"/>
        <w:rPr>
          <w:rFonts w:ascii="宋体" w:hAnsi="宋体"/>
          <w:sz w:val="24"/>
        </w:rPr>
      </w:pPr>
      <w:r>
        <w:rPr>
          <w:rFonts w:hint="eastAsia" w:ascii="宋体" w:hAnsi="宋体"/>
          <w:sz w:val="24"/>
        </w:rPr>
        <w:t>（4）未按招标文件要求提交投标保证金的；</w:t>
      </w:r>
    </w:p>
    <w:p w14:paraId="45E0480E">
      <w:pPr>
        <w:snapToGrid w:val="0"/>
        <w:spacing w:line="360" w:lineRule="auto"/>
        <w:rPr>
          <w:rFonts w:ascii="宋体" w:hAnsi="宋体"/>
          <w:sz w:val="24"/>
        </w:rPr>
      </w:pPr>
      <w:r>
        <w:rPr>
          <w:rFonts w:hint="eastAsia" w:ascii="宋体" w:hAnsi="宋体"/>
          <w:sz w:val="24"/>
        </w:rPr>
        <w:t>（5）投标人在《获取招标文件登记表》中填写的公司名称与投标时的公司名称不一致且未在投标文件技术商务部分中提交工商部门出具的更名证明的；</w:t>
      </w:r>
    </w:p>
    <w:p w14:paraId="46418029">
      <w:pPr>
        <w:snapToGrid w:val="0"/>
        <w:spacing w:line="360" w:lineRule="auto"/>
        <w:rPr>
          <w:rFonts w:ascii="宋体" w:hAnsi="宋体"/>
          <w:sz w:val="24"/>
        </w:rPr>
      </w:pPr>
      <w:r>
        <w:rPr>
          <w:rFonts w:hint="eastAsia" w:ascii="宋体" w:hAnsi="宋体"/>
          <w:sz w:val="24"/>
        </w:rPr>
        <w:t>（6）投标有效期不满足招标文件要求的；</w:t>
      </w:r>
    </w:p>
    <w:p w14:paraId="39A69429">
      <w:pPr>
        <w:snapToGrid w:val="0"/>
        <w:spacing w:line="360" w:lineRule="auto"/>
        <w:rPr>
          <w:rFonts w:ascii="宋体" w:hAnsi="宋体"/>
          <w:sz w:val="24"/>
        </w:rPr>
      </w:pPr>
      <w:r>
        <w:rPr>
          <w:rFonts w:hint="eastAsia" w:ascii="宋体" w:hAnsi="宋体"/>
          <w:sz w:val="24"/>
        </w:rPr>
        <w:t>（7）投标内容与招标内容及要求有重大偏离或保留的；</w:t>
      </w:r>
    </w:p>
    <w:p w14:paraId="16690BAC">
      <w:pPr>
        <w:snapToGrid w:val="0"/>
        <w:spacing w:line="360" w:lineRule="auto"/>
        <w:rPr>
          <w:rFonts w:ascii="宋体" w:hAnsi="宋体"/>
          <w:sz w:val="24"/>
        </w:rPr>
      </w:pPr>
      <w:r>
        <w:rPr>
          <w:rFonts w:hint="eastAsia" w:ascii="宋体" w:hAnsi="宋体"/>
          <w:sz w:val="24"/>
        </w:rPr>
        <w:t>（8）投标人提交的是可选择的报价；</w:t>
      </w:r>
    </w:p>
    <w:p w14:paraId="4AD5C5A6">
      <w:pPr>
        <w:snapToGrid w:val="0"/>
        <w:spacing w:line="360" w:lineRule="auto"/>
        <w:rPr>
          <w:rFonts w:ascii="宋体" w:hAnsi="宋体"/>
          <w:sz w:val="24"/>
        </w:rPr>
      </w:pPr>
      <w:r>
        <w:rPr>
          <w:rFonts w:hint="eastAsia" w:ascii="宋体" w:hAnsi="宋体"/>
          <w:sz w:val="24"/>
        </w:rPr>
        <w:t>（9）投标人未按规定进行报价；</w:t>
      </w:r>
    </w:p>
    <w:p w14:paraId="085453AE">
      <w:pPr>
        <w:snapToGrid w:val="0"/>
        <w:spacing w:line="360" w:lineRule="auto"/>
        <w:rPr>
          <w:rFonts w:ascii="宋体" w:hAnsi="宋体"/>
          <w:sz w:val="24"/>
        </w:rPr>
      </w:pPr>
      <w:r>
        <w:rPr>
          <w:rFonts w:hint="eastAsia" w:ascii="宋体" w:hAnsi="宋体"/>
          <w:sz w:val="24"/>
        </w:rPr>
        <w:t>（10）一个投标人不止投一个标；</w:t>
      </w:r>
    </w:p>
    <w:p w14:paraId="38D41EE0">
      <w:pPr>
        <w:snapToGrid w:val="0"/>
        <w:spacing w:line="360" w:lineRule="auto"/>
        <w:rPr>
          <w:rFonts w:ascii="宋体" w:hAnsi="宋体"/>
          <w:sz w:val="24"/>
        </w:rPr>
      </w:pPr>
      <w:r>
        <w:rPr>
          <w:rFonts w:hint="eastAsia" w:ascii="宋体" w:hAnsi="宋体"/>
          <w:sz w:val="24"/>
        </w:rPr>
        <w:t>（11）投标文件组成或份数不符合招标文件要求的；</w:t>
      </w:r>
    </w:p>
    <w:p w14:paraId="39E2E697">
      <w:pPr>
        <w:snapToGrid w:val="0"/>
        <w:spacing w:line="360" w:lineRule="auto"/>
        <w:rPr>
          <w:rFonts w:ascii="宋体" w:hAnsi="宋体"/>
          <w:sz w:val="24"/>
        </w:rPr>
      </w:pPr>
      <w:r>
        <w:rPr>
          <w:rFonts w:hint="eastAsia" w:ascii="宋体" w:hAnsi="宋体"/>
          <w:sz w:val="24"/>
        </w:rPr>
        <w:t>（12）投标文件中提供虚假或失实资料的；</w:t>
      </w:r>
    </w:p>
    <w:p w14:paraId="0140C67A">
      <w:pPr>
        <w:snapToGrid w:val="0"/>
        <w:spacing w:line="360" w:lineRule="auto"/>
        <w:rPr>
          <w:rFonts w:ascii="宋体" w:hAnsi="宋体"/>
          <w:sz w:val="24"/>
        </w:rPr>
      </w:pPr>
      <w:r>
        <w:rPr>
          <w:rFonts w:hint="eastAsia" w:ascii="宋体" w:hAnsi="宋体"/>
          <w:sz w:val="24"/>
        </w:rPr>
        <w:t>（13）投标人的报价超过最高限价的；</w:t>
      </w:r>
    </w:p>
    <w:p w14:paraId="55A61462">
      <w:pPr>
        <w:snapToGrid w:val="0"/>
        <w:spacing w:line="360" w:lineRule="auto"/>
        <w:rPr>
          <w:rFonts w:ascii="宋体" w:hAnsi="宋体"/>
          <w:sz w:val="24"/>
        </w:rPr>
      </w:pPr>
      <w:r>
        <w:rPr>
          <w:rFonts w:hint="eastAsia" w:ascii="宋体" w:hAnsi="宋体"/>
          <w:sz w:val="24"/>
        </w:rPr>
        <w:t>（14）投标人的报价明显低于其他报价，使得其投标报价可能低于其个别成本的，有可能影响商品质量或不能诚信履约的，但不能合理说明原因或不能提供相关证明材料的；</w:t>
      </w:r>
    </w:p>
    <w:p w14:paraId="065BF203">
      <w:pPr>
        <w:snapToGrid w:val="0"/>
        <w:spacing w:line="360" w:lineRule="auto"/>
        <w:rPr>
          <w:rFonts w:ascii="宋体" w:hAnsi="宋体"/>
          <w:sz w:val="24"/>
        </w:rPr>
      </w:pPr>
      <w:r>
        <w:rPr>
          <w:rFonts w:hint="eastAsia" w:ascii="宋体" w:hAnsi="宋体"/>
          <w:sz w:val="24"/>
        </w:rPr>
        <w:t>（15）投标人存在串通投标行为的；</w:t>
      </w:r>
    </w:p>
    <w:p w14:paraId="0C0760DF">
      <w:pPr>
        <w:snapToGrid w:val="0"/>
        <w:spacing w:line="360" w:lineRule="auto"/>
        <w:rPr>
          <w:rFonts w:ascii="宋体" w:hAnsi="宋体"/>
          <w:sz w:val="24"/>
        </w:rPr>
      </w:pPr>
      <w:r>
        <w:rPr>
          <w:rFonts w:hint="eastAsia" w:ascii="宋体" w:hAnsi="宋体"/>
          <w:sz w:val="24"/>
        </w:rPr>
        <w:t>（16）属于招标文件中规定的无效投标条款的；</w:t>
      </w:r>
    </w:p>
    <w:p w14:paraId="552BF303">
      <w:pPr>
        <w:snapToGrid w:val="0"/>
        <w:spacing w:line="360" w:lineRule="auto"/>
        <w:rPr>
          <w:rFonts w:ascii="宋体" w:hAnsi="宋体"/>
          <w:sz w:val="24"/>
        </w:rPr>
      </w:pPr>
      <w:r>
        <w:rPr>
          <w:rFonts w:hint="eastAsia" w:ascii="宋体" w:hAnsi="宋体"/>
          <w:sz w:val="24"/>
        </w:rPr>
        <w:t>（17）不符合招标文件中规定的其它实质性条款。</w:t>
      </w:r>
    </w:p>
    <w:p w14:paraId="501D3685">
      <w:pPr>
        <w:spacing w:line="360" w:lineRule="auto"/>
        <w:ind w:firstLine="480" w:firstLineChars="200"/>
        <w:rPr>
          <w:rFonts w:ascii="宋体" w:hAnsi="宋体"/>
          <w:sz w:val="24"/>
        </w:rPr>
      </w:pPr>
      <w:r>
        <w:rPr>
          <w:rFonts w:hint="eastAsia" w:ascii="宋体" w:hAnsi="宋体"/>
          <w:sz w:val="24"/>
        </w:rPr>
        <w:t>评标委员会决定投标的响应性只根据投标文件本身的内容，而不寻求其他的外部证据。</w:t>
      </w:r>
    </w:p>
    <w:p w14:paraId="33CE8A4F">
      <w:pPr>
        <w:spacing w:line="360" w:lineRule="auto"/>
        <w:rPr>
          <w:rFonts w:ascii="宋体" w:hAnsi="宋体"/>
          <w:sz w:val="24"/>
        </w:rPr>
      </w:pPr>
      <w:r>
        <w:rPr>
          <w:rFonts w:hint="eastAsia" w:ascii="宋体" w:hAnsi="宋体"/>
          <w:sz w:val="24"/>
        </w:rPr>
        <w:t>但评标委员会可要求投标人对其在投标文件中提供的响应材料的真实性出具相关证明。</w:t>
      </w:r>
    </w:p>
    <w:p w14:paraId="593F3C79">
      <w:pPr>
        <w:spacing w:line="360" w:lineRule="auto"/>
        <w:outlineLvl w:val="2"/>
        <w:rPr>
          <w:rFonts w:ascii="宋体" w:hAnsi="宋体"/>
          <w:b/>
          <w:sz w:val="24"/>
        </w:rPr>
      </w:pPr>
      <w:bookmarkStart w:id="45" w:name="_Toc31707"/>
      <w:r>
        <w:rPr>
          <w:rFonts w:hint="eastAsia" w:ascii="宋体" w:hAnsi="宋体"/>
          <w:b/>
          <w:sz w:val="24"/>
          <w:lang w:val="en-US" w:eastAsia="zh-CN"/>
        </w:rPr>
        <w:t>4</w:t>
      </w:r>
      <w:r>
        <w:rPr>
          <w:rFonts w:hint="eastAsia" w:ascii="宋体" w:hAnsi="宋体"/>
          <w:b/>
          <w:sz w:val="24"/>
        </w:rPr>
        <w:t>.投标文件的澄清</w:t>
      </w:r>
      <w:bookmarkEnd w:id="45"/>
      <w:r>
        <w:rPr>
          <w:rFonts w:hint="eastAsia" w:ascii="宋体" w:hAnsi="宋体"/>
          <w:b/>
          <w:sz w:val="24"/>
        </w:rPr>
        <w:t xml:space="preserve"> </w:t>
      </w:r>
    </w:p>
    <w:p w14:paraId="79A1BB07">
      <w:pPr>
        <w:spacing w:line="480" w:lineRule="exact"/>
        <w:rPr>
          <w:rFonts w:ascii="宋体" w:hAnsi="宋体"/>
          <w:sz w:val="24"/>
        </w:rPr>
      </w:pPr>
      <w:r>
        <w:rPr>
          <w:rFonts w:hint="eastAsia" w:ascii="宋体" w:hAnsi="宋体"/>
          <w:sz w:val="24"/>
          <w:lang w:val="en-US" w:eastAsia="zh-CN"/>
        </w:rPr>
        <w:t>4</w:t>
      </w:r>
      <w:r>
        <w:rPr>
          <w:rFonts w:hint="eastAsia" w:ascii="宋体" w:hAnsi="宋体"/>
          <w:sz w:val="24"/>
        </w:rPr>
        <w:t>.1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14:paraId="6F17B137">
      <w:pPr>
        <w:adjustRightInd w:val="0"/>
        <w:snapToGrid w:val="0"/>
        <w:spacing w:line="480" w:lineRule="exact"/>
        <w:rPr>
          <w:rFonts w:ascii="宋体" w:hAnsi="宋体"/>
          <w:sz w:val="24"/>
        </w:rPr>
      </w:pPr>
      <w:r>
        <w:rPr>
          <w:rFonts w:hint="eastAsia" w:ascii="宋体" w:hAnsi="宋体"/>
          <w:sz w:val="24"/>
          <w:lang w:val="en-US" w:eastAsia="zh-CN"/>
        </w:rPr>
        <w:t>4</w:t>
      </w:r>
      <w:r>
        <w:rPr>
          <w:rFonts w:hint="eastAsia" w:ascii="宋体" w:hAnsi="宋体"/>
          <w:sz w:val="24"/>
        </w:rPr>
        <w:t>.2 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14:paraId="240788F3">
      <w:pPr>
        <w:spacing w:line="480" w:lineRule="exact"/>
        <w:outlineLvl w:val="2"/>
        <w:rPr>
          <w:rFonts w:ascii="宋体" w:hAnsi="宋体"/>
          <w:b/>
          <w:sz w:val="24"/>
        </w:rPr>
      </w:pPr>
      <w:bookmarkStart w:id="46" w:name="_Toc15285"/>
      <w:r>
        <w:rPr>
          <w:rFonts w:hint="eastAsia" w:ascii="宋体" w:hAnsi="宋体"/>
          <w:b/>
          <w:sz w:val="24"/>
          <w:lang w:val="en-US" w:eastAsia="zh-CN"/>
        </w:rPr>
        <w:t>5</w:t>
      </w:r>
      <w:r>
        <w:rPr>
          <w:rFonts w:hint="eastAsia" w:ascii="宋体" w:hAnsi="宋体" w:cs="宋体"/>
          <w:b/>
          <w:sz w:val="24"/>
          <w:u w:val="none"/>
        </w:rPr>
        <w:t>.</w:t>
      </w:r>
      <w:r>
        <w:rPr>
          <w:rFonts w:hint="eastAsia" w:ascii="宋体" w:hAnsi="宋体"/>
          <w:b/>
          <w:sz w:val="24"/>
        </w:rPr>
        <w:t>比较与评价</w:t>
      </w:r>
      <w:bookmarkEnd w:id="46"/>
    </w:p>
    <w:p w14:paraId="51A40E56">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.1  评标委员会将按投标人须知前附表所述评标方法与标准，对资格性检查和符合性检查合格的投标文件进行商务和技术评估，综合比较与评价。</w:t>
      </w:r>
    </w:p>
    <w:p w14:paraId="2EB70C98">
      <w:pPr>
        <w:spacing w:line="480" w:lineRule="exact"/>
        <w:rPr>
          <w:rFonts w:ascii="宋体" w:hAnsi="宋体"/>
          <w:b/>
          <w:sz w:val="24"/>
        </w:rPr>
      </w:pPr>
      <w:r>
        <w:rPr>
          <w:rFonts w:hint="eastAsia" w:ascii="宋体" w:hAnsi="宋体"/>
          <w:b/>
          <w:sz w:val="24"/>
          <w:lang w:val="en-US" w:eastAsia="zh-CN"/>
        </w:rPr>
        <w:t>5</w:t>
      </w:r>
      <w:r>
        <w:rPr>
          <w:rFonts w:hint="eastAsia" w:ascii="宋体" w:hAnsi="宋体"/>
          <w:b/>
          <w:sz w:val="24"/>
        </w:rPr>
        <w:t>.2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14:paraId="6A89D32B">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14:paraId="03C2098C">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.4评标委员会将按比较与评价最优在先原则, 排列评价顺序, 根据在投标人须知前附表中确定的中标候选人数量推荐出中标候选人。</w:t>
      </w:r>
    </w:p>
    <w:p w14:paraId="71517005">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.5 在评标期间，若出现符合本须知规定的所有投标条件的投标人不足三家情形的，本次招标程序终止，除采购任务取消情形外，招标采购单位将依法重新组织招标或者采取其他方式采购。</w:t>
      </w:r>
    </w:p>
    <w:p w14:paraId="491FDF22">
      <w:pPr>
        <w:spacing w:line="480" w:lineRule="exact"/>
        <w:rPr>
          <w:rFonts w:ascii="宋体" w:hAnsi="宋体" w:cs="Tahoma"/>
          <w:b/>
          <w:kern w:val="0"/>
          <w:sz w:val="24"/>
        </w:rPr>
      </w:pPr>
      <w:r>
        <w:rPr>
          <w:rFonts w:hint="eastAsia" w:ascii="宋体" w:hAnsi="宋体" w:cs="Tahoma"/>
          <w:b/>
          <w:kern w:val="0"/>
          <w:sz w:val="24"/>
          <w:lang w:val="en-US" w:eastAsia="zh-CN"/>
        </w:rPr>
        <w:t>5</w:t>
      </w:r>
      <w:r>
        <w:rPr>
          <w:rFonts w:hint="eastAsia" w:ascii="宋体" w:hAnsi="宋体" w:cs="Tahoma"/>
          <w:b/>
          <w:kern w:val="0"/>
          <w:sz w:val="24"/>
        </w:rPr>
        <w:t>.6</w:t>
      </w:r>
      <w:r>
        <w:rPr>
          <w:rFonts w:ascii="宋体" w:hAnsi="宋体" w:cs="Tahoma"/>
          <w:b/>
          <w:kern w:val="0"/>
          <w:sz w:val="24"/>
        </w:rPr>
        <w:t>评标委员会在评标过程中发现</w:t>
      </w:r>
      <w:r>
        <w:rPr>
          <w:rFonts w:hint="eastAsia" w:ascii="宋体" w:hAnsi="宋体" w:cs="Tahoma"/>
          <w:b/>
          <w:kern w:val="0"/>
          <w:sz w:val="24"/>
        </w:rPr>
        <w:t>投标人</w:t>
      </w:r>
      <w:r>
        <w:rPr>
          <w:rFonts w:ascii="宋体" w:hAnsi="宋体" w:cs="Tahoma"/>
          <w:b/>
          <w:kern w:val="0"/>
          <w:sz w:val="24"/>
        </w:rPr>
        <w:t>存在下列情形之一的，可认定其有串通投标行为，并做出其投标无效的决定：</w:t>
      </w:r>
    </w:p>
    <w:p w14:paraId="1A8C661C">
      <w:pPr>
        <w:widowControl/>
        <w:snapToGrid w:val="0"/>
        <w:spacing w:line="480" w:lineRule="exact"/>
        <w:jc w:val="left"/>
        <w:rPr>
          <w:rFonts w:ascii="宋体" w:hAnsi="宋体" w:cs="Tahoma"/>
          <w:b/>
          <w:kern w:val="0"/>
          <w:sz w:val="24"/>
        </w:rPr>
      </w:pPr>
      <w:r>
        <w:rPr>
          <w:rFonts w:hint="eastAsia" w:ascii="宋体" w:hAnsi="宋体" w:cs="Tahoma"/>
          <w:b/>
          <w:kern w:val="0"/>
          <w:sz w:val="24"/>
        </w:rPr>
        <w:t>①</w:t>
      </w:r>
      <w:r>
        <w:rPr>
          <w:rFonts w:ascii="宋体" w:hAnsi="宋体" w:cs="Tahoma"/>
          <w:b/>
          <w:kern w:val="0"/>
          <w:sz w:val="24"/>
        </w:rPr>
        <w:t>不同</w:t>
      </w:r>
      <w:r>
        <w:rPr>
          <w:rFonts w:hint="eastAsia" w:ascii="宋体" w:hAnsi="宋体" w:cs="Tahoma"/>
          <w:b/>
          <w:kern w:val="0"/>
          <w:sz w:val="24"/>
        </w:rPr>
        <w:t>投标人</w:t>
      </w:r>
      <w:r>
        <w:rPr>
          <w:rFonts w:ascii="宋体" w:hAnsi="宋体" w:cs="Tahoma"/>
          <w:b/>
          <w:kern w:val="0"/>
          <w:sz w:val="24"/>
        </w:rPr>
        <w:t>的投标文件错、漏之处一致或雷同，且不能合理解释的；</w:t>
      </w:r>
    </w:p>
    <w:p w14:paraId="0D340A6F">
      <w:pPr>
        <w:widowControl/>
        <w:snapToGrid w:val="0"/>
        <w:spacing w:line="480" w:lineRule="exact"/>
        <w:jc w:val="left"/>
        <w:rPr>
          <w:rFonts w:ascii="宋体" w:hAnsi="宋体" w:cs="Tahoma"/>
          <w:b/>
          <w:kern w:val="0"/>
          <w:sz w:val="24"/>
        </w:rPr>
      </w:pPr>
      <w:r>
        <w:rPr>
          <w:rFonts w:hint="eastAsia" w:ascii="宋体" w:hAnsi="宋体" w:cs="Tahoma"/>
          <w:b/>
          <w:kern w:val="0"/>
          <w:sz w:val="24"/>
        </w:rPr>
        <w:t>②</w:t>
      </w:r>
      <w:r>
        <w:rPr>
          <w:rFonts w:ascii="宋体" w:hAnsi="宋体" w:cs="Tahoma"/>
          <w:b/>
          <w:kern w:val="0"/>
          <w:sz w:val="24"/>
        </w:rPr>
        <w:t>不同的</w:t>
      </w:r>
      <w:r>
        <w:rPr>
          <w:rFonts w:hint="eastAsia" w:ascii="宋体" w:hAnsi="宋体" w:cs="Tahoma"/>
          <w:b/>
          <w:kern w:val="0"/>
          <w:sz w:val="24"/>
        </w:rPr>
        <w:t>投标人</w:t>
      </w:r>
      <w:r>
        <w:rPr>
          <w:rFonts w:ascii="宋体" w:hAnsi="宋体" w:cs="Tahoma"/>
          <w:b/>
          <w:kern w:val="0"/>
          <w:sz w:val="24"/>
        </w:rPr>
        <w:t>的法定代表人</w:t>
      </w:r>
      <w:r>
        <w:rPr>
          <w:rFonts w:hint="eastAsia" w:ascii="宋体" w:hAnsi="宋体" w:cs="Tahoma"/>
          <w:b/>
          <w:kern w:val="0"/>
          <w:sz w:val="24"/>
        </w:rPr>
        <w:t>或单位负责人或授权代表</w:t>
      </w:r>
      <w:r>
        <w:rPr>
          <w:rFonts w:ascii="宋体" w:hAnsi="宋体" w:cs="Tahoma"/>
          <w:b/>
          <w:kern w:val="0"/>
          <w:sz w:val="24"/>
        </w:rPr>
        <w:t>等由同一个单位缴纳社会保险的；</w:t>
      </w:r>
    </w:p>
    <w:p w14:paraId="53461C5C">
      <w:pPr>
        <w:widowControl/>
        <w:snapToGrid w:val="0"/>
        <w:spacing w:line="480" w:lineRule="exact"/>
        <w:jc w:val="left"/>
        <w:rPr>
          <w:rFonts w:ascii="宋体" w:hAnsi="宋体" w:cs="Tahoma"/>
          <w:b/>
          <w:kern w:val="0"/>
          <w:sz w:val="24"/>
        </w:rPr>
      </w:pPr>
      <w:r>
        <w:rPr>
          <w:rFonts w:hint="eastAsia" w:ascii="宋体" w:hAnsi="宋体" w:cs="Tahoma"/>
          <w:b/>
          <w:kern w:val="0"/>
          <w:sz w:val="24"/>
        </w:rPr>
        <w:t>③</w:t>
      </w:r>
      <w:r>
        <w:rPr>
          <w:rFonts w:ascii="宋体" w:hAnsi="宋体" w:cs="Tahoma"/>
          <w:b/>
          <w:kern w:val="0"/>
          <w:sz w:val="24"/>
        </w:rPr>
        <w:t>由同一人或分别由几个有利害关系人携带两个以上（含两个）</w:t>
      </w:r>
      <w:r>
        <w:rPr>
          <w:rFonts w:hint="eastAsia" w:ascii="宋体" w:hAnsi="宋体" w:cs="Tahoma"/>
          <w:b/>
          <w:kern w:val="0"/>
          <w:sz w:val="24"/>
        </w:rPr>
        <w:t>投标人</w:t>
      </w:r>
      <w:r>
        <w:rPr>
          <w:rFonts w:ascii="宋体" w:hAnsi="宋体" w:cs="Tahoma"/>
          <w:b/>
          <w:kern w:val="0"/>
          <w:sz w:val="24"/>
        </w:rPr>
        <w:t>的企业资料参与资格审查、领取招标资料，或代表两个以上（含两个）</w:t>
      </w:r>
      <w:r>
        <w:rPr>
          <w:rFonts w:hint="eastAsia" w:ascii="宋体" w:hAnsi="宋体" w:cs="Tahoma"/>
          <w:b/>
          <w:kern w:val="0"/>
          <w:sz w:val="24"/>
        </w:rPr>
        <w:t>投标人</w:t>
      </w:r>
      <w:r>
        <w:rPr>
          <w:rFonts w:ascii="宋体" w:hAnsi="宋体" w:cs="Tahoma"/>
          <w:b/>
          <w:kern w:val="0"/>
          <w:sz w:val="24"/>
        </w:rPr>
        <w:t>参加招标答疑会、交纳或退还投标保证金、开标的；</w:t>
      </w:r>
    </w:p>
    <w:p w14:paraId="203DED43">
      <w:pPr>
        <w:widowControl/>
        <w:snapToGrid w:val="0"/>
        <w:spacing w:line="480" w:lineRule="exact"/>
        <w:jc w:val="left"/>
        <w:rPr>
          <w:rFonts w:ascii="宋体" w:hAnsi="宋体" w:cs="Tahoma"/>
          <w:b/>
          <w:kern w:val="0"/>
          <w:sz w:val="24"/>
        </w:rPr>
      </w:pPr>
      <w:r>
        <w:rPr>
          <w:rFonts w:hint="eastAsia" w:ascii="宋体" w:hAnsi="宋体" w:cs="Tahoma"/>
          <w:b/>
          <w:kern w:val="0"/>
          <w:sz w:val="24"/>
        </w:rPr>
        <w:t>④</w:t>
      </w:r>
      <w:r>
        <w:rPr>
          <w:rFonts w:ascii="宋体" w:hAnsi="宋体" w:cs="Tahoma"/>
          <w:b/>
          <w:kern w:val="0"/>
          <w:sz w:val="24"/>
        </w:rPr>
        <w:t>有关法律、法规或规章规定的其他串通投标行为。</w:t>
      </w:r>
    </w:p>
    <w:p w14:paraId="11758B63">
      <w:pPr>
        <w:spacing w:line="480" w:lineRule="exact"/>
        <w:jc w:val="left"/>
        <w:rPr>
          <w:rFonts w:ascii="宋体" w:hAnsi="宋体"/>
          <w:sz w:val="24"/>
        </w:rPr>
      </w:pPr>
      <w:r>
        <w:rPr>
          <w:rFonts w:hint="eastAsia" w:ascii="宋体" w:hAnsi="宋体"/>
          <w:sz w:val="24"/>
          <w:lang w:val="en-US" w:eastAsia="zh-CN"/>
        </w:rPr>
        <w:t>5</w:t>
      </w:r>
      <w:r>
        <w:rPr>
          <w:rFonts w:hint="eastAsia" w:ascii="宋体" w:hAnsi="宋体"/>
          <w:sz w:val="24"/>
        </w:rPr>
        <w:t>.7</w:t>
      </w:r>
      <w:r>
        <w:rPr>
          <w:rFonts w:hint="eastAsia" w:ascii="宋体" w:hAnsi="宋体" w:cs="宋体"/>
          <w:kern w:val="0"/>
          <w:sz w:val="24"/>
        </w:rPr>
        <w:t xml:space="preserve"> </w:t>
      </w:r>
      <w:r>
        <w:rPr>
          <w:rFonts w:hint="eastAsia" w:ascii="宋体" w:hAnsi="宋体"/>
          <w:sz w:val="24"/>
        </w:rPr>
        <w:t>其他要求事项：招标人、招标代理机构不得向评标委员会的评审评标委员会作倾向性、误导性的解释或者说明。评标委员会成员应当按照客观、公正、审慎的原则，根据招标文件规定的评审程序、评审方法和评审标准进行独立评审。招标文件内容违反国家有关强制性规定的，评标委员会应当停止评审并向招标人或者招标代理机构说明情况。</w:t>
      </w:r>
    </w:p>
    <w:p w14:paraId="243F7973">
      <w:pPr>
        <w:spacing w:line="480" w:lineRule="exact"/>
        <w:ind w:firstLine="480"/>
        <w:jc w:val="left"/>
        <w:rPr>
          <w:rFonts w:ascii="宋体" w:hAnsi="宋体"/>
          <w:sz w:val="24"/>
        </w:rPr>
      </w:pPr>
      <w:r>
        <w:rPr>
          <w:rFonts w:hint="eastAsia" w:ascii="宋体" w:hAnsi="宋体"/>
          <w:sz w:val="24"/>
        </w:rPr>
        <w:t>评委对需要共同认定的事项存在争议的，应按照少数服从多数的原则进行认定。持不同意见的评委应在评标报告上签署不同意见及理由，否则视为同意评标报告。</w:t>
      </w:r>
    </w:p>
    <w:p w14:paraId="5D30F58B">
      <w:pPr>
        <w:spacing w:line="480" w:lineRule="exact"/>
        <w:ind w:firstLine="480"/>
        <w:jc w:val="left"/>
        <w:rPr>
          <w:rFonts w:hint="eastAsia" w:ascii="宋体" w:hAnsi="宋体"/>
          <w:sz w:val="24"/>
        </w:rPr>
      </w:pPr>
      <w:r>
        <w:rPr>
          <w:rFonts w:hint="eastAsia" w:ascii="宋体" w:hAnsi="宋体"/>
          <w:sz w:val="24"/>
        </w:rPr>
        <w:t>评标委员会成员应当在评审报告上签字，对自己的评审意见承担法律责任。对评审报告有异议的，应当在评审报告上签署不同意见，并说明理由，否则视为同意评审报告。</w:t>
      </w:r>
    </w:p>
    <w:p w14:paraId="19FB13AB">
      <w:pPr>
        <w:bidi w:val="0"/>
        <w:rPr>
          <w:rFonts w:hint="eastAsia" w:eastAsia="宋体"/>
          <w:lang w:val="en-US" w:eastAsia="zh-CN"/>
        </w:rPr>
      </w:pPr>
    </w:p>
    <w:p w14:paraId="4522A66D">
      <w:pPr>
        <w:numPr>
          <w:ilvl w:val="0"/>
          <w:numId w:val="5"/>
        </w:numPr>
        <w:spacing w:line="360" w:lineRule="auto"/>
        <w:jc w:val="center"/>
        <w:outlineLvl w:val="1"/>
        <w:rPr>
          <w:rFonts w:hint="eastAsia" w:ascii="宋体" w:hAnsi="宋体"/>
          <w:b/>
          <w:sz w:val="36"/>
          <w:szCs w:val="36"/>
          <w:lang w:val="en-US" w:eastAsia="zh-CN"/>
        </w:rPr>
      </w:pPr>
      <w:r>
        <w:rPr>
          <w:rFonts w:hint="eastAsia" w:ascii="宋体" w:hAnsi="宋体"/>
          <w:b/>
          <w:sz w:val="36"/>
          <w:szCs w:val="36"/>
          <w:lang w:val="en-US" w:eastAsia="zh-CN"/>
        </w:rPr>
        <w:t>评标标准和方法</w:t>
      </w:r>
    </w:p>
    <w:p w14:paraId="4AC85971">
      <w:pPr>
        <w:spacing w:line="360" w:lineRule="auto"/>
        <w:ind w:firstLine="480" w:firstLineChars="200"/>
        <w:rPr>
          <w:rFonts w:ascii="宋体" w:hAnsi="宋体"/>
          <w:sz w:val="24"/>
        </w:rPr>
      </w:pPr>
      <w:bookmarkStart w:id="47" w:name="_Toc27852"/>
      <w:r>
        <w:rPr>
          <w:rFonts w:hint="eastAsia" w:ascii="宋体" w:hAnsi="宋体"/>
          <w:sz w:val="24"/>
        </w:rPr>
        <w:t>第一条  评标标准：</w:t>
      </w:r>
      <w:bookmarkEnd w:id="47"/>
      <w:r>
        <w:rPr>
          <w:rFonts w:hint="eastAsia" w:ascii="宋体" w:hAnsi="宋体"/>
          <w:sz w:val="24"/>
        </w:rPr>
        <w:t>评标工作按照《中华人民共和国招标投标法》及《中华人民共和国招标投标法实施条例》的有关规定执行，遵循“公开、公平、公正”和“诚实信用”的原则。评标委员会将按照招标文件规定对各投标人的投标文件采用相同的程序和标准进行评价和比较，评议过程严格按照招标文件的要求和条件进行。</w:t>
      </w:r>
    </w:p>
    <w:p w14:paraId="704D2FD0">
      <w:pPr>
        <w:spacing w:line="360" w:lineRule="auto"/>
        <w:ind w:firstLine="472" w:firstLineChars="196"/>
        <w:rPr>
          <w:rFonts w:ascii="宋体"/>
          <w:spacing w:val="-2"/>
          <w:sz w:val="24"/>
          <w:highlight w:val="none"/>
        </w:rPr>
      </w:pPr>
      <w:r>
        <w:rPr>
          <w:rFonts w:hint="eastAsia" w:ascii="宋体" w:hAnsi="宋体"/>
          <w:b/>
          <w:sz w:val="24"/>
          <w:highlight w:val="none"/>
        </w:rPr>
        <w:t xml:space="preserve">第二条  </w:t>
      </w:r>
      <w:r>
        <w:rPr>
          <w:rFonts w:hint="eastAsia" w:ascii="宋体"/>
          <w:b/>
          <w:sz w:val="24"/>
          <w:highlight w:val="none"/>
        </w:rPr>
        <w:t>本项目评标采用综合评分法。</w:t>
      </w:r>
    </w:p>
    <w:p w14:paraId="5772E619">
      <w:pPr>
        <w:spacing w:line="360" w:lineRule="auto"/>
        <w:ind w:firstLine="538" w:firstLineChars="228"/>
        <w:rPr>
          <w:rFonts w:ascii="宋体"/>
          <w:spacing w:val="-2"/>
          <w:sz w:val="24"/>
          <w:highlight w:val="none"/>
        </w:rPr>
      </w:pPr>
      <w:r>
        <w:rPr>
          <w:rFonts w:hint="eastAsia" w:ascii="宋体"/>
          <w:spacing w:val="-2"/>
          <w:sz w:val="24"/>
          <w:highlight w:val="none"/>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14:paraId="73E8BB4A">
      <w:pPr>
        <w:spacing w:line="360" w:lineRule="auto"/>
        <w:ind w:firstLine="538" w:firstLineChars="228"/>
        <w:rPr>
          <w:b/>
          <w:bCs/>
          <w:sz w:val="24"/>
          <w:highlight w:val="none"/>
        </w:rPr>
      </w:pPr>
      <w:r>
        <w:rPr>
          <w:rFonts w:hint="eastAsia" w:ascii="宋体"/>
          <w:spacing w:val="-2"/>
          <w:sz w:val="24"/>
          <w:highlight w:val="none"/>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14:paraId="147289E8">
      <w:pPr>
        <w:spacing w:line="360" w:lineRule="auto"/>
        <w:ind w:firstLine="538" w:firstLineChars="228"/>
        <w:rPr>
          <w:rFonts w:hint="eastAsia" w:ascii="宋体"/>
          <w:spacing w:val="-2"/>
          <w:sz w:val="24"/>
        </w:rPr>
      </w:pPr>
      <w:r>
        <w:rPr>
          <w:rFonts w:hint="eastAsia" w:ascii="宋体"/>
          <w:spacing w:val="-2"/>
          <w:sz w:val="24"/>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同的，则按技术部分得分从高到低顺序进行排列，技术部分得分高的投标人将被排序在前。若综合得分、投标报价和技术部分得分均相同的，则由评标委员会通过随机抽取确定中标候选人。</w:t>
      </w:r>
    </w:p>
    <w:p w14:paraId="68D9B2F7">
      <w:pPr>
        <w:spacing w:line="360" w:lineRule="auto"/>
        <w:rPr>
          <w:rFonts w:ascii="宋体" w:hAnsi="宋体"/>
          <w:b/>
          <w:bCs/>
          <w:spacing w:val="-2"/>
          <w:sz w:val="24"/>
          <w:shd w:val="pct10" w:color="auto" w:fill="FFFFFF"/>
        </w:rPr>
      </w:pPr>
      <w:r>
        <w:rPr>
          <w:rFonts w:hint="eastAsia" w:ascii="宋体" w:hAnsi="宋体" w:cs="宋体"/>
          <w:b/>
          <w:bCs/>
          <w:sz w:val="24"/>
        </w:rPr>
        <w:t xml:space="preserve">合同包1各评分项分值具体如下： </w:t>
      </w:r>
    </w:p>
    <w:p w14:paraId="38CDD229">
      <w:pPr>
        <w:spacing w:line="360" w:lineRule="auto"/>
        <w:rPr>
          <w:rFonts w:hint="eastAsia" w:ascii="宋体" w:hAnsi="宋体" w:eastAsia="宋体" w:cs="宋体"/>
          <w:b/>
          <w:bCs/>
          <w:sz w:val="24"/>
        </w:rPr>
      </w:pPr>
      <w:r>
        <w:rPr>
          <w:rFonts w:hint="eastAsia" w:ascii="宋体" w:hAnsi="宋体" w:eastAsia="宋体" w:cs="宋体"/>
          <w:b/>
          <w:bCs/>
          <w:sz w:val="24"/>
        </w:rPr>
        <w:t>A：技术部分评分           满分75分</w:t>
      </w:r>
    </w:p>
    <w:p w14:paraId="7613D83A">
      <w:pPr>
        <w:spacing w:line="360" w:lineRule="auto"/>
        <w:rPr>
          <w:rFonts w:hint="eastAsia" w:ascii="宋体" w:hAnsi="宋体" w:eastAsia="宋体" w:cs="宋体"/>
          <w:b/>
          <w:bCs/>
          <w:sz w:val="24"/>
        </w:rPr>
      </w:pPr>
      <w:r>
        <w:rPr>
          <w:rFonts w:hint="eastAsia" w:ascii="宋体" w:hAnsi="宋体" w:eastAsia="宋体" w:cs="宋体"/>
          <w:b/>
          <w:bCs/>
          <w:sz w:val="24"/>
        </w:rPr>
        <w:t>B：商务部分评分           满分15分</w:t>
      </w:r>
    </w:p>
    <w:p w14:paraId="34CA91F0">
      <w:pPr>
        <w:spacing w:line="360" w:lineRule="auto"/>
        <w:rPr>
          <w:rFonts w:hint="eastAsia" w:ascii="宋体" w:hAnsi="宋体" w:eastAsia="宋体" w:cs="宋体"/>
          <w:b/>
          <w:bCs/>
          <w:sz w:val="24"/>
        </w:rPr>
      </w:pPr>
      <w:r>
        <w:rPr>
          <w:rFonts w:hint="eastAsia" w:ascii="宋体" w:hAnsi="宋体" w:eastAsia="宋体" w:cs="宋体"/>
          <w:b/>
          <w:bCs/>
          <w:sz w:val="24"/>
        </w:rPr>
        <w:t>C：报价部分评分           满分10分</w:t>
      </w:r>
    </w:p>
    <w:p w14:paraId="3EF156E9">
      <w:pPr>
        <w:spacing w:line="360" w:lineRule="auto"/>
        <w:rPr>
          <w:rFonts w:hint="eastAsia" w:ascii="宋体" w:hAnsi="宋体" w:eastAsia="宋体" w:cs="宋体"/>
          <w:b/>
          <w:bCs/>
          <w:sz w:val="24"/>
        </w:rPr>
      </w:pPr>
      <w:r>
        <w:rPr>
          <w:rFonts w:hint="eastAsia" w:ascii="宋体" w:hAnsi="宋体" w:eastAsia="宋体" w:cs="宋体"/>
          <w:b/>
          <w:bCs/>
          <w:sz w:val="24"/>
        </w:rPr>
        <w:t>各评委评分A、B部分分别取算术平均值为最终得分，并取小数点后的2位数</w:t>
      </w:r>
      <w:r>
        <w:rPr>
          <w:rFonts w:hint="eastAsia" w:ascii="宋体" w:hAnsi="宋体" w:cs="宋体"/>
          <w:b/>
          <w:bCs/>
          <w:sz w:val="24"/>
          <w:lang w:eastAsia="zh-CN"/>
        </w:rPr>
        <w:t>，第</w:t>
      </w:r>
      <w:r>
        <w:rPr>
          <w:rFonts w:hint="eastAsia" w:ascii="宋体" w:hAnsi="宋体" w:cs="宋体"/>
          <w:b/>
          <w:bCs/>
          <w:sz w:val="24"/>
          <w:lang w:val="en-US" w:eastAsia="zh-CN"/>
        </w:rPr>
        <w:t>3位四舍五入</w:t>
      </w:r>
      <w:r>
        <w:rPr>
          <w:rFonts w:hint="eastAsia" w:ascii="宋体" w:hAnsi="宋体" w:eastAsia="宋体" w:cs="宋体"/>
          <w:b/>
          <w:bCs/>
          <w:sz w:val="24"/>
        </w:rPr>
        <w:t>。</w:t>
      </w:r>
    </w:p>
    <w:p w14:paraId="278DC2D6">
      <w:pPr>
        <w:spacing w:line="360" w:lineRule="auto"/>
        <w:rPr>
          <w:rFonts w:hint="eastAsia" w:ascii="宋体" w:hAnsi="宋体" w:eastAsia="宋体" w:cs="宋体"/>
          <w:b/>
          <w:bCs/>
          <w:sz w:val="24"/>
        </w:rPr>
      </w:pPr>
      <w:r>
        <w:rPr>
          <w:rFonts w:hint="eastAsia" w:ascii="宋体" w:hAnsi="宋体" w:eastAsia="宋体" w:cs="宋体"/>
          <w:b/>
          <w:bCs/>
          <w:sz w:val="24"/>
        </w:rPr>
        <w:t>综合得分为：A+B+C</w:t>
      </w:r>
    </w:p>
    <w:tbl>
      <w:tblPr>
        <w:tblStyle w:val="14"/>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859"/>
        <w:gridCol w:w="7096"/>
      </w:tblGrid>
      <w:tr w14:paraId="0CF9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14:paraId="50B779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sz w:val="24"/>
              </w:rPr>
            </w:pPr>
            <w:r>
              <w:rPr>
                <w:rFonts w:hint="eastAsia" w:ascii="宋体" w:hAnsi="宋体"/>
                <w:b/>
                <w:bCs/>
                <w:sz w:val="24"/>
              </w:rPr>
              <w:t>序号</w:t>
            </w:r>
          </w:p>
        </w:tc>
        <w:tc>
          <w:tcPr>
            <w:tcW w:w="1620" w:type="dxa"/>
            <w:vAlign w:val="center"/>
          </w:tcPr>
          <w:p w14:paraId="7AD12A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sz w:val="24"/>
              </w:rPr>
            </w:pPr>
            <w:r>
              <w:rPr>
                <w:rFonts w:hint="eastAsia" w:ascii="宋体" w:hAnsi="宋体"/>
                <w:b/>
                <w:bCs/>
                <w:sz w:val="24"/>
              </w:rPr>
              <w:t>评标项目</w:t>
            </w:r>
          </w:p>
        </w:tc>
        <w:tc>
          <w:tcPr>
            <w:tcW w:w="859" w:type="dxa"/>
            <w:vAlign w:val="center"/>
          </w:tcPr>
          <w:p w14:paraId="6B5DF6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sz w:val="24"/>
              </w:rPr>
            </w:pPr>
            <w:r>
              <w:rPr>
                <w:rFonts w:hint="eastAsia" w:ascii="宋体" w:hAnsi="宋体"/>
                <w:b/>
                <w:bCs/>
                <w:sz w:val="24"/>
              </w:rPr>
              <w:t>评标权重</w:t>
            </w:r>
          </w:p>
        </w:tc>
        <w:tc>
          <w:tcPr>
            <w:tcW w:w="7096" w:type="dxa"/>
            <w:vAlign w:val="center"/>
          </w:tcPr>
          <w:p w14:paraId="32CAF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sz w:val="24"/>
              </w:rPr>
            </w:pPr>
            <w:r>
              <w:rPr>
                <w:rFonts w:hint="eastAsia" w:ascii="宋体" w:hAnsi="宋体"/>
                <w:b/>
                <w:bCs/>
                <w:sz w:val="24"/>
              </w:rPr>
              <w:t>评价标准及方法</w:t>
            </w:r>
          </w:p>
        </w:tc>
      </w:tr>
      <w:tr w14:paraId="35EE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295" w:type="dxa"/>
            <w:gridSpan w:val="4"/>
            <w:vAlign w:val="center"/>
          </w:tcPr>
          <w:p w14:paraId="6E2FA03D">
            <w:pPr>
              <w:spacing w:line="24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pacing w:val="-2"/>
                <w:sz w:val="24"/>
                <w:shd w:val="clear" w:color="auto" w:fill="auto"/>
              </w:rPr>
              <w:t>第一阶段技术、商务部分评标：</w:t>
            </w:r>
          </w:p>
        </w:tc>
      </w:tr>
      <w:tr w14:paraId="3162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20" w:type="dxa"/>
            <w:vAlign w:val="center"/>
          </w:tcPr>
          <w:p w14:paraId="1407B3C9">
            <w:pPr>
              <w:spacing w:line="24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w:t>
            </w:r>
          </w:p>
        </w:tc>
        <w:tc>
          <w:tcPr>
            <w:tcW w:w="9575" w:type="dxa"/>
            <w:gridSpan w:val="3"/>
            <w:vAlign w:val="center"/>
          </w:tcPr>
          <w:p w14:paraId="4679DEE0">
            <w:pPr>
              <w:spacing w:line="24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highlight w:val="none"/>
              </w:rPr>
              <w:t>技术部分评分（A满</w:t>
            </w:r>
            <w:r>
              <w:rPr>
                <w:rFonts w:hint="eastAsia" w:asciiTheme="minorEastAsia" w:hAnsiTheme="minorEastAsia" w:eastAsiaTheme="minorEastAsia" w:cstheme="minorEastAsia"/>
                <w:b/>
                <w:bCs/>
                <w:color w:val="auto"/>
                <w:sz w:val="24"/>
                <w:highlight w:val="none"/>
              </w:rPr>
              <w:t>分75</w:t>
            </w:r>
            <w:r>
              <w:rPr>
                <w:rFonts w:hint="eastAsia" w:asciiTheme="minorEastAsia" w:hAnsiTheme="minorEastAsia" w:eastAsiaTheme="minorEastAsia" w:cstheme="minorEastAsia"/>
                <w:b/>
                <w:bCs/>
                <w:sz w:val="24"/>
                <w:highlight w:val="none"/>
              </w:rPr>
              <w:t>分）</w:t>
            </w:r>
          </w:p>
        </w:tc>
      </w:tr>
      <w:tr w14:paraId="0A9A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5CA1D4A1">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w:t>
            </w:r>
          </w:p>
        </w:tc>
        <w:tc>
          <w:tcPr>
            <w:tcW w:w="1620" w:type="dxa"/>
            <w:vAlign w:val="center"/>
          </w:tcPr>
          <w:p w14:paraId="219E4125">
            <w:pPr>
              <w:widowControl/>
              <w:spacing w:line="360" w:lineRule="exact"/>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投标响应情况</w:t>
            </w:r>
          </w:p>
        </w:tc>
        <w:tc>
          <w:tcPr>
            <w:tcW w:w="859" w:type="dxa"/>
            <w:vAlign w:val="center"/>
          </w:tcPr>
          <w:p w14:paraId="46D3611B">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30分</w:t>
            </w:r>
          </w:p>
        </w:tc>
        <w:tc>
          <w:tcPr>
            <w:tcW w:w="7096" w:type="dxa"/>
            <w:vAlign w:val="center"/>
          </w:tcPr>
          <w:p w14:paraId="13ECFC3B">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根据投标人对招标文件第三章招标内容及要求“</w:t>
            </w:r>
            <w:r>
              <w:rPr>
                <w:rFonts w:hint="eastAsia" w:asciiTheme="minorEastAsia" w:hAnsiTheme="minorEastAsia" w:eastAsiaTheme="minorEastAsia" w:cstheme="minorEastAsia"/>
                <w:sz w:val="24"/>
                <w:szCs w:val="24"/>
                <w:highlight w:val="none"/>
                <w:shd w:val="clear" w:fill="FFFFFF" w:themeFill="background1"/>
              </w:rPr>
              <w:t>二、</w:t>
            </w:r>
            <w:r>
              <w:rPr>
                <w:rFonts w:hint="eastAsia" w:asciiTheme="minorEastAsia" w:hAnsiTheme="minorEastAsia" w:eastAsiaTheme="minorEastAsia" w:cstheme="minorEastAsia"/>
                <w:b/>
                <w:bCs/>
                <w:sz w:val="24"/>
                <w:szCs w:val="24"/>
                <w:highlight w:val="none"/>
                <w:shd w:val="clear" w:fill="FFFFFF" w:themeFill="background1"/>
              </w:rPr>
              <w:t>技术和服务要求</w:t>
            </w:r>
            <w:r>
              <w:rPr>
                <w:rFonts w:hint="eastAsia" w:asciiTheme="minorEastAsia" w:hAnsiTheme="minorEastAsia" w:eastAsiaTheme="minorEastAsia" w:cstheme="minorEastAsia"/>
                <w:sz w:val="24"/>
                <w:szCs w:val="24"/>
                <w:highlight w:val="none"/>
                <w:shd w:val="clear" w:fill="FFFFFF" w:themeFill="background1"/>
              </w:rPr>
              <w:t>”</w:t>
            </w:r>
            <w:r>
              <w:rPr>
                <w:rFonts w:hint="eastAsia" w:asciiTheme="minorEastAsia" w:hAnsiTheme="minorEastAsia" w:eastAsiaTheme="minorEastAsia" w:cstheme="minorEastAsia"/>
                <w:sz w:val="24"/>
                <w:szCs w:val="24"/>
              </w:rPr>
              <w:t>中各项要求的逐项响应情况，并结合相关佐证材料（如有）由评委</w:t>
            </w:r>
            <w:r>
              <w:rPr>
                <w:rFonts w:hint="eastAsia" w:asciiTheme="minorEastAsia" w:hAnsiTheme="minorEastAsia" w:eastAsiaTheme="minorEastAsia" w:cstheme="minorEastAsia"/>
                <w:sz w:val="24"/>
                <w:szCs w:val="24"/>
                <w:lang w:eastAsia="zh-CN"/>
              </w:rPr>
              <w:t>按以下标准进行评审</w:t>
            </w:r>
            <w:r>
              <w:rPr>
                <w:rFonts w:hint="eastAsia" w:asciiTheme="minorEastAsia" w:hAnsiTheme="minorEastAsia" w:eastAsiaTheme="minorEastAsia" w:cstheme="minorEastAsia"/>
                <w:sz w:val="24"/>
                <w:szCs w:val="24"/>
              </w:rPr>
              <w:t>：</w:t>
            </w:r>
          </w:p>
          <w:p w14:paraId="55A9EC62">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以</w:t>
            </w:r>
            <w:r>
              <w:rPr>
                <w:rFonts w:hint="eastAsia" w:asciiTheme="minorEastAsia" w:hAnsiTheme="minorEastAsia" w:eastAsiaTheme="minorEastAsia" w:cstheme="minorEastAsia"/>
                <w:sz w:val="24"/>
                <w:szCs w:val="24"/>
              </w:rPr>
              <w:t>每一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▲评审项</w:t>
            </w:r>
            <w:r>
              <w:rPr>
                <w:rFonts w:hint="eastAsia" w:asciiTheme="minorEastAsia" w:hAnsiTheme="minorEastAsia" w:eastAsiaTheme="minorEastAsia" w:cstheme="minorEastAsia"/>
                <w:sz w:val="24"/>
                <w:szCs w:val="24"/>
                <w:lang w:eastAsia="zh-CN"/>
              </w:rPr>
              <w:t>”作</w:t>
            </w:r>
            <w:r>
              <w:rPr>
                <w:rFonts w:hint="eastAsia" w:asciiTheme="minorEastAsia" w:hAnsiTheme="minorEastAsia" w:eastAsiaTheme="minorEastAsia" w:cstheme="minorEastAsia"/>
                <w:sz w:val="24"/>
                <w:szCs w:val="24"/>
              </w:rPr>
              <w:t>为一项计分条款，完全响应并结合相关佐证材料（如有）的获得该项对应分值</w:t>
            </w:r>
            <w:r>
              <w:rPr>
                <w:rFonts w:hint="eastAsia" w:asciiTheme="minorEastAsia" w:hAnsiTheme="minorEastAsia" w:eastAsiaTheme="minorEastAsia" w:cstheme="minorEastAsia"/>
                <w:sz w:val="24"/>
                <w:szCs w:val="24"/>
                <w:lang w:eastAsia="zh-CN"/>
              </w:rPr>
              <w:t>，否则不得分，</w:t>
            </w:r>
            <w:r>
              <w:rPr>
                <w:rFonts w:hint="eastAsia" w:asciiTheme="minorEastAsia" w:hAnsiTheme="minorEastAsia" w:eastAsiaTheme="minorEastAsia" w:cstheme="minorEastAsia"/>
                <w:sz w:val="24"/>
                <w:szCs w:val="24"/>
              </w:rPr>
              <w:t>全部响应的得</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w:t>
            </w:r>
          </w:p>
          <w:p w14:paraId="0A906106">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其余的条款</w:t>
            </w:r>
            <w:r>
              <w:rPr>
                <w:rFonts w:hint="eastAsia" w:asciiTheme="minorEastAsia" w:hAnsiTheme="minorEastAsia" w:eastAsiaTheme="minorEastAsia" w:cstheme="minorEastAsia"/>
                <w:sz w:val="24"/>
                <w:szCs w:val="24"/>
                <w:lang w:eastAsia="zh-CN"/>
              </w:rPr>
              <w:t>均</w:t>
            </w:r>
            <w:r>
              <w:rPr>
                <w:rFonts w:hint="eastAsia" w:asciiTheme="minorEastAsia" w:hAnsiTheme="minorEastAsia" w:eastAsiaTheme="minorEastAsia" w:cstheme="minorEastAsia"/>
                <w:sz w:val="24"/>
                <w:szCs w:val="24"/>
              </w:rPr>
              <w:t>为不允许负偏离的实质性条款，有负偏离的或未响应的视为无效投标。</w:t>
            </w:r>
          </w:p>
        </w:tc>
      </w:tr>
      <w:tr w14:paraId="67D8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14:paraId="1DA2C81F">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A2</w:t>
            </w:r>
          </w:p>
        </w:tc>
        <w:tc>
          <w:tcPr>
            <w:tcW w:w="1620" w:type="dxa"/>
            <w:vAlign w:val="center"/>
          </w:tcPr>
          <w:p w14:paraId="7E961FD6">
            <w:pPr>
              <w:widowControl/>
              <w:spacing w:line="360" w:lineRule="exact"/>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系统设计方案</w:t>
            </w:r>
          </w:p>
        </w:tc>
        <w:tc>
          <w:tcPr>
            <w:tcW w:w="859" w:type="dxa"/>
            <w:vAlign w:val="center"/>
          </w:tcPr>
          <w:p w14:paraId="046C80B9">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14:paraId="48A6D26E">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根据投标人</w:t>
            </w:r>
            <w:r>
              <w:rPr>
                <w:rFonts w:hint="eastAsia" w:asciiTheme="minorEastAsia" w:hAnsiTheme="minorEastAsia" w:eastAsiaTheme="minorEastAsia" w:cstheme="minorEastAsia"/>
                <w:color w:val="000000"/>
                <w:kern w:val="0"/>
                <w:sz w:val="24"/>
                <w:szCs w:val="24"/>
                <w:lang w:eastAsia="zh-CN" w:bidi="ar"/>
              </w:rPr>
              <w:t>针对本项目</w:t>
            </w:r>
            <w:r>
              <w:rPr>
                <w:rFonts w:hint="eastAsia" w:asciiTheme="minorEastAsia" w:hAnsiTheme="minorEastAsia" w:eastAsiaTheme="minorEastAsia" w:cstheme="minorEastAsia"/>
                <w:color w:val="000000"/>
                <w:kern w:val="0"/>
                <w:sz w:val="24"/>
                <w:szCs w:val="24"/>
                <w:lang w:bidi="ar"/>
              </w:rPr>
              <w:t>所提供的系统设计方案（包含但不限于对系统的建设思路、总体架构、</w:t>
            </w:r>
            <w:r>
              <w:rPr>
                <w:rFonts w:hint="eastAsia" w:asciiTheme="minorEastAsia" w:hAnsiTheme="minorEastAsia" w:eastAsiaTheme="minorEastAsia" w:cstheme="minorEastAsia"/>
                <w:color w:val="000000"/>
                <w:kern w:val="0"/>
                <w:sz w:val="24"/>
                <w:szCs w:val="24"/>
                <w:lang w:val="en-US" w:eastAsia="zh-CN" w:bidi="ar"/>
              </w:rPr>
              <w:t>建设内容、</w:t>
            </w:r>
            <w:r>
              <w:rPr>
                <w:rFonts w:hint="eastAsia" w:asciiTheme="minorEastAsia" w:hAnsiTheme="minorEastAsia" w:eastAsiaTheme="minorEastAsia" w:cstheme="minorEastAsia"/>
                <w:color w:val="000000"/>
                <w:kern w:val="0"/>
                <w:sz w:val="24"/>
                <w:szCs w:val="24"/>
                <w:lang w:bidi="ar"/>
              </w:rPr>
              <w:t>实现目标</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val="en-US" w:eastAsia="zh-CN" w:bidi="ar"/>
              </w:rPr>
              <w:t>需求理解</w:t>
            </w:r>
            <w:r>
              <w:rPr>
                <w:rFonts w:hint="eastAsia" w:asciiTheme="minorEastAsia" w:hAnsiTheme="minorEastAsia" w:eastAsiaTheme="minorEastAsia" w:cstheme="minorEastAsia"/>
                <w:color w:val="000000"/>
                <w:kern w:val="0"/>
                <w:sz w:val="24"/>
                <w:szCs w:val="24"/>
                <w:lang w:bidi="ar"/>
              </w:rPr>
              <w:t>等情况）</w:t>
            </w:r>
            <w:r>
              <w:rPr>
                <w:rFonts w:hint="eastAsia" w:asciiTheme="minorEastAsia" w:hAnsiTheme="minorEastAsia" w:eastAsiaTheme="minorEastAsia" w:cstheme="minorEastAsia"/>
                <w:color w:val="000000"/>
                <w:kern w:val="0"/>
                <w:sz w:val="24"/>
                <w:szCs w:val="24"/>
                <w:lang w:eastAsia="zh-CN" w:bidi="ar"/>
              </w:rPr>
              <w:t>，由评审专家进行评审：</w:t>
            </w:r>
          </w:p>
          <w:p w14:paraId="0A1DE2FD">
            <w:pPr>
              <w:widowControl/>
              <w:spacing w:line="360" w:lineRule="exact"/>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①方案要点齐全无缺漏项、内容与要点相符、每个要点均有展开详细的阐述且能够适用于本项目，</w:t>
            </w:r>
            <w:r>
              <w:rPr>
                <w:rFonts w:hint="eastAsia" w:asciiTheme="minorEastAsia" w:hAnsiTheme="minorEastAsia" w:eastAsiaTheme="minorEastAsia" w:cstheme="minorEastAsia"/>
                <w:color w:val="000000"/>
                <w:kern w:val="0"/>
                <w:sz w:val="24"/>
                <w:szCs w:val="24"/>
                <w:lang w:bidi="ar"/>
              </w:rPr>
              <w:t>可行性强、针对性强的</w:t>
            </w:r>
            <w:r>
              <w:rPr>
                <w:rFonts w:hint="eastAsia" w:asciiTheme="minorEastAsia" w:hAnsiTheme="minorEastAsia" w:eastAsiaTheme="minorEastAsia" w:cstheme="minorEastAsia"/>
                <w:color w:val="000000"/>
                <w:kern w:val="0"/>
                <w:sz w:val="24"/>
                <w:szCs w:val="24"/>
                <w:lang w:eastAsia="zh-CN" w:bidi="ar"/>
              </w:rPr>
              <w:t>得3分；</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②方案要点齐全无缺漏项、内容与要点基本相符、每个要点均有简要阐述、基本能够适用于本项目的得2</w:t>
            </w:r>
            <w:r>
              <w:rPr>
                <w:rFonts w:hint="eastAsia" w:asciiTheme="minorEastAsia" w:hAnsiTheme="minorEastAsia" w:eastAsiaTheme="minorEastAsia" w:cstheme="minorEastAsia"/>
                <w:color w:val="000000"/>
                <w:kern w:val="0"/>
                <w:sz w:val="24"/>
                <w:szCs w:val="24"/>
                <w:lang w:val="en-US" w:eastAsia="zh-CN" w:bidi="ar"/>
              </w:rPr>
              <w:t>.8</w:t>
            </w:r>
            <w:r>
              <w:rPr>
                <w:rFonts w:hint="eastAsia" w:asciiTheme="minorEastAsia" w:hAnsiTheme="minorEastAsia" w:eastAsiaTheme="minorEastAsia" w:cstheme="minorEastAsia"/>
                <w:color w:val="000000"/>
                <w:kern w:val="0"/>
                <w:sz w:val="24"/>
                <w:szCs w:val="24"/>
                <w:lang w:eastAsia="zh-CN" w:bidi="ar"/>
              </w:rPr>
              <w:t>分；</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③方案要点齐全无缺漏项、内容简略但内容与要点相符，未展开阐述但内容</w:t>
            </w:r>
            <w:r>
              <w:rPr>
                <w:rStyle w:val="24"/>
                <w:rFonts w:hint="eastAsia" w:asciiTheme="minorEastAsia" w:hAnsiTheme="minorEastAsia" w:eastAsiaTheme="minorEastAsia" w:cstheme="minorEastAsia"/>
                <w:sz w:val="24"/>
                <w:szCs w:val="24"/>
                <w:lang w:eastAsia="zh-CN"/>
              </w:rPr>
              <w:t>基本能够适用于本项目的得</w:t>
            </w:r>
            <w:r>
              <w:rPr>
                <w:rStyle w:val="24"/>
                <w:rFonts w:hint="eastAsia" w:asciiTheme="minorEastAsia" w:hAnsiTheme="minorEastAsia" w:eastAsiaTheme="minorEastAsia" w:cstheme="minorEastAsia"/>
                <w:sz w:val="24"/>
                <w:szCs w:val="24"/>
                <w:lang w:val="en-US" w:eastAsia="zh-CN"/>
              </w:rPr>
              <w:t>2.6</w:t>
            </w:r>
            <w:r>
              <w:rPr>
                <w:rStyle w:val="24"/>
                <w:rFonts w:hint="eastAsia" w:asciiTheme="minorEastAsia" w:hAnsiTheme="minorEastAsia" w:eastAsiaTheme="minorEastAsia" w:cstheme="minorEastAsia"/>
                <w:sz w:val="24"/>
                <w:szCs w:val="24"/>
                <w:lang w:eastAsia="zh-CN"/>
              </w:rPr>
              <w:t>分</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14:paraId="7BE0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720" w:type="dxa"/>
            <w:vAlign w:val="center"/>
          </w:tcPr>
          <w:p w14:paraId="2BC707AE">
            <w:pPr>
              <w:spacing w:line="360"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A3</w:t>
            </w:r>
          </w:p>
        </w:tc>
        <w:tc>
          <w:tcPr>
            <w:tcW w:w="1620" w:type="dxa"/>
            <w:vAlign w:val="center"/>
          </w:tcPr>
          <w:p w14:paraId="3F253388">
            <w:pPr>
              <w:widowControl/>
              <w:spacing w:line="360" w:lineRule="exact"/>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项目实施方案</w:t>
            </w:r>
          </w:p>
        </w:tc>
        <w:tc>
          <w:tcPr>
            <w:tcW w:w="859" w:type="dxa"/>
            <w:vAlign w:val="center"/>
          </w:tcPr>
          <w:p w14:paraId="6DD27CF8">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14:paraId="6A6A7D41">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根据投标人</w:t>
            </w:r>
            <w:r>
              <w:rPr>
                <w:rFonts w:hint="eastAsia" w:asciiTheme="minorEastAsia" w:hAnsiTheme="minorEastAsia" w:eastAsiaTheme="minorEastAsia" w:cstheme="minorEastAsia"/>
                <w:color w:val="000000"/>
                <w:kern w:val="0"/>
                <w:sz w:val="24"/>
                <w:szCs w:val="24"/>
                <w:lang w:eastAsia="zh-CN" w:bidi="ar"/>
              </w:rPr>
              <w:t>针对本项目所</w:t>
            </w:r>
            <w:r>
              <w:rPr>
                <w:rFonts w:hint="eastAsia" w:asciiTheme="minorEastAsia" w:hAnsiTheme="minorEastAsia" w:eastAsiaTheme="minorEastAsia" w:cstheme="minorEastAsia"/>
                <w:color w:val="000000"/>
                <w:kern w:val="0"/>
                <w:sz w:val="24"/>
                <w:szCs w:val="24"/>
                <w:lang w:bidi="ar"/>
              </w:rPr>
              <w:t>提供的项目实施方案【包括但不限于实施计划、进度计划（</w:t>
            </w:r>
            <w:r>
              <w:rPr>
                <w:rFonts w:hint="eastAsia" w:asciiTheme="minorEastAsia" w:hAnsiTheme="minorEastAsia" w:eastAsiaTheme="minorEastAsia" w:cstheme="minorEastAsia"/>
                <w:color w:val="000000"/>
                <w:kern w:val="0"/>
                <w:sz w:val="24"/>
                <w:szCs w:val="24"/>
                <w:lang w:eastAsia="zh-CN" w:bidi="ar"/>
              </w:rPr>
              <w:t>内容至少包含</w:t>
            </w:r>
            <w:r>
              <w:rPr>
                <w:rFonts w:hint="eastAsia" w:asciiTheme="minorEastAsia" w:hAnsiTheme="minorEastAsia" w:eastAsiaTheme="minorEastAsia" w:cstheme="minorEastAsia"/>
                <w:color w:val="000000"/>
                <w:kern w:val="0"/>
                <w:sz w:val="24"/>
                <w:szCs w:val="24"/>
                <w:lang w:bidi="ar"/>
              </w:rPr>
              <w:t>调研、设计、开发、测试、试点单位推广、全省试运行、</w:t>
            </w:r>
            <w:r>
              <w:rPr>
                <w:rFonts w:hint="eastAsia" w:asciiTheme="minorEastAsia" w:hAnsiTheme="minorEastAsia" w:eastAsiaTheme="minorEastAsia" w:cstheme="minorEastAsia"/>
                <w:color w:val="000000"/>
                <w:kern w:val="0"/>
                <w:sz w:val="24"/>
                <w:szCs w:val="24"/>
                <w:lang w:eastAsia="zh-CN" w:bidi="ar"/>
              </w:rPr>
              <w:t>试运行后的</w:t>
            </w:r>
            <w:r>
              <w:rPr>
                <w:rFonts w:hint="eastAsia" w:asciiTheme="minorEastAsia" w:hAnsiTheme="minorEastAsia" w:eastAsiaTheme="minorEastAsia" w:cstheme="minorEastAsia"/>
                <w:color w:val="000000"/>
                <w:kern w:val="0"/>
                <w:sz w:val="24"/>
                <w:szCs w:val="24"/>
                <w:lang w:bidi="ar"/>
              </w:rPr>
              <w:t>验收等）、保障措施等情况）</w:t>
            </w:r>
            <w:r>
              <w:rPr>
                <w:rFonts w:hint="eastAsia" w:asciiTheme="minorEastAsia" w:hAnsiTheme="minorEastAsia" w:eastAsiaTheme="minorEastAsia" w:cstheme="minorEastAsia"/>
                <w:color w:val="000000"/>
                <w:kern w:val="0"/>
                <w:sz w:val="24"/>
                <w:szCs w:val="24"/>
                <w:lang w:eastAsia="zh-CN" w:bidi="ar"/>
              </w:rPr>
              <w:t>，由评审专家进行评审：</w:t>
            </w:r>
          </w:p>
          <w:p w14:paraId="5D09FD45">
            <w:pPr>
              <w:widowControl/>
              <w:spacing w:line="360" w:lineRule="exact"/>
              <w:jc w:val="left"/>
              <w:rPr>
                <w:rStyle w:val="24"/>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eastAsia="zh-CN" w:bidi="ar"/>
              </w:rPr>
              <w:t>①方案要点齐全无缺漏项、内容与要点相符、每个要点均有展开详细的阐述且能够适用于本项目，</w:t>
            </w:r>
            <w:r>
              <w:rPr>
                <w:rStyle w:val="24"/>
                <w:rFonts w:hint="eastAsia" w:asciiTheme="minorEastAsia" w:hAnsiTheme="minorEastAsia" w:eastAsiaTheme="minorEastAsia" w:cstheme="minorEastAsia"/>
                <w:sz w:val="24"/>
                <w:szCs w:val="24"/>
                <w:lang w:val="en-US" w:eastAsia="zh-CN"/>
              </w:rPr>
              <w:t>可行性强、针对性强的得2分；</w:t>
            </w:r>
          </w:p>
          <w:p w14:paraId="073397FB">
            <w:pPr>
              <w:widowControl/>
              <w:spacing w:line="360" w:lineRule="exact"/>
              <w:jc w:val="left"/>
              <w:rPr>
                <w:rStyle w:val="24"/>
                <w:rFonts w:hint="eastAsia" w:asciiTheme="minorEastAsia" w:hAnsiTheme="minorEastAsia" w:eastAsiaTheme="minorEastAsia" w:cstheme="minorEastAsia"/>
                <w:sz w:val="24"/>
                <w:szCs w:val="24"/>
                <w:lang w:val="en-US" w:eastAsia="zh-CN"/>
              </w:rPr>
            </w:pPr>
            <w:r>
              <w:rPr>
                <w:rStyle w:val="24"/>
                <w:rFonts w:hint="eastAsia" w:asciiTheme="minorEastAsia" w:hAnsiTheme="minorEastAsia" w:eastAsiaTheme="minorEastAsia" w:cstheme="minorEastAsia"/>
                <w:sz w:val="24"/>
                <w:szCs w:val="24"/>
                <w:lang w:val="en-US" w:eastAsia="zh-CN"/>
              </w:rPr>
              <w:t>②方案要点齐全无缺漏项、内容与要点基本相符、每个要点均有简要阐述、基本能够适用于本项目的得1.8分；</w:t>
            </w:r>
          </w:p>
          <w:p w14:paraId="480EE504">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③方案要点齐全无缺漏项、内容简略但内容与要点相符，未展开阐述但内容</w:t>
            </w:r>
            <w:r>
              <w:rPr>
                <w:rStyle w:val="24"/>
                <w:rFonts w:hint="eastAsia" w:asciiTheme="minorEastAsia" w:hAnsiTheme="minorEastAsia" w:eastAsiaTheme="minorEastAsia" w:cstheme="minorEastAsia"/>
                <w:sz w:val="24"/>
                <w:szCs w:val="24"/>
                <w:lang w:eastAsia="zh-CN"/>
              </w:rPr>
              <w:t>基本能够适用于本项目的得</w:t>
            </w:r>
            <w:r>
              <w:rPr>
                <w:rStyle w:val="24"/>
                <w:rFonts w:hint="eastAsia" w:asciiTheme="minorEastAsia" w:hAnsiTheme="minorEastAsia" w:eastAsiaTheme="minorEastAsia" w:cstheme="minorEastAsia"/>
                <w:sz w:val="24"/>
                <w:szCs w:val="24"/>
                <w:lang w:val="en-US" w:eastAsia="zh-CN"/>
              </w:rPr>
              <w:t>1.6</w:t>
            </w:r>
            <w:r>
              <w:rPr>
                <w:rStyle w:val="24"/>
                <w:rFonts w:hint="eastAsia" w:asciiTheme="minorEastAsia" w:hAnsiTheme="minorEastAsia" w:eastAsiaTheme="minorEastAsia" w:cstheme="minorEastAsia"/>
                <w:sz w:val="24"/>
                <w:szCs w:val="24"/>
                <w:lang w:eastAsia="zh-CN"/>
              </w:rPr>
              <w:t>分</w:t>
            </w:r>
            <w:r>
              <w:rPr>
                <w:rFonts w:hint="eastAsia" w:asciiTheme="minorEastAsia" w:hAnsiTheme="minorEastAsia" w:eastAsiaTheme="minorEastAsia" w:cstheme="minorEastAsia"/>
                <w:color w:val="000000"/>
                <w:kern w:val="0"/>
                <w:sz w:val="24"/>
                <w:szCs w:val="24"/>
                <w:lang w:eastAsia="zh-CN" w:bidi="ar"/>
              </w:rPr>
              <w:t>；</w:t>
            </w:r>
          </w:p>
          <w:p w14:paraId="7CE9B586">
            <w:pPr>
              <w:widowControl/>
              <w:spacing w:line="360" w:lineRule="exact"/>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14:paraId="23A5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14:paraId="3F630A63">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A4</w:t>
            </w:r>
          </w:p>
        </w:tc>
        <w:tc>
          <w:tcPr>
            <w:tcW w:w="1620" w:type="dxa"/>
            <w:vAlign w:val="center"/>
          </w:tcPr>
          <w:p w14:paraId="4ADA2910">
            <w:pPr>
              <w:widowControl/>
              <w:spacing w:line="360" w:lineRule="exact"/>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测试方案</w:t>
            </w:r>
          </w:p>
        </w:tc>
        <w:tc>
          <w:tcPr>
            <w:tcW w:w="859" w:type="dxa"/>
            <w:vAlign w:val="center"/>
          </w:tcPr>
          <w:p w14:paraId="04F94AEE">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14:paraId="14FC97BC">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根据各投标人提供的测试方案（包括但不限于测试目标、测试的内容和方法、测试工具及其模拟器、测试人员安排等）</w:t>
            </w:r>
            <w:r>
              <w:rPr>
                <w:rFonts w:hint="eastAsia" w:asciiTheme="minorEastAsia" w:hAnsiTheme="minorEastAsia" w:eastAsiaTheme="minorEastAsia" w:cstheme="minorEastAsia"/>
                <w:color w:val="000000"/>
                <w:kern w:val="0"/>
                <w:sz w:val="24"/>
                <w:szCs w:val="24"/>
                <w:lang w:eastAsia="zh-CN" w:bidi="ar"/>
              </w:rPr>
              <w:t>，由评审专家进行评审：</w:t>
            </w:r>
          </w:p>
          <w:p w14:paraId="1AE19E3E">
            <w:pPr>
              <w:widowControl/>
              <w:spacing w:line="360" w:lineRule="exact"/>
              <w:jc w:val="left"/>
              <w:rPr>
                <w:rStyle w:val="24"/>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eastAsia="zh-CN" w:bidi="ar"/>
              </w:rPr>
              <w:t>①方案要点齐全无缺漏项、内容与要点相符、每个要点均有展开详细的阐述且能够适用于本项目，</w:t>
            </w:r>
            <w:r>
              <w:rPr>
                <w:rFonts w:hint="eastAsia" w:asciiTheme="minorEastAsia" w:hAnsiTheme="minorEastAsia" w:eastAsiaTheme="minorEastAsia" w:cstheme="minorEastAsia"/>
                <w:color w:val="000000"/>
                <w:kern w:val="0"/>
                <w:sz w:val="24"/>
                <w:szCs w:val="24"/>
                <w:lang w:bidi="ar"/>
              </w:rPr>
              <w:t>可行性</w:t>
            </w:r>
            <w:r>
              <w:rPr>
                <w:rStyle w:val="24"/>
                <w:rFonts w:hint="eastAsia" w:asciiTheme="minorEastAsia" w:hAnsiTheme="minorEastAsia" w:eastAsiaTheme="minorEastAsia" w:cstheme="minorEastAsia"/>
                <w:sz w:val="24"/>
                <w:szCs w:val="24"/>
                <w:lang w:val="en-US" w:eastAsia="zh-CN"/>
              </w:rPr>
              <w:t>强、针对性强的得3分；</w:t>
            </w:r>
          </w:p>
          <w:p w14:paraId="5288F182">
            <w:pPr>
              <w:widowControl/>
              <w:spacing w:line="360" w:lineRule="exact"/>
              <w:jc w:val="left"/>
              <w:rPr>
                <w:rStyle w:val="24"/>
                <w:rFonts w:hint="eastAsia" w:asciiTheme="minorEastAsia" w:hAnsiTheme="minorEastAsia" w:eastAsiaTheme="minorEastAsia" w:cstheme="minorEastAsia"/>
                <w:sz w:val="24"/>
                <w:szCs w:val="24"/>
                <w:lang w:val="en-US" w:eastAsia="zh-CN"/>
              </w:rPr>
            </w:pPr>
            <w:r>
              <w:rPr>
                <w:rStyle w:val="24"/>
                <w:rFonts w:hint="eastAsia" w:asciiTheme="minorEastAsia" w:hAnsiTheme="minorEastAsia" w:eastAsiaTheme="minorEastAsia" w:cstheme="minorEastAsia"/>
                <w:sz w:val="24"/>
                <w:szCs w:val="24"/>
                <w:lang w:val="en-US" w:eastAsia="zh-CN"/>
              </w:rPr>
              <w:t>②方案要点齐全无缺漏项、内容与要点基本相符、每个要点均有简要阐述、基本能够适用于本项目的得2.8分；</w:t>
            </w:r>
          </w:p>
          <w:p w14:paraId="177BB7CF">
            <w:pPr>
              <w:widowControl/>
              <w:spacing w:line="360" w:lineRule="exact"/>
              <w:jc w:val="left"/>
              <w:rPr>
                <w:rStyle w:val="24"/>
                <w:rFonts w:hint="eastAsia" w:asciiTheme="minorEastAsia" w:hAnsiTheme="minorEastAsia" w:eastAsiaTheme="minorEastAsia" w:cstheme="minorEastAsia"/>
                <w:sz w:val="24"/>
                <w:szCs w:val="24"/>
                <w:lang w:val="en-US" w:eastAsia="zh-CN"/>
              </w:rPr>
            </w:pPr>
            <w:r>
              <w:rPr>
                <w:rStyle w:val="24"/>
                <w:rFonts w:hint="eastAsia" w:asciiTheme="minorEastAsia" w:hAnsiTheme="minorEastAsia" w:eastAsiaTheme="minorEastAsia" w:cstheme="minorEastAsia"/>
                <w:sz w:val="24"/>
                <w:szCs w:val="24"/>
                <w:lang w:val="en-US" w:eastAsia="zh-CN"/>
              </w:rPr>
              <w:t>③方案要点齐全无缺漏项、内容简略但内容与要点相符，未展开阐述但内容基本能够适用于本项目的得2.6分；</w:t>
            </w:r>
          </w:p>
          <w:p w14:paraId="7FB6D44F">
            <w:pPr>
              <w:widowControl/>
              <w:spacing w:line="360" w:lineRule="exact"/>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14:paraId="4799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7DD15962">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A5</w:t>
            </w:r>
          </w:p>
        </w:tc>
        <w:tc>
          <w:tcPr>
            <w:tcW w:w="1620" w:type="dxa"/>
            <w:vAlign w:val="center"/>
          </w:tcPr>
          <w:p w14:paraId="1DAD6DC8">
            <w:pPr>
              <w:widowControl/>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项目重难点及解决方案</w:t>
            </w:r>
          </w:p>
        </w:tc>
        <w:tc>
          <w:tcPr>
            <w:tcW w:w="859" w:type="dxa"/>
            <w:vAlign w:val="center"/>
          </w:tcPr>
          <w:p w14:paraId="7F535C12">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14:paraId="586B9074">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根据投标人针对本项目重难点及解决方案</w:t>
            </w:r>
            <w:r>
              <w:rPr>
                <w:rFonts w:hint="eastAsia" w:asciiTheme="minorEastAsia" w:hAnsiTheme="minorEastAsia" w:eastAsiaTheme="minorEastAsia" w:cstheme="minorEastAsia"/>
                <w:color w:val="000000"/>
                <w:kern w:val="0"/>
                <w:sz w:val="24"/>
                <w:szCs w:val="24"/>
                <w:lang w:eastAsia="zh-CN" w:bidi="ar"/>
              </w:rPr>
              <w:t>【包括但不限于</w:t>
            </w:r>
            <w:r>
              <w:rPr>
                <w:rFonts w:hint="eastAsia" w:asciiTheme="minorEastAsia" w:hAnsiTheme="minorEastAsia" w:eastAsiaTheme="minorEastAsia" w:cstheme="minorEastAsia"/>
                <w:color w:val="000000"/>
                <w:kern w:val="0"/>
                <w:sz w:val="24"/>
                <w:szCs w:val="24"/>
                <w:lang w:bidi="ar"/>
              </w:rPr>
              <w:t>服务过程中</w:t>
            </w:r>
            <w:r>
              <w:rPr>
                <w:rFonts w:hint="eastAsia" w:asciiTheme="minorEastAsia" w:hAnsiTheme="minorEastAsia" w:eastAsiaTheme="minorEastAsia" w:cstheme="minorEastAsia"/>
                <w:color w:val="000000"/>
                <w:kern w:val="0"/>
                <w:sz w:val="24"/>
                <w:szCs w:val="24"/>
                <w:lang w:eastAsia="zh-CN" w:bidi="ar"/>
              </w:rPr>
              <w:t>环节、</w:t>
            </w:r>
            <w:r>
              <w:rPr>
                <w:rFonts w:hint="eastAsia" w:asciiTheme="minorEastAsia" w:hAnsiTheme="minorEastAsia" w:eastAsiaTheme="minorEastAsia" w:cstheme="minorEastAsia"/>
                <w:color w:val="000000"/>
                <w:kern w:val="0"/>
                <w:sz w:val="24"/>
                <w:szCs w:val="24"/>
                <w:lang w:bidi="ar"/>
              </w:rPr>
              <w:t>节点可能出现的重难点</w:t>
            </w:r>
            <w:r>
              <w:rPr>
                <w:rFonts w:hint="eastAsia" w:asciiTheme="minorEastAsia" w:hAnsiTheme="minorEastAsia" w:eastAsiaTheme="minorEastAsia" w:cstheme="minorEastAsia"/>
                <w:sz w:val="24"/>
                <w:szCs w:val="24"/>
                <w:lang w:val="en-US" w:eastAsia="zh-CN"/>
              </w:rPr>
              <w:t>(内容至少包含确保终端设备与统一管理平台集成对接、实现现有景弘集团狱政刑执和数智一体化平台与本项目的数据共享与交换、本项目涉及到不同网络如生产教育网、政务网、互联网之间的业务及数据互联互通、实现本项目的数据本级存储和拟建的景宏集团中心库的数据汇聚)</w:t>
            </w:r>
            <w:r>
              <w:rPr>
                <w:rFonts w:hint="eastAsia" w:asciiTheme="minorEastAsia" w:hAnsiTheme="minorEastAsia" w:eastAsiaTheme="minorEastAsia" w:cstheme="minorEastAsia"/>
                <w:color w:val="000000"/>
                <w:kern w:val="0"/>
                <w:sz w:val="24"/>
                <w:szCs w:val="24"/>
                <w:lang w:eastAsia="zh-CN" w:bidi="ar"/>
              </w:rPr>
              <w:t>】，由评审专家进行评审：</w:t>
            </w:r>
          </w:p>
          <w:p w14:paraId="3C9A99F3">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①方案要点齐全无缺漏项、</w:t>
            </w:r>
            <w:r>
              <w:rPr>
                <w:rFonts w:hint="eastAsia" w:asciiTheme="minorEastAsia" w:hAnsiTheme="minorEastAsia" w:eastAsiaTheme="minorEastAsia" w:cstheme="minorEastAsia"/>
                <w:color w:val="000000"/>
                <w:kern w:val="0"/>
                <w:sz w:val="24"/>
                <w:szCs w:val="24"/>
                <w:lang w:bidi="ar"/>
              </w:rPr>
              <w:t>提供解决方案，提供的重难点及解决方案具体、科学合理、针对性强、可实施性高、切合项目实际情况的，得3</w:t>
            </w:r>
            <w:r>
              <w:rPr>
                <w:rFonts w:hint="eastAsia" w:asciiTheme="minorEastAsia" w:hAnsiTheme="minorEastAsia" w:eastAsiaTheme="minorEastAsia" w:cstheme="minorEastAsia"/>
                <w:color w:val="000000"/>
                <w:kern w:val="0"/>
                <w:sz w:val="24"/>
                <w:szCs w:val="24"/>
                <w:lang w:eastAsia="zh-CN" w:bidi="ar"/>
              </w:rPr>
              <w:t>分；</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②方案要点齐全无缺漏项、提供的重难点及解决方案部分内容具体、合理、具有针对性、可实施、切合项目实际情况的，得</w:t>
            </w:r>
            <w:r>
              <w:rPr>
                <w:rFonts w:hint="eastAsia"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val="en-US" w:eastAsia="zh-CN" w:bidi="ar"/>
              </w:rPr>
              <w:t>.8</w:t>
            </w:r>
            <w:r>
              <w:rPr>
                <w:rFonts w:hint="eastAsia" w:asciiTheme="minorEastAsia" w:hAnsiTheme="minorEastAsia" w:eastAsiaTheme="minorEastAsia" w:cstheme="minorEastAsia"/>
                <w:color w:val="000000"/>
                <w:kern w:val="0"/>
                <w:sz w:val="24"/>
                <w:szCs w:val="24"/>
                <w:lang w:eastAsia="zh-CN" w:bidi="ar"/>
              </w:rPr>
              <w:t>分；</w:t>
            </w:r>
          </w:p>
          <w:p w14:paraId="6A6A225C">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③方案要点齐全无缺漏项、提供的重难点及解决方案仅笼统描述具体措施不够完整详细的，得</w:t>
            </w:r>
            <w:r>
              <w:rPr>
                <w:rFonts w:hint="eastAsia" w:asciiTheme="minorEastAsia" w:hAnsiTheme="minorEastAsia" w:eastAsiaTheme="minorEastAsia" w:cstheme="minorEastAsia"/>
                <w:color w:val="000000"/>
                <w:kern w:val="0"/>
                <w:sz w:val="24"/>
                <w:szCs w:val="24"/>
                <w:lang w:val="en-US" w:eastAsia="zh-CN" w:bidi="ar"/>
              </w:rPr>
              <w:t>2.6</w:t>
            </w:r>
            <w:r>
              <w:rPr>
                <w:rFonts w:hint="eastAsia" w:asciiTheme="minorEastAsia" w:hAnsiTheme="minorEastAsia" w:eastAsiaTheme="minorEastAsia" w:cstheme="minorEastAsia"/>
                <w:color w:val="000000"/>
                <w:kern w:val="0"/>
                <w:sz w:val="24"/>
                <w:szCs w:val="24"/>
                <w:lang w:eastAsia="zh-CN" w:bidi="ar"/>
              </w:rPr>
              <w:t>分；</w:t>
            </w:r>
          </w:p>
          <w:p w14:paraId="2CCA37B5">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14:paraId="44EC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14:paraId="1B16DB57">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A6</w:t>
            </w:r>
          </w:p>
        </w:tc>
        <w:tc>
          <w:tcPr>
            <w:tcW w:w="1620" w:type="dxa"/>
            <w:vAlign w:val="center"/>
          </w:tcPr>
          <w:p w14:paraId="2B51027B">
            <w:pPr>
              <w:widowControl/>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进度保障措施</w:t>
            </w:r>
          </w:p>
        </w:tc>
        <w:tc>
          <w:tcPr>
            <w:tcW w:w="859" w:type="dxa"/>
            <w:vAlign w:val="center"/>
          </w:tcPr>
          <w:p w14:paraId="26FEC971">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14:paraId="73817995">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根据投标人</w:t>
            </w:r>
            <w:r>
              <w:rPr>
                <w:rFonts w:hint="eastAsia" w:asciiTheme="minorEastAsia" w:hAnsiTheme="minorEastAsia" w:eastAsiaTheme="minorEastAsia" w:cstheme="minorEastAsia"/>
                <w:color w:val="000000"/>
                <w:kern w:val="0"/>
                <w:sz w:val="24"/>
                <w:szCs w:val="24"/>
                <w:lang w:eastAsia="zh-CN" w:bidi="ar"/>
              </w:rPr>
              <w:t>针对本项目制定项目进度</w:t>
            </w:r>
            <w:r>
              <w:rPr>
                <w:rFonts w:hint="eastAsia" w:asciiTheme="minorEastAsia" w:hAnsiTheme="minorEastAsia" w:eastAsiaTheme="minorEastAsia" w:cstheme="minorEastAsia"/>
                <w:color w:val="000000"/>
                <w:kern w:val="0"/>
                <w:sz w:val="24"/>
                <w:szCs w:val="24"/>
                <w:lang w:val="en-US" w:eastAsia="zh-CN" w:bidi="ar"/>
              </w:rPr>
              <w:t>保障措施方案（</w:t>
            </w:r>
            <w:r>
              <w:rPr>
                <w:rFonts w:hint="eastAsia" w:asciiTheme="minorEastAsia" w:hAnsiTheme="minorEastAsia" w:eastAsiaTheme="minorEastAsia" w:cstheme="minorEastAsia"/>
                <w:color w:val="000000"/>
                <w:kern w:val="0"/>
                <w:sz w:val="24"/>
                <w:szCs w:val="24"/>
                <w:lang w:bidi="ar"/>
              </w:rPr>
              <w:t>包括但不限于</w:t>
            </w:r>
            <w:r>
              <w:rPr>
                <w:rFonts w:hint="eastAsia" w:asciiTheme="minorEastAsia" w:hAnsiTheme="minorEastAsia" w:eastAsiaTheme="minorEastAsia" w:cstheme="minorEastAsia"/>
                <w:color w:val="000000"/>
                <w:kern w:val="0"/>
                <w:sz w:val="24"/>
                <w:szCs w:val="24"/>
                <w:lang w:eastAsia="zh-CN" w:bidi="ar"/>
              </w:rPr>
              <w:t>进度计划、具体的实施安排</w:t>
            </w:r>
            <w:r>
              <w:rPr>
                <w:rFonts w:hint="eastAsia" w:asciiTheme="minorEastAsia" w:hAnsiTheme="minorEastAsia" w:eastAsiaTheme="minorEastAsia" w:cstheme="minorEastAsia"/>
                <w:color w:val="000000"/>
                <w:kern w:val="0"/>
                <w:sz w:val="24"/>
                <w:szCs w:val="24"/>
                <w:lang w:val="en-US" w:eastAsia="zh-CN" w:bidi="ar"/>
              </w:rPr>
              <w:t>等）</w:t>
            </w:r>
            <w:r>
              <w:rPr>
                <w:rFonts w:hint="eastAsia" w:asciiTheme="minorEastAsia" w:hAnsiTheme="minorEastAsia" w:eastAsiaTheme="minorEastAsia" w:cstheme="minorEastAsia"/>
                <w:color w:val="000000"/>
                <w:kern w:val="0"/>
                <w:sz w:val="24"/>
                <w:szCs w:val="24"/>
                <w:lang w:eastAsia="zh-CN" w:bidi="ar"/>
              </w:rPr>
              <w:t>，由评审专家进行评审：</w:t>
            </w:r>
          </w:p>
          <w:p w14:paraId="07AD550B">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①方案要点齐全无缺漏项、</w:t>
            </w:r>
            <w:r>
              <w:rPr>
                <w:rFonts w:hint="eastAsia" w:asciiTheme="minorEastAsia" w:hAnsiTheme="minorEastAsia" w:eastAsiaTheme="minorEastAsia" w:cstheme="minorEastAsia"/>
                <w:color w:val="000000"/>
                <w:kern w:val="0"/>
                <w:sz w:val="24"/>
                <w:szCs w:val="24"/>
                <w:lang w:bidi="ar"/>
              </w:rPr>
              <w:t>进度保障措施具有针对性，根据项目需求情况提供详细、具体、明确的项目任务接收、前期准备、业主时限要求响应、工期推进保障、深化成果流程的，得</w:t>
            </w: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分；</w:t>
            </w:r>
          </w:p>
          <w:p w14:paraId="65C35156">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②方案要点齐全无缺漏项、进度保障措施较为全面，有较为明确、针对性的项目任务接收、前期准备、业主时限要求响应、工期推进保障、深化成果流程的，得</w:t>
            </w:r>
            <w:r>
              <w:rPr>
                <w:rFonts w:hint="eastAsia" w:asciiTheme="minorEastAsia" w:hAnsiTheme="minorEastAsia" w:eastAsiaTheme="minorEastAsia" w:cstheme="minorEastAsia"/>
                <w:color w:val="000000"/>
                <w:kern w:val="0"/>
                <w:sz w:val="24"/>
                <w:szCs w:val="24"/>
                <w:lang w:val="en-US" w:eastAsia="zh-CN" w:bidi="ar"/>
              </w:rPr>
              <w:t>2.8</w:t>
            </w:r>
            <w:r>
              <w:rPr>
                <w:rFonts w:hint="eastAsia" w:asciiTheme="minorEastAsia" w:hAnsiTheme="minorEastAsia" w:eastAsiaTheme="minorEastAsia" w:cstheme="minorEastAsia"/>
                <w:color w:val="000000"/>
                <w:kern w:val="0"/>
                <w:sz w:val="24"/>
                <w:szCs w:val="24"/>
                <w:lang w:eastAsia="zh-CN" w:bidi="ar"/>
              </w:rPr>
              <w:t>分；</w:t>
            </w:r>
          </w:p>
          <w:p w14:paraId="50BA5F6E">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③方案要点齐全无缺漏项、进度保障措施较为简单，但基本符合项目需求，有项目任务接收、前期准备、业主时限要求响应、工期推进保障的，得</w:t>
            </w:r>
            <w:r>
              <w:rPr>
                <w:rFonts w:hint="eastAsia" w:asciiTheme="minorEastAsia" w:hAnsiTheme="minorEastAsia" w:eastAsiaTheme="minorEastAsia" w:cstheme="minorEastAsia"/>
                <w:color w:val="000000"/>
                <w:kern w:val="0"/>
                <w:sz w:val="24"/>
                <w:szCs w:val="24"/>
                <w:lang w:val="en-US" w:eastAsia="zh-CN" w:bidi="ar"/>
              </w:rPr>
              <w:t>2.6</w:t>
            </w:r>
            <w:r>
              <w:rPr>
                <w:rFonts w:hint="eastAsia" w:asciiTheme="minorEastAsia" w:hAnsiTheme="minorEastAsia" w:eastAsiaTheme="minorEastAsia" w:cstheme="minorEastAsia"/>
                <w:color w:val="000000"/>
                <w:kern w:val="0"/>
                <w:sz w:val="24"/>
                <w:szCs w:val="24"/>
                <w:lang w:eastAsia="zh-CN" w:bidi="ar"/>
              </w:rPr>
              <w:t>分；</w:t>
            </w:r>
          </w:p>
          <w:p w14:paraId="57979348">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14:paraId="22EA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14:paraId="76C94BF7">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A7</w:t>
            </w:r>
          </w:p>
        </w:tc>
        <w:tc>
          <w:tcPr>
            <w:tcW w:w="1620" w:type="dxa"/>
            <w:vAlign w:val="center"/>
          </w:tcPr>
          <w:p w14:paraId="03B00E57">
            <w:pPr>
              <w:widowControl/>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质量保证措施</w:t>
            </w:r>
          </w:p>
        </w:tc>
        <w:tc>
          <w:tcPr>
            <w:tcW w:w="859" w:type="dxa"/>
            <w:vAlign w:val="center"/>
          </w:tcPr>
          <w:p w14:paraId="47A12FB6">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14:paraId="7D2398B9">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根据投标人的质量保障措施</w:t>
            </w:r>
            <w:r>
              <w:rPr>
                <w:rFonts w:hint="eastAsia" w:asciiTheme="minorEastAsia" w:hAnsiTheme="minorEastAsia" w:eastAsiaTheme="minorEastAsia" w:cstheme="minorEastAsia"/>
                <w:color w:val="000000"/>
                <w:kern w:val="0"/>
                <w:sz w:val="24"/>
                <w:szCs w:val="24"/>
                <w:lang w:val="en-US" w:eastAsia="zh-CN" w:bidi="ar"/>
              </w:rPr>
              <w:t>方案（内容至少包含需求调研、系统设计、功能编码、系统试运行）</w:t>
            </w:r>
            <w:r>
              <w:rPr>
                <w:rFonts w:hint="eastAsia" w:asciiTheme="minorEastAsia" w:hAnsiTheme="minorEastAsia" w:eastAsiaTheme="minorEastAsia" w:cstheme="minorEastAsia"/>
                <w:color w:val="000000"/>
                <w:kern w:val="0"/>
                <w:sz w:val="24"/>
                <w:szCs w:val="24"/>
                <w:lang w:eastAsia="zh-CN" w:bidi="ar"/>
              </w:rPr>
              <w:t>进行评价，由评审专家进行评审：</w:t>
            </w:r>
          </w:p>
          <w:p w14:paraId="2E421B75">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①方案要点齐全无缺漏项、有制定相应的质量保障措施，对服务过程中的关键节点有具体质量控制措施，有相应的人力、物力投入安排，有够确保服务质量的，得</w:t>
            </w: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分；</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②方案要点齐全无缺漏项、质量保障措施内容具体、合理、具有针对性、可实施、切合项目实际情况，对服务过程中的关键节点有提出基本的质量控制措施的，得</w:t>
            </w:r>
            <w:r>
              <w:rPr>
                <w:rFonts w:hint="eastAsia" w:asciiTheme="minorEastAsia" w:hAnsiTheme="minorEastAsia" w:eastAsiaTheme="minorEastAsia" w:cstheme="minorEastAsia"/>
                <w:color w:val="000000"/>
                <w:kern w:val="0"/>
                <w:sz w:val="24"/>
                <w:szCs w:val="24"/>
                <w:lang w:val="en-US" w:eastAsia="zh-CN" w:bidi="ar"/>
              </w:rPr>
              <w:t>2.8</w:t>
            </w:r>
            <w:r>
              <w:rPr>
                <w:rFonts w:hint="eastAsia" w:asciiTheme="minorEastAsia" w:hAnsiTheme="minorEastAsia" w:eastAsiaTheme="minorEastAsia" w:cstheme="minorEastAsia"/>
                <w:color w:val="000000"/>
                <w:kern w:val="0"/>
                <w:sz w:val="24"/>
                <w:szCs w:val="24"/>
                <w:lang w:eastAsia="zh-CN" w:bidi="ar"/>
              </w:rPr>
              <w:t>分；</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③方案要点齐全无缺漏项、质量保障措施较为简单，对服务过程中的关键节点有提出基本的质量控制措施的，得</w:t>
            </w:r>
            <w:r>
              <w:rPr>
                <w:rFonts w:hint="eastAsia" w:asciiTheme="minorEastAsia" w:hAnsiTheme="minorEastAsia" w:eastAsiaTheme="minorEastAsia" w:cstheme="minorEastAsia"/>
                <w:color w:val="000000"/>
                <w:kern w:val="0"/>
                <w:sz w:val="24"/>
                <w:szCs w:val="24"/>
                <w:lang w:val="en-US" w:eastAsia="zh-CN" w:bidi="ar"/>
              </w:rPr>
              <w:t>2.6</w:t>
            </w:r>
            <w:r>
              <w:rPr>
                <w:rFonts w:hint="eastAsia" w:asciiTheme="minorEastAsia" w:hAnsiTheme="minorEastAsia" w:eastAsiaTheme="minorEastAsia" w:cstheme="minorEastAsia"/>
                <w:color w:val="000000"/>
                <w:kern w:val="0"/>
                <w:sz w:val="24"/>
                <w:szCs w:val="24"/>
                <w:lang w:eastAsia="zh-CN" w:bidi="ar"/>
              </w:rPr>
              <w:t>分；</w:t>
            </w:r>
          </w:p>
          <w:p w14:paraId="21558D61">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14:paraId="121E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14:paraId="35EF6615">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A8</w:t>
            </w:r>
          </w:p>
        </w:tc>
        <w:tc>
          <w:tcPr>
            <w:tcW w:w="1620" w:type="dxa"/>
            <w:vAlign w:val="center"/>
          </w:tcPr>
          <w:p w14:paraId="03E1E5A3">
            <w:pPr>
              <w:widowControl/>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系统安全保障方案</w:t>
            </w:r>
          </w:p>
        </w:tc>
        <w:tc>
          <w:tcPr>
            <w:tcW w:w="859" w:type="dxa"/>
            <w:vAlign w:val="center"/>
          </w:tcPr>
          <w:p w14:paraId="76AC0F5E">
            <w:pPr>
              <w:widowControl/>
              <w:spacing w:line="360" w:lineRule="exact"/>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3分</w:t>
            </w:r>
          </w:p>
        </w:tc>
        <w:tc>
          <w:tcPr>
            <w:tcW w:w="7096" w:type="dxa"/>
            <w:vAlign w:val="center"/>
          </w:tcPr>
          <w:p w14:paraId="068813F4">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投标人须提供系统安全保障方案（至少包括数据交换、用户权限管理、敏感数据存储、口令管理等各项安全措施），由评审专家进行评审：</w:t>
            </w:r>
          </w:p>
          <w:p w14:paraId="585F3FBF">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①方案要点齐全无缺漏项、内容与要点相符、每个要点均有展开详细的阐述且能够适用于本项目，可行性强、针对性强的得</w:t>
            </w: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分；</w:t>
            </w:r>
          </w:p>
          <w:p w14:paraId="19DE5BDF">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②方案要点齐全无缺漏项、内容与要点基本相符、每个要点均有简要阐述、基本能够适用于本项目的得</w:t>
            </w:r>
            <w:r>
              <w:rPr>
                <w:rFonts w:hint="eastAsia" w:asciiTheme="minorEastAsia" w:hAnsiTheme="minorEastAsia" w:eastAsiaTheme="minorEastAsia" w:cstheme="minorEastAsia"/>
                <w:color w:val="000000"/>
                <w:kern w:val="0"/>
                <w:sz w:val="24"/>
                <w:szCs w:val="24"/>
                <w:lang w:val="en-US" w:eastAsia="zh-CN" w:bidi="ar"/>
              </w:rPr>
              <w:t>2.8</w:t>
            </w:r>
            <w:r>
              <w:rPr>
                <w:rFonts w:hint="eastAsia" w:asciiTheme="minorEastAsia" w:hAnsiTheme="minorEastAsia" w:eastAsiaTheme="minorEastAsia" w:cstheme="minorEastAsia"/>
                <w:color w:val="000000"/>
                <w:kern w:val="0"/>
                <w:sz w:val="24"/>
                <w:szCs w:val="24"/>
                <w:lang w:eastAsia="zh-CN" w:bidi="ar"/>
              </w:rPr>
              <w:t>分；</w:t>
            </w:r>
          </w:p>
          <w:p w14:paraId="2FD9AB58">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③方案要点齐全无缺漏项、内容简略但内容与要点相符，未展开阐述但内容基本能够适用于本项目的得</w:t>
            </w:r>
            <w:r>
              <w:rPr>
                <w:rFonts w:hint="eastAsia" w:asciiTheme="minorEastAsia" w:hAnsiTheme="minorEastAsia" w:eastAsiaTheme="minorEastAsia" w:cstheme="minorEastAsia"/>
                <w:color w:val="000000"/>
                <w:kern w:val="0"/>
                <w:sz w:val="24"/>
                <w:szCs w:val="24"/>
                <w:lang w:val="en-US" w:eastAsia="zh-CN" w:bidi="ar"/>
              </w:rPr>
              <w:t>2.6</w:t>
            </w:r>
            <w:r>
              <w:rPr>
                <w:rFonts w:hint="eastAsia" w:asciiTheme="minorEastAsia" w:hAnsiTheme="minorEastAsia" w:eastAsiaTheme="minorEastAsia" w:cstheme="minorEastAsia"/>
                <w:color w:val="000000"/>
                <w:kern w:val="0"/>
                <w:sz w:val="24"/>
                <w:szCs w:val="24"/>
                <w:lang w:eastAsia="zh-CN" w:bidi="ar"/>
              </w:rPr>
              <w:t>分；</w:t>
            </w:r>
          </w:p>
          <w:p w14:paraId="6A0AB809">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14:paraId="2C0A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0" w:type="dxa"/>
            <w:vMerge w:val="restart"/>
            <w:vAlign w:val="center"/>
          </w:tcPr>
          <w:p w14:paraId="6B4A3DA3">
            <w:pPr>
              <w:spacing w:line="360"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A9</w:t>
            </w:r>
          </w:p>
        </w:tc>
        <w:tc>
          <w:tcPr>
            <w:tcW w:w="1620" w:type="dxa"/>
            <w:vMerge w:val="restart"/>
            <w:vAlign w:val="center"/>
          </w:tcPr>
          <w:p w14:paraId="33C1BF34">
            <w:pPr>
              <w:widowControl/>
              <w:spacing w:line="360" w:lineRule="exact"/>
              <w:jc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kern w:val="0"/>
                <w:sz w:val="24"/>
                <w:szCs w:val="24"/>
                <w:lang w:bidi="ar"/>
              </w:rPr>
              <w:t>软件匹配程度</w:t>
            </w:r>
          </w:p>
        </w:tc>
        <w:tc>
          <w:tcPr>
            <w:tcW w:w="859" w:type="dxa"/>
            <w:vAlign w:val="center"/>
          </w:tcPr>
          <w:p w14:paraId="15E0AF86">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1分</w:t>
            </w:r>
          </w:p>
        </w:tc>
        <w:tc>
          <w:tcPr>
            <w:tcW w:w="7096" w:type="dxa"/>
            <w:vAlign w:val="center"/>
          </w:tcPr>
          <w:p w14:paraId="245C69E0">
            <w:pPr>
              <w:widowControl/>
              <w:numPr>
                <w:ilvl w:val="0"/>
                <w:numId w:val="0"/>
              </w:numPr>
              <w:spacing w:before="48" w:beforeLines="20" w:line="288"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9.1根据</w:t>
            </w:r>
            <w:r>
              <w:rPr>
                <w:rFonts w:hint="eastAsia" w:asciiTheme="minorEastAsia" w:hAnsiTheme="minorEastAsia" w:eastAsiaTheme="minorEastAsia" w:cstheme="minorEastAsia"/>
                <w:color w:val="000000"/>
                <w:kern w:val="0"/>
                <w:sz w:val="24"/>
                <w:szCs w:val="24"/>
                <w:lang w:bidi="ar"/>
              </w:rPr>
              <w:t>投标人</w:t>
            </w:r>
            <w:r>
              <w:rPr>
                <w:rFonts w:hint="eastAsia" w:asciiTheme="minorEastAsia" w:hAnsiTheme="minorEastAsia" w:eastAsiaTheme="minorEastAsia" w:cstheme="minorEastAsia"/>
                <w:color w:val="000000"/>
                <w:kern w:val="0"/>
                <w:sz w:val="24"/>
                <w:szCs w:val="24"/>
                <w:lang w:val="en-US" w:eastAsia="zh-CN" w:bidi="ar"/>
              </w:rPr>
              <w:t>所投的产品具有与监室或监所相关的一体化平台管理类的软件著作权证书</w:t>
            </w:r>
            <w:r>
              <w:rPr>
                <w:rFonts w:hint="eastAsia" w:asciiTheme="minorEastAsia" w:hAnsiTheme="minorEastAsia" w:eastAsiaTheme="minorEastAsia" w:cstheme="minorEastAsia"/>
                <w:color w:val="000000"/>
                <w:kern w:val="0"/>
                <w:sz w:val="24"/>
                <w:szCs w:val="24"/>
                <w:lang w:eastAsia="zh-CN" w:bidi="ar"/>
              </w:rPr>
              <w:t>，满分</w:t>
            </w:r>
            <w:r>
              <w:rPr>
                <w:rFonts w:hint="eastAsia" w:asciiTheme="minorEastAsia" w:hAnsiTheme="minorEastAsia" w:eastAsiaTheme="minorEastAsia" w:cstheme="minorEastAsia"/>
                <w:color w:val="000000"/>
                <w:kern w:val="0"/>
                <w:sz w:val="24"/>
                <w:szCs w:val="24"/>
                <w:lang w:val="en-US" w:eastAsia="zh-CN" w:bidi="ar"/>
              </w:rPr>
              <w:t>1分</w:t>
            </w:r>
            <w:r>
              <w:rPr>
                <w:rFonts w:hint="eastAsia" w:asciiTheme="minorEastAsia" w:hAnsiTheme="minorEastAsia" w:eastAsiaTheme="minorEastAsia" w:cstheme="minorEastAsia"/>
                <w:color w:val="000000"/>
                <w:kern w:val="0"/>
                <w:sz w:val="24"/>
                <w:szCs w:val="24"/>
                <w:lang w:eastAsia="zh-CN" w:bidi="ar"/>
              </w:rPr>
              <w:t>。</w:t>
            </w:r>
          </w:p>
          <w:p w14:paraId="7E3CD4B8">
            <w:pPr>
              <w:widowControl/>
              <w:numPr>
                <w:ilvl w:val="0"/>
                <w:numId w:val="0"/>
              </w:numPr>
              <w:spacing w:before="48" w:beforeLines="20" w:line="288"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须</w:t>
            </w:r>
            <w:r>
              <w:rPr>
                <w:rFonts w:hint="eastAsia" w:asciiTheme="minorEastAsia" w:hAnsiTheme="minorEastAsia" w:eastAsiaTheme="minorEastAsia" w:cstheme="minorEastAsia"/>
                <w:color w:val="auto"/>
                <w:kern w:val="0"/>
                <w:sz w:val="24"/>
                <w:szCs w:val="24"/>
                <w:lang w:bidi="ar"/>
              </w:rPr>
              <w:t>提</w:t>
            </w:r>
            <w:r>
              <w:rPr>
                <w:rFonts w:hint="eastAsia" w:asciiTheme="minorEastAsia" w:hAnsiTheme="minorEastAsia" w:eastAsiaTheme="minorEastAsia" w:cstheme="minorEastAsia"/>
                <w:color w:val="000000"/>
                <w:kern w:val="0"/>
                <w:sz w:val="24"/>
                <w:szCs w:val="24"/>
                <w:lang w:bidi="ar"/>
              </w:rPr>
              <w:t>供国家版权局颁发的《计算机软件著作权证书》复印件</w:t>
            </w:r>
            <w:r>
              <w:rPr>
                <w:rFonts w:hint="eastAsia" w:asciiTheme="minorEastAsia" w:hAnsiTheme="minorEastAsia" w:eastAsiaTheme="minorEastAsia" w:cstheme="minorEastAsia"/>
                <w:color w:val="000000"/>
                <w:kern w:val="0"/>
                <w:sz w:val="24"/>
                <w:szCs w:val="24"/>
                <w:lang w:val="en-US" w:eastAsia="zh-CN" w:bidi="ar"/>
              </w:rPr>
              <w:t>，否则不得分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注：</w:t>
            </w:r>
            <w:r>
              <w:rPr>
                <w:rFonts w:hint="eastAsia" w:asciiTheme="minorEastAsia" w:hAnsiTheme="minorEastAsia" w:eastAsiaTheme="minorEastAsia" w:cstheme="minorEastAsia"/>
                <w:color w:val="000000"/>
                <w:kern w:val="0"/>
                <w:sz w:val="24"/>
                <w:szCs w:val="24"/>
                <w:lang w:bidi="ar"/>
              </w:rPr>
              <w:t>《计算机软件著作权证书》生效日期须在本项目投标截止之日前，否则不予计分</w:t>
            </w:r>
            <w:r>
              <w:rPr>
                <w:rFonts w:hint="eastAsia" w:asciiTheme="minorEastAsia" w:hAnsiTheme="minorEastAsia" w:eastAsiaTheme="minorEastAsia" w:cstheme="minorEastAsia"/>
                <w:color w:val="000000"/>
                <w:kern w:val="0"/>
                <w:sz w:val="24"/>
                <w:szCs w:val="24"/>
                <w:lang w:eastAsia="zh-CN" w:bidi="ar"/>
              </w:rPr>
              <w:t>。</w:t>
            </w:r>
          </w:p>
        </w:tc>
      </w:tr>
      <w:tr w14:paraId="238E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0" w:type="dxa"/>
            <w:vMerge w:val="continue"/>
            <w:vAlign w:val="center"/>
          </w:tcPr>
          <w:p w14:paraId="0635EE9B">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14:paraId="386D1237">
            <w:pPr>
              <w:widowControl/>
              <w:spacing w:line="360" w:lineRule="exact"/>
              <w:jc w:val="center"/>
              <w:rPr>
                <w:rFonts w:hint="eastAsia" w:asciiTheme="minorEastAsia" w:hAnsiTheme="minorEastAsia" w:eastAsiaTheme="minorEastAsia" w:cstheme="minorEastAsia"/>
                <w:kern w:val="0"/>
                <w:sz w:val="24"/>
                <w:szCs w:val="24"/>
                <w:lang w:bidi="ar"/>
              </w:rPr>
            </w:pPr>
          </w:p>
        </w:tc>
        <w:tc>
          <w:tcPr>
            <w:tcW w:w="859" w:type="dxa"/>
            <w:vAlign w:val="center"/>
          </w:tcPr>
          <w:p w14:paraId="37249E28">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1分</w:t>
            </w:r>
          </w:p>
        </w:tc>
        <w:tc>
          <w:tcPr>
            <w:tcW w:w="7096" w:type="dxa"/>
            <w:vAlign w:val="center"/>
          </w:tcPr>
          <w:p w14:paraId="5D94C1EC">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9.2根据</w:t>
            </w:r>
            <w:r>
              <w:rPr>
                <w:rFonts w:hint="eastAsia" w:asciiTheme="minorEastAsia" w:hAnsiTheme="minorEastAsia" w:eastAsiaTheme="minorEastAsia" w:cstheme="minorEastAsia"/>
                <w:color w:val="000000"/>
                <w:kern w:val="0"/>
                <w:sz w:val="24"/>
                <w:szCs w:val="24"/>
                <w:lang w:bidi="ar"/>
              </w:rPr>
              <w:t>投标人</w:t>
            </w:r>
            <w:r>
              <w:rPr>
                <w:rFonts w:hint="eastAsia" w:asciiTheme="minorEastAsia" w:hAnsiTheme="minorEastAsia" w:eastAsiaTheme="minorEastAsia" w:cstheme="minorEastAsia"/>
                <w:color w:val="000000"/>
                <w:kern w:val="0"/>
                <w:sz w:val="24"/>
                <w:szCs w:val="24"/>
                <w:lang w:val="en-US" w:eastAsia="zh-CN" w:bidi="ar"/>
              </w:rPr>
              <w:t>所投的产品具有与监室或监所相关一体化智慧终端类软件著作权证书</w:t>
            </w:r>
            <w:r>
              <w:rPr>
                <w:rFonts w:hint="eastAsia" w:asciiTheme="minorEastAsia" w:hAnsiTheme="minorEastAsia" w:eastAsiaTheme="minorEastAsia" w:cstheme="minorEastAsia"/>
                <w:color w:val="000000"/>
                <w:kern w:val="0"/>
                <w:sz w:val="24"/>
                <w:szCs w:val="24"/>
                <w:lang w:eastAsia="zh-CN" w:bidi="ar"/>
              </w:rPr>
              <w:t>，满分</w:t>
            </w:r>
            <w:r>
              <w:rPr>
                <w:rFonts w:hint="eastAsia" w:asciiTheme="minorEastAsia" w:hAnsiTheme="minorEastAsia" w:eastAsiaTheme="minorEastAsia" w:cstheme="minorEastAsia"/>
                <w:color w:val="000000"/>
                <w:kern w:val="0"/>
                <w:sz w:val="24"/>
                <w:szCs w:val="24"/>
                <w:lang w:val="en-US" w:eastAsia="zh-CN" w:bidi="ar"/>
              </w:rPr>
              <w:t>1分</w:t>
            </w:r>
            <w:r>
              <w:rPr>
                <w:rFonts w:hint="eastAsia" w:asciiTheme="minorEastAsia" w:hAnsiTheme="minorEastAsia" w:eastAsiaTheme="minorEastAsia" w:cstheme="minorEastAsia"/>
                <w:color w:val="000000"/>
                <w:kern w:val="0"/>
                <w:sz w:val="24"/>
                <w:szCs w:val="24"/>
                <w:lang w:eastAsia="zh-CN" w:bidi="ar"/>
              </w:rPr>
              <w:t>。</w:t>
            </w:r>
          </w:p>
          <w:p w14:paraId="475227A3">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须</w:t>
            </w:r>
            <w:r>
              <w:rPr>
                <w:rFonts w:hint="eastAsia" w:asciiTheme="minorEastAsia" w:hAnsiTheme="minorEastAsia" w:eastAsiaTheme="minorEastAsia" w:cstheme="minorEastAsia"/>
                <w:color w:val="auto"/>
                <w:kern w:val="0"/>
                <w:sz w:val="24"/>
                <w:szCs w:val="24"/>
                <w:lang w:bidi="ar"/>
              </w:rPr>
              <w:t>提</w:t>
            </w:r>
            <w:r>
              <w:rPr>
                <w:rFonts w:hint="eastAsia" w:asciiTheme="minorEastAsia" w:hAnsiTheme="minorEastAsia" w:eastAsiaTheme="minorEastAsia" w:cstheme="minorEastAsia"/>
                <w:color w:val="000000"/>
                <w:kern w:val="0"/>
                <w:sz w:val="24"/>
                <w:szCs w:val="24"/>
                <w:lang w:bidi="ar"/>
              </w:rPr>
              <w:t>供国家版权局颁发的《计算机软件著作权证书》复印件</w:t>
            </w:r>
            <w:r>
              <w:rPr>
                <w:rFonts w:hint="eastAsia" w:asciiTheme="minorEastAsia" w:hAnsiTheme="minorEastAsia" w:eastAsiaTheme="minorEastAsia" w:cstheme="minorEastAsia"/>
                <w:color w:val="000000"/>
                <w:kern w:val="0"/>
                <w:sz w:val="24"/>
                <w:szCs w:val="24"/>
                <w:lang w:val="en-US" w:eastAsia="zh-CN" w:bidi="ar"/>
              </w:rPr>
              <w:t>，否则不得分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注：</w:t>
            </w:r>
            <w:r>
              <w:rPr>
                <w:rFonts w:hint="eastAsia" w:asciiTheme="minorEastAsia" w:hAnsiTheme="minorEastAsia" w:eastAsiaTheme="minorEastAsia" w:cstheme="minorEastAsia"/>
                <w:color w:val="000000"/>
                <w:kern w:val="0"/>
                <w:sz w:val="24"/>
                <w:szCs w:val="24"/>
                <w:lang w:bidi="ar"/>
              </w:rPr>
              <w:t>《计算机软件著作权证书》生效日期须在本项目投标截止之日前，否则不予计分</w:t>
            </w:r>
            <w:r>
              <w:rPr>
                <w:rFonts w:hint="eastAsia" w:asciiTheme="minorEastAsia" w:hAnsiTheme="minorEastAsia" w:eastAsiaTheme="minorEastAsia" w:cstheme="minorEastAsia"/>
                <w:color w:val="000000"/>
                <w:kern w:val="0"/>
                <w:sz w:val="24"/>
                <w:szCs w:val="24"/>
                <w:lang w:eastAsia="zh-CN" w:bidi="ar"/>
              </w:rPr>
              <w:t>。</w:t>
            </w:r>
          </w:p>
        </w:tc>
      </w:tr>
      <w:tr w14:paraId="216B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0" w:type="dxa"/>
            <w:vMerge w:val="continue"/>
            <w:vAlign w:val="center"/>
          </w:tcPr>
          <w:p w14:paraId="40B029B6">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14:paraId="551EEB25">
            <w:pPr>
              <w:widowControl/>
              <w:spacing w:line="360" w:lineRule="exact"/>
              <w:jc w:val="center"/>
              <w:rPr>
                <w:rFonts w:hint="eastAsia" w:asciiTheme="minorEastAsia" w:hAnsiTheme="minorEastAsia" w:eastAsiaTheme="minorEastAsia" w:cstheme="minorEastAsia"/>
                <w:kern w:val="0"/>
                <w:sz w:val="24"/>
                <w:szCs w:val="24"/>
                <w:lang w:bidi="ar"/>
              </w:rPr>
            </w:pPr>
          </w:p>
        </w:tc>
        <w:tc>
          <w:tcPr>
            <w:tcW w:w="859" w:type="dxa"/>
            <w:vAlign w:val="center"/>
          </w:tcPr>
          <w:p w14:paraId="0971DE30">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1分</w:t>
            </w:r>
          </w:p>
        </w:tc>
        <w:tc>
          <w:tcPr>
            <w:tcW w:w="7096" w:type="dxa"/>
            <w:vAlign w:val="center"/>
          </w:tcPr>
          <w:p w14:paraId="070C81EF">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9.3根据</w:t>
            </w:r>
            <w:r>
              <w:rPr>
                <w:rFonts w:hint="eastAsia" w:asciiTheme="minorEastAsia" w:hAnsiTheme="minorEastAsia" w:eastAsiaTheme="minorEastAsia" w:cstheme="minorEastAsia"/>
                <w:color w:val="000000"/>
                <w:kern w:val="0"/>
                <w:sz w:val="24"/>
                <w:szCs w:val="24"/>
                <w:lang w:bidi="ar"/>
              </w:rPr>
              <w:t>投标人</w:t>
            </w:r>
            <w:r>
              <w:rPr>
                <w:rFonts w:hint="eastAsia" w:asciiTheme="minorEastAsia" w:hAnsiTheme="minorEastAsia" w:eastAsiaTheme="minorEastAsia" w:cstheme="minorEastAsia"/>
                <w:color w:val="000000"/>
                <w:kern w:val="0"/>
                <w:sz w:val="24"/>
                <w:szCs w:val="24"/>
                <w:lang w:val="en-US" w:eastAsia="zh-CN" w:bidi="ar"/>
              </w:rPr>
              <w:t>所投的产品具有与监室或监所相关智慧监管移动警务APP类软件著作权证书</w:t>
            </w:r>
            <w:r>
              <w:rPr>
                <w:rFonts w:hint="eastAsia" w:asciiTheme="minorEastAsia" w:hAnsiTheme="minorEastAsia" w:eastAsiaTheme="minorEastAsia" w:cstheme="minorEastAsia"/>
                <w:color w:val="000000"/>
                <w:kern w:val="0"/>
                <w:sz w:val="24"/>
                <w:szCs w:val="24"/>
                <w:lang w:eastAsia="zh-CN" w:bidi="ar"/>
              </w:rPr>
              <w:t>，满分</w:t>
            </w:r>
            <w:r>
              <w:rPr>
                <w:rFonts w:hint="eastAsia" w:asciiTheme="minorEastAsia" w:hAnsiTheme="minorEastAsia" w:eastAsiaTheme="minorEastAsia" w:cstheme="minorEastAsia"/>
                <w:color w:val="000000"/>
                <w:kern w:val="0"/>
                <w:sz w:val="24"/>
                <w:szCs w:val="24"/>
                <w:lang w:val="en-US" w:eastAsia="zh-CN" w:bidi="ar"/>
              </w:rPr>
              <w:t>1分</w:t>
            </w:r>
            <w:r>
              <w:rPr>
                <w:rFonts w:hint="eastAsia" w:asciiTheme="minorEastAsia" w:hAnsiTheme="minorEastAsia" w:eastAsiaTheme="minorEastAsia" w:cstheme="minorEastAsia"/>
                <w:color w:val="000000"/>
                <w:kern w:val="0"/>
                <w:sz w:val="24"/>
                <w:szCs w:val="24"/>
                <w:lang w:eastAsia="zh-CN" w:bidi="ar"/>
              </w:rPr>
              <w:t>。</w:t>
            </w:r>
          </w:p>
          <w:p w14:paraId="06894F69">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须</w:t>
            </w:r>
            <w:r>
              <w:rPr>
                <w:rFonts w:hint="eastAsia" w:asciiTheme="minorEastAsia" w:hAnsiTheme="minorEastAsia" w:eastAsiaTheme="minorEastAsia" w:cstheme="minorEastAsia"/>
                <w:color w:val="auto"/>
                <w:kern w:val="0"/>
                <w:sz w:val="24"/>
                <w:szCs w:val="24"/>
                <w:lang w:bidi="ar"/>
              </w:rPr>
              <w:t>提</w:t>
            </w:r>
            <w:r>
              <w:rPr>
                <w:rFonts w:hint="eastAsia" w:asciiTheme="minorEastAsia" w:hAnsiTheme="minorEastAsia" w:eastAsiaTheme="minorEastAsia" w:cstheme="minorEastAsia"/>
                <w:color w:val="000000"/>
                <w:kern w:val="0"/>
                <w:sz w:val="24"/>
                <w:szCs w:val="24"/>
                <w:lang w:bidi="ar"/>
              </w:rPr>
              <w:t>供国家版权局颁发的《计算机软件著作权证书》复印件</w:t>
            </w:r>
            <w:r>
              <w:rPr>
                <w:rFonts w:hint="eastAsia" w:asciiTheme="minorEastAsia" w:hAnsiTheme="minorEastAsia" w:eastAsiaTheme="minorEastAsia" w:cstheme="minorEastAsia"/>
                <w:color w:val="000000"/>
                <w:kern w:val="0"/>
                <w:sz w:val="24"/>
                <w:szCs w:val="24"/>
                <w:lang w:val="en-US" w:eastAsia="zh-CN" w:bidi="ar"/>
              </w:rPr>
              <w:t>，否则不得分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注：</w:t>
            </w:r>
            <w:r>
              <w:rPr>
                <w:rFonts w:hint="eastAsia" w:asciiTheme="minorEastAsia" w:hAnsiTheme="minorEastAsia" w:eastAsiaTheme="minorEastAsia" w:cstheme="minorEastAsia"/>
                <w:color w:val="000000"/>
                <w:kern w:val="0"/>
                <w:sz w:val="24"/>
                <w:szCs w:val="24"/>
                <w:lang w:bidi="ar"/>
              </w:rPr>
              <w:t>《计算机软件著作权证书》生效日期须在本项目投标截止之日前，否则不予计分</w:t>
            </w:r>
            <w:r>
              <w:rPr>
                <w:rFonts w:hint="eastAsia" w:asciiTheme="minorEastAsia" w:hAnsiTheme="minorEastAsia" w:eastAsiaTheme="minorEastAsia" w:cstheme="minorEastAsia"/>
                <w:color w:val="000000"/>
                <w:kern w:val="0"/>
                <w:sz w:val="24"/>
                <w:szCs w:val="24"/>
                <w:lang w:eastAsia="zh-CN" w:bidi="ar"/>
              </w:rPr>
              <w:t>。</w:t>
            </w:r>
          </w:p>
        </w:tc>
      </w:tr>
      <w:tr w14:paraId="247A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0" w:type="dxa"/>
            <w:vMerge w:val="continue"/>
            <w:vAlign w:val="center"/>
          </w:tcPr>
          <w:p w14:paraId="711F09B6">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14:paraId="059D6B71">
            <w:pPr>
              <w:widowControl/>
              <w:spacing w:line="360" w:lineRule="exact"/>
              <w:jc w:val="center"/>
              <w:rPr>
                <w:rFonts w:hint="eastAsia" w:asciiTheme="minorEastAsia" w:hAnsiTheme="minorEastAsia" w:eastAsiaTheme="minorEastAsia" w:cstheme="minorEastAsia"/>
                <w:kern w:val="0"/>
                <w:sz w:val="24"/>
                <w:szCs w:val="24"/>
                <w:lang w:bidi="ar"/>
              </w:rPr>
            </w:pPr>
          </w:p>
        </w:tc>
        <w:tc>
          <w:tcPr>
            <w:tcW w:w="859" w:type="dxa"/>
            <w:vAlign w:val="center"/>
          </w:tcPr>
          <w:p w14:paraId="35CBF92E">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1分</w:t>
            </w:r>
          </w:p>
        </w:tc>
        <w:tc>
          <w:tcPr>
            <w:tcW w:w="7096" w:type="dxa"/>
            <w:vAlign w:val="center"/>
          </w:tcPr>
          <w:p w14:paraId="4364DA07">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9.4根据</w:t>
            </w:r>
            <w:r>
              <w:rPr>
                <w:rFonts w:hint="eastAsia" w:asciiTheme="minorEastAsia" w:hAnsiTheme="minorEastAsia" w:eastAsiaTheme="minorEastAsia" w:cstheme="minorEastAsia"/>
                <w:color w:val="000000"/>
                <w:kern w:val="0"/>
                <w:sz w:val="24"/>
                <w:szCs w:val="24"/>
                <w:lang w:bidi="ar"/>
              </w:rPr>
              <w:t>投标人</w:t>
            </w:r>
            <w:r>
              <w:rPr>
                <w:rFonts w:hint="eastAsia" w:asciiTheme="minorEastAsia" w:hAnsiTheme="minorEastAsia" w:eastAsiaTheme="minorEastAsia" w:cstheme="minorEastAsia"/>
                <w:color w:val="000000"/>
                <w:kern w:val="0"/>
                <w:sz w:val="24"/>
                <w:szCs w:val="24"/>
                <w:lang w:val="en-US" w:eastAsia="zh-CN" w:bidi="ar"/>
              </w:rPr>
              <w:t>所投的产品具有与监室或监所相关智能监室交互终端软件类著作权证书</w:t>
            </w:r>
            <w:r>
              <w:rPr>
                <w:rFonts w:hint="eastAsia" w:asciiTheme="minorEastAsia" w:hAnsiTheme="minorEastAsia" w:eastAsiaTheme="minorEastAsia" w:cstheme="minorEastAsia"/>
                <w:color w:val="000000"/>
                <w:kern w:val="0"/>
                <w:sz w:val="24"/>
                <w:szCs w:val="24"/>
                <w:lang w:eastAsia="zh-CN" w:bidi="ar"/>
              </w:rPr>
              <w:t>，满分</w:t>
            </w:r>
            <w:r>
              <w:rPr>
                <w:rFonts w:hint="eastAsia" w:asciiTheme="minorEastAsia" w:hAnsiTheme="minorEastAsia" w:eastAsiaTheme="minorEastAsia" w:cstheme="minorEastAsia"/>
                <w:color w:val="000000"/>
                <w:kern w:val="0"/>
                <w:sz w:val="24"/>
                <w:szCs w:val="24"/>
                <w:lang w:val="en-US" w:eastAsia="zh-CN" w:bidi="ar"/>
              </w:rPr>
              <w:t>1分</w:t>
            </w:r>
            <w:r>
              <w:rPr>
                <w:rFonts w:hint="eastAsia" w:asciiTheme="minorEastAsia" w:hAnsiTheme="minorEastAsia" w:eastAsiaTheme="minorEastAsia" w:cstheme="minorEastAsia"/>
                <w:color w:val="000000"/>
                <w:kern w:val="0"/>
                <w:sz w:val="24"/>
                <w:szCs w:val="24"/>
                <w:lang w:eastAsia="zh-CN" w:bidi="ar"/>
              </w:rPr>
              <w:t>。</w:t>
            </w:r>
          </w:p>
          <w:p w14:paraId="67753B83">
            <w:pPr>
              <w:widowControl/>
              <w:spacing w:line="360" w:lineRule="exact"/>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须</w:t>
            </w:r>
            <w:r>
              <w:rPr>
                <w:rFonts w:hint="eastAsia" w:asciiTheme="minorEastAsia" w:hAnsiTheme="minorEastAsia" w:eastAsiaTheme="minorEastAsia" w:cstheme="minorEastAsia"/>
                <w:color w:val="auto"/>
                <w:kern w:val="0"/>
                <w:sz w:val="24"/>
                <w:szCs w:val="24"/>
                <w:lang w:bidi="ar"/>
              </w:rPr>
              <w:t>提</w:t>
            </w:r>
            <w:r>
              <w:rPr>
                <w:rFonts w:hint="eastAsia" w:asciiTheme="minorEastAsia" w:hAnsiTheme="minorEastAsia" w:eastAsiaTheme="minorEastAsia" w:cstheme="minorEastAsia"/>
                <w:color w:val="000000"/>
                <w:kern w:val="0"/>
                <w:sz w:val="24"/>
                <w:szCs w:val="24"/>
                <w:lang w:bidi="ar"/>
              </w:rPr>
              <w:t>供国家版权局颁发的《计算机软件著作权证书》复印件</w:t>
            </w:r>
            <w:r>
              <w:rPr>
                <w:rFonts w:hint="eastAsia" w:asciiTheme="minorEastAsia" w:hAnsiTheme="minorEastAsia" w:eastAsiaTheme="minorEastAsia" w:cstheme="minorEastAsia"/>
                <w:color w:val="000000"/>
                <w:kern w:val="0"/>
                <w:sz w:val="24"/>
                <w:szCs w:val="24"/>
                <w:lang w:val="en-US" w:eastAsia="zh-CN" w:bidi="ar"/>
              </w:rPr>
              <w:t>，否则不得分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注：</w:t>
            </w:r>
            <w:r>
              <w:rPr>
                <w:rFonts w:hint="eastAsia" w:asciiTheme="minorEastAsia" w:hAnsiTheme="minorEastAsia" w:eastAsiaTheme="minorEastAsia" w:cstheme="minorEastAsia"/>
                <w:color w:val="000000"/>
                <w:kern w:val="0"/>
                <w:sz w:val="24"/>
                <w:szCs w:val="24"/>
                <w:lang w:bidi="ar"/>
              </w:rPr>
              <w:t>《计算机软件著作权证书》生效日期须在本项目投标截止之日前，否则不予计分</w:t>
            </w:r>
            <w:r>
              <w:rPr>
                <w:rFonts w:hint="eastAsia" w:asciiTheme="minorEastAsia" w:hAnsiTheme="minorEastAsia" w:eastAsiaTheme="minorEastAsia" w:cstheme="minorEastAsia"/>
                <w:color w:val="000000"/>
                <w:kern w:val="0"/>
                <w:sz w:val="24"/>
                <w:szCs w:val="24"/>
                <w:lang w:eastAsia="zh-CN" w:bidi="ar"/>
              </w:rPr>
              <w:t>。</w:t>
            </w:r>
          </w:p>
        </w:tc>
      </w:tr>
      <w:tr w14:paraId="6A76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14:paraId="31380FF4">
            <w:pPr>
              <w:spacing w:line="360"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A10</w:t>
            </w:r>
          </w:p>
        </w:tc>
        <w:tc>
          <w:tcPr>
            <w:tcW w:w="1620" w:type="dxa"/>
            <w:vAlign w:val="center"/>
          </w:tcPr>
          <w:p w14:paraId="2551E92F">
            <w:pPr>
              <w:widowControl/>
              <w:spacing w:line="360" w:lineRule="exact"/>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rPr>
              <w:t>团队人员配备情况</w:t>
            </w:r>
          </w:p>
        </w:tc>
        <w:tc>
          <w:tcPr>
            <w:tcW w:w="859" w:type="dxa"/>
            <w:vAlign w:val="center"/>
          </w:tcPr>
          <w:p w14:paraId="43545F4C">
            <w:pPr>
              <w:widowControl/>
              <w:spacing w:line="36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3分</w:t>
            </w:r>
          </w:p>
        </w:tc>
        <w:tc>
          <w:tcPr>
            <w:tcW w:w="7096" w:type="dxa"/>
            <w:vAlign w:val="center"/>
          </w:tcPr>
          <w:p w14:paraId="690E6C9A">
            <w:pPr>
              <w:widowControl/>
              <w:spacing w:line="3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highlight w:val="none"/>
                <w:lang w:eastAsia="zh-CN" w:bidi="ar"/>
              </w:rPr>
              <w:t>根据</w:t>
            </w:r>
            <w:r>
              <w:rPr>
                <w:rFonts w:hint="eastAsia" w:asciiTheme="minorEastAsia" w:hAnsiTheme="minorEastAsia" w:eastAsiaTheme="minorEastAsia" w:cstheme="minorEastAsia"/>
                <w:color w:val="auto"/>
                <w:kern w:val="0"/>
                <w:sz w:val="24"/>
                <w:szCs w:val="24"/>
                <w:highlight w:val="none"/>
                <w:lang w:bidi="ar"/>
              </w:rPr>
              <w:t>投标人</w:t>
            </w:r>
            <w:r>
              <w:rPr>
                <w:rFonts w:hint="eastAsia" w:asciiTheme="minorEastAsia" w:hAnsiTheme="minorEastAsia" w:eastAsiaTheme="minorEastAsia" w:cstheme="minorEastAsia"/>
                <w:color w:val="auto"/>
                <w:kern w:val="0"/>
                <w:sz w:val="24"/>
                <w:szCs w:val="24"/>
                <w:highlight w:val="none"/>
                <w:lang w:eastAsia="zh-CN" w:bidi="ar"/>
              </w:rPr>
              <w:t>针对本项目</w:t>
            </w:r>
            <w:r>
              <w:rPr>
                <w:rFonts w:hint="eastAsia" w:asciiTheme="minorEastAsia" w:hAnsiTheme="minorEastAsia" w:eastAsiaTheme="minorEastAsia" w:cstheme="minorEastAsia"/>
                <w:color w:val="auto"/>
                <w:kern w:val="0"/>
                <w:sz w:val="24"/>
                <w:szCs w:val="24"/>
                <w:highlight w:val="none"/>
                <w:lang w:bidi="ar"/>
              </w:rPr>
              <w:t>拟配备的</w:t>
            </w:r>
            <w:r>
              <w:rPr>
                <w:rFonts w:hint="eastAsia" w:asciiTheme="minorEastAsia" w:hAnsiTheme="minorEastAsia" w:eastAsiaTheme="minorEastAsia" w:cstheme="minorEastAsia"/>
                <w:color w:val="auto"/>
                <w:kern w:val="0"/>
                <w:sz w:val="24"/>
                <w:szCs w:val="24"/>
                <w:highlight w:val="none"/>
                <w:lang w:eastAsia="zh-CN" w:bidi="ar"/>
              </w:rPr>
              <w:t>团队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项目经理的</w:t>
            </w:r>
            <w:r>
              <w:rPr>
                <w:rFonts w:hint="eastAsia" w:asciiTheme="minorEastAsia" w:hAnsiTheme="minorEastAsia" w:eastAsiaTheme="minorEastAsia" w:cstheme="minorEastAsia"/>
                <w:color w:val="auto"/>
                <w:kern w:val="0"/>
                <w:sz w:val="24"/>
                <w:szCs w:val="24"/>
                <w:highlight w:val="none"/>
                <w:lang w:eastAsia="zh-CN" w:bidi="ar"/>
              </w:rPr>
              <w:t>情况，按以下标准进行评审：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同时具备①注册信息安全人员(CISP)证书、②信息系统项目管理师证书、③系统规划与管理师证书的得3分，每缺少一项的扣1分，未提供的不得分。（须提供有效的证书复印件或扫描件、投标人为其缴纳的</w:t>
            </w:r>
            <w:r>
              <w:rPr>
                <w:rFonts w:hint="eastAsia" w:asciiTheme="minorEastAsia" w:hAnsiTheme="minorEastAsia" w:eastAsiaTheme="minorEastAsia" w:cstheme="minorEastAsia"/>
                <w:color w:val="auto"/>
                <w:kern w:val="0"/>
                <w:sz w:val="24"/>
                <w:szCs w:val="24"/>
                <w:highlight w:val="none"/>
                <w:lang w:bidi="ar"/>
              </w:rPr>
              <w:t>投标截止时间前六个月（不含投标截止时间的当月）中任一月份的社保证明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bidi="ar"/>
              </w:rPr>
              <w:t>至少包含养老保险，并加盖社保部门公章或电子章，若供应商为提交首次响应文件截止时间当月成立的可提供依法缴纳社会保障资金承诺书（格式自拟）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，否则不得分。</w:t>
            </w:r>
          </w:p>
        </w:tc>
      </w:tr>
      <w:tr w14:paraId="3536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14:paraId="6A0D0698">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A11</w:t>
            </w:r>
          </w:p>
        </w:tc>
        <w:tc>
          <w:tcPr>
            <w:tcW w:w="1620" w:type="dxa"/>
            <w:vAlign w:val="center"/>
          </w:tcPr>
          <w:p w14:paraId="17986C8E">
            <w:pPr>
              <w:widowControl/>
              <w:spacing w:line="360" w:lineRule="exact"/>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kern w:val="0"/>
                <w:sz w:val="24"/>
                <w:szCs w:val="24"/>
                <w:lang w:bidi="ar"/>
              </w:rPr>
              <w:t>运维人员</w:t>
            </w:r>
          </w:p>
        </w:tc>
        <w:tc>
          <w:tcPr>
            <w:tcW w:w="859" w:type="dxa"/>
            <w:vAlign w:val="center"/>
          </w:tcPr>
          <w:p w14:paraId="228FA526">
            <w:pPr>
              <w:widowControl/>
              <w:spacing w:line="360" w:lineRule="exact"/>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3分</w:t>
            </w:r>
          </w:p>
        </w:tc>
        <w:tc>
          <w:tcPr>
            <w:tcW w:w="7096" w:type="dxa"/>
            <w:vAlign w:val="center"/>
          </w:tcPr>
          <w:p w14:paraId="780E757B">
            <w:pPr>
              <w:widowControl/>
              <w:spacing w:line="360" w:lineRule="exact"/>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根据</w:t>
            </w:r>
            <w:r>
              <w:rPr>
                <w:rFonts w:hint="eastAsia" w:asciiTheme="minorEastAsia" w:hAnsiTheme="minorEastAsia" w:eastAsiaTheme="minorEastAsia" w:cstheme="minorEastAsia"/>
                <w:color w:val="000000"/>
                <w:kern w:val="0"/>
                <w:sz w:val="24"/>
                <w:szCs w:val="24"/>
                <w:lang w:bidi="ar"/>
              </w:rPr>
              <w:t>投标人</w:t>
            </w:r>
            <w:r>
              <w:rPr>
                <w:rFonts w:hint="eastAsia" w:asciiTheme="minorEastAsia" w:hAnsiTheme="minorEastAsia" w:eastAsiaTheme="minorEastAsia" w:cstheme="minorEastAsia"/>
                <w:color w:val="000000"/>
                <w:kern w:val="0"/>
                <w:sz w:val="24"/>
                <w:szCs w:val="24"/>
                <w:lang w:eastAsia="zh-CN" w:bidi="ar"/>
              </w:rPr>
              <w:t>针对本项目</w:t>
            </w:r>
            <w:r>
              <w:rPr>
                <w:rFonts w:hint="eastAsia" w:asciiTheme="minorEastAsia" w:hAnsiTheme="minorEastAsia" w:eastAsiaTheme="minorEastAsia" w:cstheme="minorEastAsia"/>
                <w:color w:val="auto"/>
                <w:kern w:val="0"/>
                <w:sz w:val="24"/>
                <w:szCs w:val="24"/>
                <w:lang w:eastAsia="zh-CN" w:bidi="ar"/>
              </w:rPr>
              <w:t>驻场要求</w:t>
            </w:r>
            <w:r>
              <w:rPr>
                <w:rFonts w:hint="eastAsia" w:asciiTheme="minorEastAsia" w:hAnsiTheme="minorEastAsia" w:eastAsiaTheme="minorEastAsia" w:cstheme="minorEastAsia"/>
                <w:color w:val="auto"/>
                <w:kern w:val="0"/>
                <w:sz w:val="24"/>
                <w:szCs w:val="24"/>
                <w:lang w:bidi="ar"/>
              </w:rPr>
              <w:t>拟配备的</w:t>
            </w:r>
            <w:r>
              <w:rPr>
                <w:rFonts w:hint="eastAsia" w:asciiTheme="minorEastAsia" w:hAnsiTheme="minorEastAsia" w:eastAsiaTheme="minorEastAsia" w:cstheme="minorEastAsia"/>
                <w:color w:val="auto"/>
                <w:kern w:val="0"/>
                <w:sz w:val="24"/>
                <w:szCs w:val="24"/>
                <w:highlight w:val="none"/>
                <w:lang w:bidi="ar"/>
              </w:rPr>
              <w:t>运维人员</w:t>
            </w:r>
            <w:r>
              <w:rPr>
                <w:rFonts w:hint="eastAsia" w:asciiTheme="minorEastAsia" w:hAnsiTheme="minorEastAsia" w:eastAsiaTheme="minorEastAsia" w:cstheme="minorEastAsia"/>
                <w:color w:val="000000"/>
                <w:kern w:val="0"/>
                <w:sz w:val="24"/>
                <w:szCs w:val="24"/>
                <w:lang w:eastAsia="zh-CN" w:bidi="ar"/>
              </w:rPr>
              <w:t>情况进行评审：</w:t>
            </w:r>
            <w:r>
              <w:rPr>
                <w:rFonts w:hint="eastAsia" w:asciiTheme="minorEastAsia" w:hAnsiTheme="minorEastAsia" w:eastAsiaTheme="minorEastAsia" w:cstheme="minorEastAsia"/>
                <w:color w:val="000000"/>
                <w:kern w:val="0"/>
                <w:sz w:val="24"/>
                <w:szCs w:val="24"/>
                <w:lang w:bidi="ar"/>
              </w:rPr>
              <w:t>每</w:t>
            </w:r>
            <w:r>
              <w:rPr>
                <w:rFonts w:hint="eastAsia" w:asciiTheme="minorEastAsia" w:hAnsiTheme="minorEastAsia" w:eastAsiaTheme="minorEastAsia" w:cstheme="minorEastAsia"/>
                <w:color w:val="000000"/>
                <w:kern w:val="0"/>
                <w:sz w:val="24"/>
                <w:szCs w:val="24"/>
                <w:lang w:eastAsia="zh-CN" w:bidi="ar"/>
              </w:rPr>
              <w:t>提供</w:t>
            </w:r>
            <w:r>
              <w:rPr>
                <w:rFonts w:hint="eastAsia" w:asciiTheme="minorEastAsia" w:hAnsiTheme="minorEastAsia" w:eastAsiaTheme="minorEastAsia" w:cstheme="minorEastAsia"/>
                <w:color w:val="000000"/>
                <w:kern w:val="0"/>
                <w:sz w:val="24"/>
                <w:szCs w:val="24"/>
                <w:lang w:bidi="ar"/>
              </w:rPr>
              <w:t>1名具有2年</w:t>
            </w:r>
            <w:r>
              <w:rPr>
                <w:rFonts w:hint="eastAsia" w:asciiTheme="minorEastAsia" w:hAnsiTheme="minorEastAsia" w:eastAsiaTheme="minorEastAsia" w:cstheme="minorEastAsia"/>
                <w:color w:val="000000"/>
                <w:kern w:val="0"/>
                <w:sz w:val="24"/>
                <w:szCs w:val="24"/>
                <w:lang w:eastAsia="zh-CN" w:bidi="ar"/>
              </w:rPr>
              <w:t>及</w:t>
            </w:r>
            <w:r>
              <w:rPr>
                <w:rFonts w:hint="eastAsia" w:asciiTheme="minorEastAsia" w:hAnsiTheme="minorEastAsia" w:eastAsiaTheme="minorEastAsia" w:cstheme="minorEastAsia"/>
                <w:color w:val="000000"/>
                <w:kern w:val="0"/>
                <w:sz w:val="24"/>
                <w:szCs w:val="24"/>
                <w:lang w:bidi="ar"/>
              </w:rPr>
              <w:t>以上工作经验的且具有软件工程</w:t>
            </w:r>
            <w:r>
              <w:rPr>
                <w:rFonts w:hint="eastAsia" w:asciiTheme="minorEastAsia" w:hAnsiTheme="minorEastAsia" w:eastAsiaTheme="minorEastAsia" w:cstheme="minorEastAsia"/>
                <w:color w:val="000000"/>
                <w:kern w:val="0"/>
                <w:sz w:val="24"/>
                <w:szCs w:val="24"/>
                <w:lang w:eastAsia="zh-CN" w:bidi="ar"/>
              </w:rPr>
              <w:t>（或</w:t>
            </w:r>
            <w:r>
              <w:rPr>
                <w:rFonts w:hint="eastAsia" w:asciiTheme="minorEastAsia" w:hAnsiTheme="minorEastAsia" w:eastAsiaTheme="minorEastAsia" w:cstheme="minorEastAsia"/>
                <w:color w:val="000000"/>
                <w:kern w:val="0"/>
                <w:sz w:val="24"/>
                <w:szCs w:val="24"/>
                <w:lang w:bidi="ar"/>
              </w:rPr>
              <w:t>网络工程</w:t>
            </w:r>
            <w:r>
              <w:rPr>
                <w:rFonts w:hint="eastAsia" w:asciiTheme="minorEastAsia" w:hAnsiTheme="minorEastAsia" w:eastAsiaTheme="minorEastAsia" w:cstheme="minorEastAsia"/>
                <w:color w:val="000000"/>
                <w:kern w:val="0"/>
                <w:sz w:val="24"/>
                <w:szCs w:val="24"/>
                <w:lang w:eastAsia="zh-CN" w:bidi="ar"/>
              </w:rPr>
              <w:t>）相关专业</w:t>
            </w:r>
            <w:r>
              <w:rPr>
                <w:rFonts w:hint="eastAsia" w:asciiTheme="minorEastAsia" w:hAnsiTheme="minorEastAsia" w:eastAsiaTheme="minorEastAsia" w:cstheme="minorEastAsia"/>
                <w:color w:val="000000"/>
                <w:kern w:val="0"/>
                <w:sz w:val="24"/>
                <w:szCs w:val="24"/>
                <w:lang w:bidi="ar"/>
              </w:rPr>
              <w:t>本科及以上学历</w:t>
            </w:r>
            <w:r>
              <w:rPr>
                <w:rFonts w:hint="eastAsia" w:asciiTheme="minorEastAsia" w:hAnsiTheme="minorEastAsia" w:eastAsiaTheme="minorEastAsia" w:cstheme="minorEastAsia"/>
                <w:color w:val="000000"/>
                <w:kern w:val="0"/>
                <w:sz w:val="24"/>
                <w:szCs w:val="24"/>
                <w:lang w:eastAsia="zh-CN" w:bidi="ar"/>
              </w:rPr>
              <w:t>的</w:t>
            </w:r>
            <w:r>
              <w:rPr>
                <w:rFonts w:hint="eastAsia" w:asciiTheme="minorEastAsia" w:hAnsiTheme="minorEastAsia" w:eastAsiaTheme="minorEastAsia" w:cstheme="minorEastAsia"/>
                <w:color w:val="000000"/>
                <w:kern w:val="0"/>
                <w:sz w:val="24"/>
                <w:szCs w:val="24"/>
                <w:lang w:bidi="ar"/>
              </w:rPr>
              <w:t>得1分，满分</w:t>
            </w: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分。</w:t>
            </w:r>
          </w:p>
          <w:p w14:paraId="20032C4F">
            <w:pPr>
              <w:widowControl/>
              <w:spacing w:line="360" w:lineRule="exact"/>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须提供以</w:t>
            </w:r>
            <w:r>
              <w:rPr>
                <w:rFonts w:hint="eastAsia" w:asciiTheme="minorEastAsia" w:hAnsiTheme="minorEastAsia" w:eastAsiaTheme="minorEastAsia" w:cstheme="minorEastAsia"/>
                <w:color w:val="auto"/>
                <w:kern w:val="0"/>
                <w:sz w:val="24"/>
                <w:szCs w:val="24"/>
                <w:lang w:bidi="ar"/>
              </w:rPr>
              <w:t>上人员有效的身份证</w:t>
            </w:r>
            <w:r>
              <w:rPr>
                <w:rFonts w:hint="eastAsia" w:asciiTheme="minorEastAsia" w:hAnsiTheme="minorEastAsia" w:eastAsiaTheme="minorEastAsia" w:cstheme="minorEastAsia"/>
                <w:color w:val="auto"/>
                <w:kern w:val="0"/>
                <w:sz w:val="24"/>
                <w:szCs w:val="24"/>
                <w:lang w:eastAsia="zh-CN" w:bidi="ar"/>
              </w:rPr>
              <w:t>（正、反面）</w:t>
            </w:r>
            <w:r>
              <w:rPr>
                <w:rFonts w:hint="eastAsia" w:asciiTheme="minorEastAsia" w:hAnsiTheme="minorEastAsia" w:eastAsiaTheme="minorEastAsia" w:cstheme="minorEastAsia"/>
                <w:color w:val="auto"/>
                <w:kern w:val="0"/>
                <w:sz w:val="24"/>
                <w:szCs w:val="24"/>
                <w:lang w:bidi="ar"/>
              </w:rPr>
              <w:t>复印件、学信网查询报告复印件、</w:t>
            </w:r>
            <w:r>
              <w:rPr>
                <w:rFonts w:hint="eastAsia" w:asciiTheme="minorEastAsia" w:hAnsiTheme="minorEastAsia" w:eastAsiaTheme="minorEastAsia" w:cstheme="minorEastAsia"/>
                <w:color w:val="auto"/>
                <w:kern w:val="0"/>
                <w:sz w:val="24"/>
                <w:szCs w:val="24"/>
                <w:highlight w:val="none"/>
                <w:lang w:val="en-US" w:eastAsia="zh-CN" w:bidi="ar"/>
              </w:rPr>
              <w:t>工作经验相关证明材料（材料须能体现该人员名字及工作经验年限）</w:t>
            </w:r>
            <w:r>
              <w:rPr>
                <w:rFonts w:hint="eastAsia" w:asciiTheme="minorEastAsia" w:hAnsiTheme="minorEastAsia" w:eastAsiaTheme="minorEastAsia" w:cstheme="minorEastAsia"/>
                <w:color w:val="auto"/>
                <w:kern w:val="0"/>
                <w:sz w:val="24"/>
                <w:szCs w:val="24"/>
                <w:lang w:bidi="ar"/>
              </w:rPr>
              <w:t>、投标截止时间前六个月（不含投标截止时间的当月）中任一月份的投标人为其缴交的社保证明</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highlight w:val="none"/>
                <w:lang w:val="en-US" w:eastAsia="zh-CN" w:bidi="ar"/>
              </w:rPr>
              <w:t>至少包含养老保险，并加盖社保部门公章或电子章，若供应商为提交首次响应文件截止时间当月成立的可提供依法缴纳社会保障资金承诺书（格式自拟）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lang w:bidi="ar"/>
              </w:rPr>
              <w:t>，未提供或提供不全的不得分。</w:t>
            </w:r>
          </w:p>
        </w:tc>
      </w:tr>
      <w:tr w14:paraId="24FD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vMerge w:val="restart"/>
            <w:vAlign w:val="center"/>
          </w:tcPr>
          <w:p w14:paraId="01EB0B9A">
            <w:pPr>
              <w:spacing w:line="360"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A12</w:t>
            </w:r>
          </w:p>
        </w:tc>
        <w:tc>
          <w:tcPr>
            <w:tcW w:w="1620" w:type="dxa"/>
            <w:vMerge w:val="restart"/>
            <w:vAlign w:val="center"/>
          </w:tcPr>
          <w:p w14:paraId="374396D8">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en-US" w:eastAsia="zh-CN"/>
              </w:rPr>
              <w:t>现场</w:t>
            </w:r>
            <w:r>
              <w:rPr>
                <w:rFonts w:hint="eastAsia" w:asciiTheme="minorEastAsia" w:hAnsiTheme="minorEastAsia" w:eastAsiaTheme="minorEastAsia" w:cstheme="minorEastAsia"/>
                <w:sz w:val="24"/>
                <w:szCs w:val="24"/>
              </w:rPr>
              <w:t>演示</w:t>
            </w:r>
          </w:p>
        </w:tc>
        <w:tc>
          <w:tcPr>
            <w:tcW w:w="859" w:type="dxa"/>
            <w:vAlign w:val="center"/>
          </w:tcPr>
          <w:p w14:paraId="0FC72392">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14:paraId="744DDA39">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bidi="ar"/>
              </w:rPr>
              <w:t>12.1本项目中统一管理平台中的</w:t>
            </w:r>
            <w:r>
              <w:rPr>
                <w:rFonts w:hint="eastAsia" w:asciiTheme="minorEastAsia" w:hAnsiTheme="minorEastAsia" w:eastAsiaTheme="minorEastAsia" w:cstheme="minorEastAsia"/>
                <w:color w:val="auto"/>
                <w:sz w:val="24"/>
                <w:szCs w:val="24"/>
                <w:highlight w:val="none"/>
                <w:lang w:bidi="ar"/>
              </w:rPr>
              <w:t>统一权限管理</w:t>
            </w:r>
            <w:r>
              <w:rPr>
                <w:rFonts w:hint="eastAsia" w:asciiTheme="minorEastAsia" w:hAnsiTheme="minorEastAsia" w:eastAsiaTheme="minorEastAsia" w:cstheme="minorEastAsia"/>
                <w:color w:val="auto"/>
                <w:sz w:val="24"/>
                <w:szCs w:val="24"/>
                <w:highlight w:val="none"/>
                <w:lang w:val="en-US" w:eastAsia="zh-CN" w:bidi="ar"/>
              </w:rPr>
              <w:t>功能演示要求如下</w:t>
            </w:r>
            <w:r>
              <w:rPr>
                <w:rFonts w:hint="eastAsia" w:asciiTheme="minorEastAsia" w:hAnsiTheme="minorEastAsia" w:eastAsiaTheme="minorEastAsia" w:cstheme="minorEastAsia"/>
                <w:color w:val="auto"/>
                <w:sz w:val="24"/>
                <w:szCs w:val="24"/>
                <w:highlight w:val="none"/>
                <w:lang w:bidi="ar"/>
              </w:rPr>
              <w:t>：</w:t>
            </w:r>
          </w:p>
          <w:p w14:paraId="1F2EA381">
            <w:pPr>
              <w:keepNext w:val="0"/>
              <w:keepLines w:val="0"/>
              <w:pageBreakBefore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可分为域后台、组织后台两种后台，其中域后台作为系统基础设置管理，组织后台可作为各个分厂区个性化管理，得0.5分；</w:t>
            </w:r>
          </w:p>
          <w:p w14:paraId="3B59F015">
            <w:pPr>
              <w:keepNext w:val="0"/>
              <w:keepLines w:val="0"/>
              <w:pageBreakBefore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组织后台可设置超级管理员、管理员两种角色，可以设置多个管理账号，且可为每个账号授予特定的功能权限和数据权限；设定管理账号，有查看权限、操作权限，设定组织架构、应用的数据访问域权限，得0.5分；</w:t>
            </w:r>
          </w:p>
          <w:p w14:paraId="0F4BA3DB">
            <w:pPr>
              <w:keepNext w:val="0"/>
              <w:keepLines w:val="0"/>
              <w:pageBreakBefore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设定使用权限，通过后台配置，招标人只能看到和操作被授予权限部分的数据和功能，得0.5分；</w:t>
            </w:r>
          </w:p>
          <w:p w14:paraId="350A6C0C">
            <w:pPr>
              <w:keepNext w:val="0"/>
              <w:keepLines w:val="0"/>
              <w:pageBreakBefore w:val="0"/>
              <w:widowControl/>
              <w:numPr>
                <w:ilvl w:val="0"/>
                <w:numId w:val="6"/>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lang w:val="en-US" w:eastAsia="zh-CN"/>
              </w:rPr>
              <w:t>对于应用、人员，均可以设置指定的管理人员和管理范围，得0.5分。</w:t>
            </w:r>
          </w:p>
        </w:tc>
      </w:tr>
      <w:tr w14:paraId="6188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20" w:type="dxa"/>
            <w:vMerge w:val="continue"/>
            <w:vAlign w:val="center"/>
          </w:tcPr>
          <w:p w14:paraId="2DBDFF5D">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14:paraId="1349303E">
            <w:pPr>
              <w:widowControl/>
              <w:spacing w:line="360" w:lineRule="exact"/>
              <w:jc w:val="center"/>
              <w:rPr>
                <w:rFonts w:hint="eastAsia" w:asciiTheme="minorEastAsia" w:hAnsiTheme="minorEastAsia" w:eastAsiaTheme="minorEastAsia" w:cstheme="minorEastAsia"/>
                <w:sz w:val="24"/>
                <w:szCs w:val="24"/>
              </w:rPr>
            </w:pPr>
          </w:p>
        </w:tc>
        <w:tc>
          <w:tcPr>
            <w:tcW w:w="859" w:type="dxa"/>
            <w:vAlign w:val="center"/>
          </w:tcPr>
          <w:p w14:paraId="453ADF39">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14:paraId="31B0CD50">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12.2本项目中统一管理平台中的统一审批管理功能演示要求如下：</w:t>
            </w:r>
          </w:p>
          <w:p w14:paraId="04C9F361">
            <w:pPr>
              <w:keepNext w:val="0"/>
              <w:keepLines w:val="0"/>
              <w:pageBreakBefore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流程自定义演示：提供的流程设计器，使招标人能够根据实际业务需求自定义审批流程，</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1分；</w:t>
            </w:r>
          </w:p>
          <w:p w14:paraId="3FF43B3C">
            <w:pPr>
              <w:keepNext w:val="0"/>
              <w:keepLines w:val="0"/>
              <w:pageBreakBefore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多业务场景演示：招标人可以根据自己的需求，自定义审批流程中的表单字段、审批角色，自行设计审批流程，</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1分；</w:t>
            </w:r>
          </w:p>
          <w:p w14:paraId="3117A3A5">
            <w:pPr>
              <w:keepNext w:val="0"/>
              <w:keepLines w:val="0"/>
              <w:pageBreakBefore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实时通知与沟通演示：当有新的审批任务生成或者审批状态发生变化时，应用会自动发送通知和提醒给相关人员，确保相关人员能够随时了解审批进展并及时处理。此外，应用还应提供评论和留言功能，方便审批人员之间进行实时沟通，</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1分。</w:t>
            </w:r>
          </w:p>
        </w:tc>
      </w:tr>
      <w:tr w14:paraId="575A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1FFEA601">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14:paraId="68B9B8B8">
            <w:pPr>
              <w:widowControl/>
              <w:spacing w:line="360" w:lineRule="exact"/>
              <w:jc w:val="center"/>
              <w:rPr>
                <w:rFonts w:hint="eastAsia" w:asciiTheme="minorEastAsia" w:hAnsiTheme="minorEastAsia" w:eastAsiaTheme="minorEastAsia" w:cstheme="minorEastAsia"/>
                <w:sz w:val="24"/>
                <w:szCs w:val="24"/>
              </w:rPr>
            </w:pPr>
          </w:p>
        </w:tc>
        <w:tc>
          <w:tcPr>
            <w:tcW w:w="859" w:type="dxa"/>
            <w:vAlign w:val="center"/>
          </w:tcPr>
          <w:p w14:paraId="4020DF20">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14:paraId="16541C81">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12.3本项目中统一管理平台中的统一应用管理功能演示要求如下：</w:t>
            </w:r>
          </w:p>
          <w:p w14:paraId="54E7C5CC">
            <w:pPr>
              <w:keepNext w:val="0"/>
              <w:keepLines w:val="0"/>
              <w:pageBreakBefore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快速部署H5轻应用、服务号和原生应用，</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65BCA71B">
            <w:pPr>
              <w:keepNext w:val="0"/>
              <w:keepLines w:val="0"/>
              <w:pageBreakBefore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便捷设置应用可见权限，可选定某一组织节点或单人，可对应用设置强制安装和推荐安装，</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3223F978">
            <w:pPr>
              <w:keepNext w:val="0"/>
              <w:keepLines w:val="0"/>
              <w:pageBreakBefore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应用维护人员自定义，可以由相关业务部门自行维护，</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064F0E0E">
            <w:pPr>
              <w:keepNext w:val="0"/>
              <w:keepLines w:val="0"/>
              <w:pageBreakBefore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应用通知可推送至消息TAB（消息中心），</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tc>
      </w:tr>
      <w:tr w14:paraId="2D50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2D9774AB">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14:paraId="18506CE6">
            <w:pPr>
              <w:widowControl/>
              <w:spacing w:line="360" w:lineRule="exact"/>
              <w:jc w:val="center"/>
              <w:rPr>
                <w:rFonts w:hint="eastAsia" w:asciiTheme="minorEastAsia" w:hAnsiTheme="minorEastAsia" w:eastAsiaTheme="minorEastAsia" w:cstheme="minorEastAsia"/>
                <w:sz w:val="24"/>
                <w:szCs w:val="24"/>
              </w:rPr>
            </w:pPr>
          </w:p>
        </w:tc>
        <w:tc>
          <w:tcPr>
            <w:tcW w:w="859" w:type="dxa"/>
            <w:vAlign w:val="center"/>
          </w:tcPr>
          <w:p w14:paraId="0FD4EB07">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14:paraId="3431488F">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12.4本项目中统一管理平台中的统一门户管理功能演示要求如下：</w:t>
            </w:r>
          </w:p>
          <w:p w14:paraId="45B01A8A">
            <w:pPr>
              <w:keepNext w:val="0"/>
              <w:keepLines w:val="0"/>
              <w:pageBreakBefore w:val="0"/>
              <w:numPr>
                <w:ilvl w:val="0"/>
                <w:numId w:val="9"/>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构建组件：包含图形组件、列表组件、表单组件、内嵌组件，组件预览，</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4D97858E">
            <w:pPr>
              <w:keepNext w:val="0"/>
              <w:keepLines w:val="0"/>
              <w:pageBreakBefore w:val="0"/>
              <w:numPr>
                <w:ilvl w:val="0"/>
                <w:numId w:val="9"/>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sz w:val="24"/>
                <w:szCs w:val="24"/>
                <w:lang w:val="en-US" w:eastAsia="zh-CN"/>
              </w:rPr>
              <w:t>招标人</w:t>
            </w:r>
            <w:r>
              <w:rPr>
                <w:rFonts w:hint="eastAsia" w:asciiTheme="minorEastAsia" w:hAnsiTheme="minorEastAsia" w:eastAsiaTheme="minorEastAsia" w:cstheme="minorEastAsia"/>
                <w:color w:val="auto"/>
                <w:sz w:val="24"/>
                <w:szCs w:val="24"/>
                <w:highlight w:val="none"/>
                <w:lang w:val="en-US" w:eastAsia="zh-CN" w:bidi="ar"/>
              </w:rPr>
              <w:t>支持设置工作台组件权限，</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2F026AB2">
            <w:pPr>
              <w:keepNext w:val="0"/>
              <w:keepLines w:val="0"/>
              <w:pageBreakBefore w:val="0"/>
              <w:numPr>
                <w:ilvl w:val="0"/>
                <w:numId w:val="9"/>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sz w:val="24"/>
                <w:szCs w:val="24"/>
                <w:lang w:val="en-US" w:eastAsia="zh-CN"/>
              </w:rPr>
              <w:t>招标人</w:t>
            </w:r>
            <w:r>
              <w:rPr>
                <w:rFonts w:hint="eastAsia" w:asciiTheme="minorEastAsia" w:hAnsiTheme="minorEastAsia" w:eastAsiaTheme="minorEastAsia" w:cstheme="minorEastAsia"/>
                <w:color w:val="auto"/>
                <w:sz w:val="24"/>
                <w:szCs w:val="24"/>
                <w:highlight w:val="none"/>
                <w:lang w:val="en-US" w:eastAsia="zh-CN" w:bidi="ar"/>
              </w:rPr>
              <w:t>可自定义自己的工作台、预览工作台、支持拖拽工作台组件，</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1分。</w:t>
            </w:r>
          </w:p>
        </w:tc>
      </w:tr>
      <w:tr w14:paraId="0F2E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20" w:type="dxa"/>
            <w:vMerge w:val="continue"/>
            <w:vAlign w:val="center"/>
          </w:tcPr>
          <w:p w14:paraId="48F8468E">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14:paraId="476BFBC3">
            <w:pPr>
              <w:widowControl/>
              <w:spacing w:line="360" w:lineRule="exact"/>
              <w:jc w:val="center"/>
              <w:rPr>
                <w:rFonts w:hint="eastAsia" w:asciiTheme="minorEastAsia" w:hAnsiTheme="minorEastAsia" w:eastAsiaTheme="minorEastAsia" w:cstheme="minorEastAsia"/>
                <w:sz w:val="24"/>
                <w:szCs w:val="24"/>
              </w:rPr>
            </w:pPr>
          </w:p>
        </w:tc>
        <w:tc>
          <w:tcPr>
            <w:tcW w:w="859" w:type="dxa"/>
            <w:vAlign w:val="center"/>
          </w:tcPr>
          <w:p w14:paraId="490ED6F7">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14:paraId="0F6C961B">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12.5本项目中可视对讲APP演示要求如下：</w:t>
            </w:r>
          </w:p>
          <w:p w14:paraId="0D252135">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监室内交互终端进行一键呼叫，管理终端进行被动接听（监室内交互终端应无法看到管理终端画面）；管理终端主动发起呼叫，选择呼叫对象，监室内交互终端强制被动接听，</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145BEDDA">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管理终端与监视内交互终端对讲时，有新的呼叫，管理终端可查看待接列表，自主选择接听或转接；管理后端可以强行拆解当前某一对话，</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6C49FC9F">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监室内交互终端、管理终端可查看历史呼叫记录；管理终端可对此前对讲过程的录音、视频进行回放，</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00EB9013">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管理终端对监室交互终端进行静默监视监听，在监视监听过程中，监视内交互终端无任何动作与提示，不会被察觉，</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0137A823">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管理终端可对监室交互终端发起监控轮巡，轮巡时间可设定，</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247965A8">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管理终端可通过sip协议与符合sip标准的其他设备客户端（如手机）软件进行对讲，</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 xml:space="preserve">0.5分。 </w:t>
            </w:r>
          </w:p>
        </w:tc>
      </w:tr>
      <w:tr w14:paraId="0F66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20" w:type="dxa"/>
            <w:vMerge w:val="continue"/>
            <w:vAlign w:val="center"/>
          </w:tcPr>
          <w:p w14:paraId="07C46A35">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14:paraId="77C21915">
            <w:pPr>
              <w:widowControl/>
              <w:spacing w:line="360" w:lineRule="exact"/>
              <w:jc w:val="center"/>
              <w:rPr>
                <w:rFonts w:hint="eastAsia" w:asciiTheme="minorEastAsia" w:hAnsiTheme="minorEastAsia" w:eastAsiaTheme="minorEastAsia" w:cstheme="minorEastAsia"/>
                <w:sz w:val="24"/>
                <w:szCs w:val="24"/>
              </w:rPr>
            </w:pPr>
          </w:p>
        </w:tc>
        <w:tc>
          <w:tcPr>
            <w:tcW w:w="859" w:type="dxa"/>
            <w:vAlign w:val="center"/>
          </w:tcPr>
          <w:p w14:paraId="5C640B39">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14:paraId="339D1AA3">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12.6本项目中人脸点名APP演示要求如下：</w:t>
            </w:r>
          </w:p>
          <w:p w14:paraId="1C472A2A">
            <w:pPr>
              <w:keepNext w:val="0"/>
              <w:keepLines w:val="0"/>
              <w:pageBreakBefore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管理终端创建自定义人脸点名，设置点名时间段、点名范围、点名重复周期和点名语音播报，</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1分；</w:t>
            </w:r>
          </w:p>
          <w:p w14:paraId="2B879FCB">
            <w:pPr>
              <w:keepNext w:val="0"/>
              <w:keepLines w:val="0"/>
              <w:pageBreakBefore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监舍内交互终端根据点名计划显示点名倒计时，倒计时结束自动开启人脸点名，并可在点名各阶段进行点名相关语音播报提醒，</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3A712EBD">
            <w:pPr>
              <w:keepNext w:val="0"/>
              <w:keepLines w:val="0"/>
              <w:pageBreakBefore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监室外发布终端、管理终端可实时同步显示当前正在进行的点名情况，</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4490E20D">
            <w:pPr>
              <w:keepNext w:val="0"/>
              <w:keepLines w:val="0"/>
              <w:pageBreakBefore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可查看历史点名统计、未处理情况统计、点名详情，对未点人员进行原因备注，可进行未点人员批量备注，可设置未点人员备注状态延续（默认未点人员备注状态延续至下一次点名）、支持未点人员在人脸点名后消除延续的备注状态，</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14:paraId="2C6BAD47">
            <w:pPr>
              <w:keepNext w:val="0"/>
              <w:keepLines w:val="0"/>
              <w:pageBreakBefore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指挥中心管理终端可查看全监历史点名统计和明细，</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tc>
      </w:tr>
      <w:tr w14:paraId="630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95" w:type="dxa"/>
            <w:gridSpan w:val="4"/>
            <w:vAlign w:val="center"/>
          </w:tcPr>
          <w:p w14:paraId="76CB4DE6">
            <w:pPr>
              <w:jc w:val="left"/>
              <w:rPr>
                <w:rFonts w:hint="default" w:ascii="宋体" w:eastAsia="宋体"/>
                <w:sz w:val="24"/>
                <w:lang w:val="en-US" w:eastAsia="zh-CN"/>
              </w:rPr>
            </w:pPr>
            <w:r>
              <w:rPr>
                <w:rFonts w:hint="eastAsia" w:asciiTheme="minorEastAsia" w:hAnsiTheme="minorEastAsia" w:eastAsiaTheme="minorEastAsia" w:cstheme="minorEastAsia"/>
                <w:sz w:val="24"/>
              </w:rPr>
              <w:t>各投标人的技术部分得分A=A1+A2+A3+A4+A5+A6+A7+A8+A9+A10+A11+A12</w:t>
            </w:r>
          </w:p>
        </w:tc>
      </w:tr>
      <w:tr w14:paraId="2529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20" w:type="dxa"/>
            <w:vAlign w:val="center"/>
          </w:tcPr>
          <w:p w14:paraId="6B535845">
            <w:pPr>
              <w:spacing w:line="24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w:t>
            </w:r>
          </w:p>
        </w:tc>
        <w:tc>
          <w:tcPr>
            <w:tcW w:w="9575" w:type="dxa"/>
            <w:gridSpan w:val="3"/>
            <w:vAlign w:val="center"/>
          </w:tcPr>
          <w:p w14:paraId="759CC030">
            <w:pPr>
              <w:spacing w:line="24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highlight w:val="none"/>
              </w:rPr>
              <w:t>商务部分评分（B满分</w:t>
            </w:r>
            <w:r>
              <w:rPr>
                <w:rFonts w:hint="eastAsia" w:asciiTheme="minorEastAsia" w:hAnsiTheme="minorEastAsia" w:eastAsiaTheme="minorEastAsia" w:cstheme="minorEastAsia"/>
                <w:b/>
                <w:bCs/>
                <w:color w:val="auto"/>
                <w:sz w:val="24"/>
                <w:highlight w:val="none"/>
              </w:rPr>
              <w:t>15</w:t>
            </w:r>
            <w:r>
              <w:rPr>
                <w:rFonts w:hint="eastAsia" w:asciiTheme="minorEastAsia" w:hAnsiTheme="minorEastAsia" w:eastAsiaTheme="minorEastAsia" w:cstheme="minorEastAsia"/>
                <w:b/>
                <w:bCs/>
                <w:sz w:val="24"/>
                <w:highlight w:val="none"/>
              </w:rPr>
              <w:t>分</w:t>
            </w:r>
            <w:r>
              <w:rPr>
                <w:rFonts w:hint="eastAsia" w:asciiTheme="minorEastAsia" w:hAnsiTheme="minorEastAsia" w:eastAsiaTheme="minorEastAsia" w:cstheme="minorEastAsia"/>
                <w:b/>
                <w:sz w:val="24"/>
                <w:highlight w:val="none"/>
              </w:rPr>
              <w:t>）</w:t>
            </w:r>
          </w:p>
        </w:tc>
      </w:tr>
      <w:tr w14:paraId="71A8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restart"/>
            <w:vAlign w:val="center"/>
          </w:tcPr>
          <w:p w14:paraId="44169E0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B1</w:t>
            </w:r>
          </w:p>
        </w:tc>
        <w:tc>
          <w:tcPr>
            <w:tcW w:w="1620" w:type="dxa"/>
            <w:vMerge w:val="restart"/>
            <w:vAlign w:val="center"/>
          </w:tcPr>
          <w:p w14:paraId="79C00F51">
            <w:pPr>
              <w:pStyle w:val="2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yellow"/>
                <w:lang w:val="en-US" w:eastAsia="zh-CN" w:bidi="ar-SA"/>
              </w:rPr>
            </w:pPr>
            <w:r>
              <w:rPr>
                <w:rFonts w:hint="eastAsia" w:asciiTheme="minorEastAsia" w:hAnsiTheme="minorEastAsia" w:eastAsiaTheme="minorEastAsia" w:cstheme="minorEastAsia"/>
                <w:color w:val="auto"/>
                <w:kern w:val="0"/>
                <w:sz w:val="24"/>
                <w:szCs w:val="24"/>
                <w:lang w:val="en-US" w:eastAsia="zh-CN" w:bidi="ar"/>
              </w:rPr>
              <w:t>履约保障能力情况</w:t>
            </w:r>
          </w:p>
        </w:tc>
        <w:tc>
          <w:tcPr>
            <w:tcW w:w="859" w:type="dxa"/>
            <w:vAlign w:val="center"/>
          </w:tcPr>
          <w:p w14:paraId="2DE909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Hans" w:bidi="ar-SA"/>
              </w:rPr>
            </w:pPr>
            <w:r>
              <w:rPr>
                <w:rFonts w:hint="eastAsia" w:asciiTheme="minorEastAsia" w:hAnsiTheme="minorEastAsia" w:eastAsiaTheme="minorEastAsia" w:cstheme="minorEastAsia"/>
                <w:color w:val="auto"/>
                <w:sz w:val="24"/>
                <w:szCs w:val="24"/>
                <w:lang w:val="en-US" w:eastAsia="zh-CN"/>
              </w:rPr>
              <w:t>2分</w:t>
            </w:r>
          </w:p>
        </w:tc>
        <w:tc>
          <w:tcPr>
            <w:tcW w:w="7096" w:type="dxa"/>
            <w:vAlign w:val="center"/>
          </w:tcPr>
          <w:p w14:paraId="4C3039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1.1投标人或其总公司①具有有效的信息系统服务交付能力等级一级证书的得2分；②具有有效的信息系统服务交付能力等级二级证书的得1分；③具有有效的信息系统服务交付能力等级三级（或四级）证书的得0.5分。须提供有效证书复印件，未提供的不得分。</w:t>
            </w:r>
          </w:p>
        </w:tc>
      </w:tr>
      <w:tr w14:paraId="77B6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vAlign w:val="center"/>
          </w:tcPr>
          <w:p w14:paraId="6AE632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620" w:type="dxa"/>
            <w:vMerge w:val="continue"/>
            <w:vAlign w:val="center"/>
          </w:tcPr>
          <w:p w14:paraId="3DC1D95B">
            <w:pPr>
              <w:pStyle w:val="2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4"/>
                <w:szCs w:val="24"/>
                <w:lang w:val="en-US" w:eastAsia="zh-CN" w:bidi="ar"/>
              </w:rPr>
            </w:pPr>
          </w:p>
        </w:tc>
        <w:tc>
          <w:tcPr>
            <w:tcW w:w="859" w:type="dxa"/>
            <w:vAlign w:val="center"/>
          </w:tcPr>
          <w:p w14:paraId="1A3A25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2分</w:t>
            </w:r>
          </w:p>
        </w:tc>
        <w:tc>
          <w:tcPr>
            <w:tcW w:w="7096" w:type="dxa"/>
            <w:vAlign w:val="center"/>
          </w:tcPr>
          <w:p w14:paraId="6EC629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1.2投标人或其总公司</w:t>
            </w:r>
          </w:p>
          <w:p w14:paraId="2319CA6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①具有信息系统建设和服务能力等级优秀级（CS4）及以上的证书的得2分；</w:t>
            </w:r>
          </w:p>
          <w:p w14:paraId="4BC66E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②具有信息系统建设和服务能力等级良好级（CS3）的得1分；</w:t>
            </w:r>
          </w:p>
          <w:p w14:paraId="12A7677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③具有信息系统建设和服务能力等级基本级（CS2）的得0.5分。须提供有效证书复印件，未提供的不得分。</w:t>
            </w:r>
          </w:p>
        </w:tc>
      </w:tr>
      <w:tr w14:paraId="2DA4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0D3A7E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620" w:type="dxa"/>
            <w:vMerge w:val="continue"/>
            <w:vAlign w:val="center"/>
          </w:tcPr>
          <w:p w14:paraId="2D9BCEFD">
            <w:pPr>
              <w:pStyle w:val="2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4"/>
                <w:szCs w:val="24"/>
                <w:lang w:val="en-US" w:eastAsia="zh-CN" w:bidi="ar"/>
              </w:rPr>
            </w:pPr>
          </w:p>
        </w:tc>
        <w:tc>
          <w:tcPr>
            <w:tcW w:w="859" w:type="dxa"/>
            <w:vAlign w:val="center"/>
          </w:tcPr>
          <w:p w14:paraId="17F0CC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2分</w:t>
            </w:r>
          </w:p>
        </w:tc>
        <w:tc>
          <w:tcPr>
            <w:tcW w:w="7096" w:type="dxa"/>
            <w:vAlign w:val="center"/>
          </w:tcPr>
          <w:p w14:paraId="006CE7C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投标人或其总公司①具有有效的ITSS信息技术服务标准符合性证书(运行维护服务)二级及以上证书的得2分；②具有ITSS信息技术服务标准符合性证书(运行维护服务)三级证书的得1分；③具有ITSS信息技术服务标准符合性证书(运行维护服务)四级证书的得0.5分。须提供有效证书复印件，未提供的不得分。</w:t>
            </w:r>
          </w:p>
        </w:tc>
      </w:tr>
      <w:tr w14:paraId="47BB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20" w:type="dxa"/>
            <w:vMerge w:val="continue"/>
            <w:vAlign w:val="center"/>
          </w:tcPr>
          <w:p w14:paraId="3F25BD0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620" w:type="dxa"/>
            <w:vMerge w:val="continue"/>
            <w:vAlign w:val="center"/>
          </w:tcPr>
          <w:p w14:paraId="59A0597C">
            <w:pPr>
              <w:pStyle w:val="2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yellow"/>
              </w:rPr>
            </w:pPr>
          </w:p>
        </w:tc>
        <w:tc>
          <w:tcPr>
            <w:tcW w:w="859" w:type="dxa"/>
            <w:vAlign w:val="center"/>
          </w:tcPr>
          <w:p w14:paraId="6F6019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2分</w:t>
            </w:r>
          </w:p>
        </w:tc>
        <w:tc>
          <w:tcPr>
            <w:tcW w:w="7096" w:type="dxa"/>
            <w:vAlign w:val="center"/>
          </w:tcPr>
          <w:p w14:paraId="4E2BEE4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投标人或其总公司具备信息技术服务管理体系认证证书（认证范围需包含①为客户提供的信息系统硬件、②软件和基础设施的运行维护服务、③数据处理）的得2分，须提供有效期内的相关证书及该证书在平台（http://cx.cnca.cn）上证书状态为“有效”的查询结果网页或截图，否则不得分。注：投标人提供的证书认证范围与本项要求证书的认证范围不完全相同的，需提供相关说明或佐证材料，经评标委员会认定属于同类型的视同符合本项评分要求。</w:t>
            </w:r>
          </w:p>
        </w:tc>
      </w:tr>
      <w:tr w14:paraId="6A2C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0" w:type="dxa"/>
            <w:vAlign w:val="center"/>
          </w:tcPr>
          <w:p w14:paraId="24D5F6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val="en-US" w:eastAsia="zh-CN"/>
              </w:rPr>
              <w:t>2</w:t>
            </w:r>
          </w:p>
        </w:tc>
        <w:tc>
          <w:tcPr>
            <w:tcW w:w="1620" w:type="dxa"/>
            <w:vAlign w:val="center"/>
          </w:tcPr>
          <w:p w14:paraId="772E8EDB">
            <w:pPr>
              <w:pStyle w:val="2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业绩</w:t>
            </w:r>
          </w:p>
        </w:tc>
        <w:tc>
          <w:tcPr>
            <w:tcW w:w="859" w:type="dxa"/>
            <w:vAlign w:val="center"/>
          </w:tcPr>
          <w:p w14:paraId="3DFD8B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14:paraId="4DC3526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自2020年1月1日以来（日期以合同签订时间为准），由投标人提供的与本项目同类业绩的情况进行打分，每提供1份完整业绩的得1分，满分2分。</w:t>
            </w:r>
          </w:p>
          <w:p w14:paraId="4AA884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完整业绩指项目中须含中标/成交结果公告（提供相关网站中标/成交公告的下载网页并注明网址）、中标/成交通知书复印件、采购合同文本复印件，以及能够证明该业绩项目已经招标人验收合格的相关证明文件复印件，未同时提供以上各项证明材料的，该项业绩不给予计分。】</w:t>
            </w:r>
          </w:p>
        </w:tc>
      </w:tr>
      <w:tr w14:paraId="046B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Align w:val="center"/>
          </w:tcPr>
          <w:p w14:paraId="2D62A5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B3</w:t>
            </w:r>
          </w:p>
        </w:tc>
        <w:tc>
          <w:tcPr>
            <w:tcW w:w="1620" w:type="dxa"/>
            <w:vAlign w:val="center"/>
          </w:tcPr>
          <w:p w14:paraId="05BA35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维保服务费</w:t>
            </w:r>
          </w:p>
          <w:p w14:paraId="418471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承诺</w:t>
            </w:r>
          </w:p>
        </w:tc>
        <w:tc>
          <w:tcPr>
            <w:tcW w:w="859" w:type="dxa"/>
            <w:vAlign w:val="center"/>
          </w:tcPr>
          <w:p w14:paraId="154E8F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14:paraId="1F46BC6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针对本项目质保期结束后的维保服务费情况，按以下标准进行评审：</w:t>
            </w:r>
          </w:p>
          <w:p w14:paraId="135041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①承诺每年维保的服务费用收取合同总价的9%的得1分；</w:t>
            </w:r>
          </w:p>
          <w:p w14:paraId="2AEFB12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②承诺每年维保的服务费用收取合同总价的8%的得2分；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③承诺每年维保的服务费用收取合同总价的7%的得3分；</w:t>
            </w:r>
          </w:p>
          <w:p w14:paraId="310CC0B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须针对上述内容提供承诺函，否则不得分。</w:t>
            </w:r>
          </w:p>
        </w:tc>
      </w:tr>
      <w:tr w14:paraId="419E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720" w:type="dxa"/>
            <w:vAlign w:val="center"/>
          </w:tcPr>
          <w:p w14:paraId="7FD517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B4</w:t>
            </w:r>
          </w:p>
        </w:tc>
        <w:tc>
          <w:tcPr>
            <w:tcW w:w="1620" w:type="dxa"/>
            <w:vAlign w:val="center"/>
          </w:tcPr>
          <w:p w14:paraId="632FBC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接入费承诺</w:t>
            </w:r>
          </w:p>
        </w:tc>
        <w:tc>
          <w:tcPr>
            <w:tcW w:w="859" w:type="dxa"/>
            <w:vAlign w:val="center"/>
          </w:tcPr>
          <w:p w14:paraId="548CB9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14:paraId="71CE4D0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投标人针对本项目提供的景弘集团各子公司对接服务费情况，按以下标准进行评审：</w:t>
            </w:r>
          </w:p>
          <w:p w14:paraId="448B646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①承诺每个子公司的对接服务费收取不高于3万元的得2分；</w:t>
            </w:r>
          </w:p>
          <w:p w14:paraId="0BC2C83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②承诺每个子公司的对接服务费收取不高于4万元的得1分；</w:t>
            </w:r>
          </w:p>
          <w:p w14:paraId="0F83A7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须针对上述内容提供承诺函，否则不得分。</w:t>
            </w:r>
          </w:p>
        </w:tc>
      </w:tr>
      <w:tr w14:paraId="1FA8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295" w:type="dxa"/>
            <w:gridSpan w:val="4"/>
            <w:vAlign w:val="center"/>
          </w:tcPr>
          <w:p w14:paraId="3E0CF06E">
            <w:pP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sz w:val="24"/>
              </w:rPr>
              <w:t>各投标人的商务部分得分B=B1+B2+B3+B4</w:t>
            </w:r>
          </w:p>
        </w:tc>
      </w:tr>
      <w:tr w14:paraId="16A3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295" w:type="dxa"/>
            <w:gridSpan w:val="4"/>
            <w:vAlign w:val="center"/>
          </w:tcPr>
          <w:p w14:paraId="276A0E7D">
            <w:pPr>
              <w:rPr>
                <w:rFonts w:ascii="宋体"/>
                <w:sz w:val="24"/>
              </w:rPr>
            </w:pPr>
            <w:r>
              <w:rPr>
                <w:rFonts w:hint="eastAsia" w:ascii="宋体" w:hAnsi="宋体"/>
                <w:b/>
                <w:bCs w:val="0"/>
                <w:spacing w:val="-2"/>
                <w:sz w:val="24"/>
                <w:shd w:val="clear" w:color="auto" w:fill="auto"/>
              </w:rPr>
              <w:t>第二阶段报价部分的评标：</w:t>
            </w:r>
          </w:p>
        </w:tc>
      </w:tr>
      <w:tr w14:paraId="522B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14:paraId="2976E8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w:t>
            </w:r>
          </w:p>
        </w:tc>
        <w:tc>
          <w:tcPr>
            <w:tcW w:w="1620" w:type="dxa"/>
            <w:vAlign w:val="center"/>
          </w:tcPr>
          <w:p w14:paraId="754552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报价部分评分 （C满分10分）</w:t>
            </w:r>
          </w:p>
        </w:tc>
        <w:tc>
          <w:tcPr>
            <w:tcW w:w="859" w:type="dxa"/>
            <w:vAlign w:val="center"/>
          </w:tcPr>
          <w:p w14:paraId="7BA675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10分</w:t>
            </w:r>
          </w:p>
        </w:tc>
        <w:tc>
          <w:tcPr>
            <w:tcW w:w="7096" w:type="dxa"/>
          </w:tcPr>
          <w:p w14:paraId="4EE2522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报价分计算公式</w:t>
            </w:r>
          </w:p>
          <w:p w14:paraId="201E6B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C=(评标基准价／有效投标报价)×10</w:t>
            </w:r>
          </w:p>
          <w:p w14:paraId="7C14048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由此算出各个通过报价审查的投标人报价部分得分(计算分数时保留至小数点后两位，小数点后第三位四舍五入)。</w:t>
            </w:r>
          </w:p>
          <w:p w14:paraId="4B757D2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w:t>
            </w:r>
          </w:p>
          <w:p w14:paraId="7A3F3A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(1)C为各投标人报价部分得分；</w:t>
            </w:r>
          </w:p>
          <w:p w14:paraId="133B63B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(2)评标基准价=满足招标文件要求且投标价格最低的投标总价报价；</w:t>
            </w:r>
          </w:p>
          <w:p w14:paraId="73BB699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(3)有效投标报价=通过资格性符合性审查的各投标人的投标总价报价；</w:t>
            </w:r>
          </w:p>
        </w:tc>
      </w:tr>
      <w:tr w14:paraId="5D4B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0295" w:type="dxa"/>
            <w:gridSpan w:val="4"/>
            <w:vAlign w:val="center"/>
          </w:tcPr>
          <w:p w14:paraId="358A5FF0">
            <w:pPr>
              <w:jc w:val="left"/>
              <w:rPr>
                <w:rFonts w:ascii="宋体"/>
                <w:b/>
                <w:sz w:val="24"/>
              </w:rPr>
            </w:pPr>
            <w:r>
              <w:rPr>
                <w:rFonts w:hint="eastAsia" w:ascii="宋体" w:hAnsi="宋体"/>
                <w:b/>
                <w:sz w:val="24"/>
              </w:rPr>
              <w:t>各投标人的最终得分为</w:t>
            </w:r>
            <w:r>
              <w:rPr>
                <w:rFonts w:ascii="宋体" w:hAnsi="宋体"/>
                <w:b/>
                <w:sz w:val="24"/>
              </w:rPr>
              <w:t>A+B+C</w:t>
            </w:r>
          </w:p>
        </w:tc>
      </w:tr>
    </w:tbl>
    <w:p w14:paraId="670A84FB">
      <w:pPr>
        <w:bidi w:val="0"/>
        <w:rPr>
          <w:rFonts w:hint="eastAsia"/>
          <w:lang w:val="en-US" w:eastAsia="zh-CN"/>
        </w:rPr>
      </w:pPr>
      <w:bookmarkStart w:id="48" w:name="_Toc16087"/>
    </w:p>
    <w:p w14:paraId="29259FE2">
      <w:pPr>
        <w:spacing w:line="360" w:lineRule="auto"/>
        <w:jc w:val="center"/>
        <w:outlineLvl w:val="1"/>
        <w:rPr>
          <w:rFonts w:ascii="宋体" w:hAnsi="宋体"/>
          <w:b/>
          <w:sz w:val="36"/>
          <w:szCs w:val="36"/>
        </w:rPr>
      </w:pPr>
      <w:r>
        <w:rPr>
          <w:rFonts w:hint="eastAsia" w:ascii="宋体" w:hAnsi="宋体"/>
          <w:b/>
          <w:sz w:val="36"/>
          <w:szCs w:val="36"/>
          <w:lang w:val="en-US" w:eastAsia="zh-CN"/>
        </w:rPr>
        <w:br w:type="textWrapping"/>
      </w:r>
      <w:r>
        <w:rPr>
          <w:rFonts w:hint="eastAsia" w:ascii="宋体" w:hAnsi="宋体"/>
          <w:b/>
          <w:sz w:val="36"/>
          <w:szCs w:val="36"/>
          <w:lang w:val="en-US" w:eastAsia="zh-CN"/>
        </w:rPr>
        <w:t>七</w:t>
      </w:r>
      <w:r>
        <w:rPr>
          <w:rFonts w:hint="eastAsia" w:ascii="宋体" w:hAnsi="宋体"/>
          <w:b/>
          <w:sz w:val="36"/>
          <w:szCs w:val="36"/>
        </w:rPr>
        <w:t>、定标与签订合同</w:t>
      </w:r>
      <w:bookmarkEnd w:id="48"/>
    </w:p>
    <w:p w14:paraId="0D2A5CD5">
      <w:pPr>
        <w:spacing w:line="360" w:lineRule="auto"/>
        <w:outlineLvl w:val="2"/>
        <w:rPr>
          <w:rFonts w:ascii="宋体" w:hAnsi="宋体"/>
          <w:b/>
          <w:sz w:val="24"/>
        </w:rPr>
      </w:pPr>
      <w:bookmarkStart w:id="49" w:name="_Toc21648"/>
      <w:r>
        <w:rPr>
          <w:rFonts w:hint="eastAsia" w:ascii="宋体" w:hAnsi="宋体"/>
          <w:b/>
          <w:sz w:val="24"/>
          <w:lang w:val="en-US" w:eastAsia="zh-CN"/>
        </w:rPr>
        <w:t>1</w:t>
      </w:r>
      <w:r>
        <w:rPr>
          <w:rFonts w:ascii="宋体" w:hAnsi="宋体"/>
          <w:b/>
          <w:sz w:val="24"/>
        </w:rPr>
        <w:t>.</w:t>
      </w:r>
      <w:r>
        <w:rPr>
          <w:rFonts w:hint="eastAsia" w:ascii="宋体" w:hAnsi="宋体"/>
          <w:b/>
          <w:sz w:val="24"/>
        </w:rPr>
        <w:t>定标准则</w:t>
      </w:r>
      <w:bookmarkEnd w:id="49"/>
    </w:p>
    <w:p w14:paraId="1748A991">
      <w:pPr>
        <w:spacing w:line="360" w:lineRule="auto"/>
        <w:rPr>
          <w:rFonts w:ascii="宋体" w:hAnsi="宋体"/>
          <w:sz w:val="24"/>
        </w:rPr>
      </w:pPr>
      <w:r>
        <w:rPr>
          <w:rFonts w:hint="eastAsia" w:ascii="宋体" w:hAnsi="宋体"/>
          <w:sz w:val="24"/>
          <w:lang w:val="en-US" w:eastAsia="zh-CN"/>
        </w:rPr>
        <w:t>1</w:t>
      </w:r>
      <w:r>
        <w:rPr>
          <w:rFonts w:ascii="宋体" w:hAnsi="宋体"/>
          <w:sz w:val="24"/>
        </w:rPr>
        <w:t>.1</w:t>
      </w:r>
      <w:r>
        <w:rPr>
          <w:rFonts w:hint="eastAsia" w:ascii="宋体" w:hAnsi="宋体"/>
          <w:sz w:val="24"/>
        </w:rPr>
        <w:t>最低报价不作为中标的保证。</w:t>
      </w:r>
    </w:p>
    <w:p w14:paraId="5F82C0FB">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.2投标人的投标文件满足招标文件全部实质性要求，按招标文件确定评标标准、方法，经评标委员会评审并推荐中标候选人。</w:t>
      </w:r>
    </w:p>
    <w:p w14:paraId="4D30FB64">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.3招标人根据评标委员会推荐的中标候选人依法确定中标人。当中标候选人放弃中标或因不可抗力提出不能履行合同时，招标人有权重新组织招标活动。</w:t>
      </w:r>
    </w:p>
    <w:p w14:paraId="7695D961">
      <w:pPr>
        <w:spacing w:line="360" w:lineRule="auto"/>
        <w:outlineLvl w:val="2"/>
        <w:rPr>
          <w:rFonts w:ascii="宋体" w:hAnsi="宋体"/>
          <w:b/>
          <w:sz w:val="24"/>
        </w:rPr>
      </w:pPr>
      <w:bookmarkStart w:id="50" w:name="_Toc16501"/>
      <w:r>
        <w:rPr>
          <w:rFonts w:hint="eastAsia" w:ascii="宋体" w:hAnsi="宋体"/>
          <w:b/>
          <w:sz w:val="24"/>
          <w:lang w:val="en-US" w:eastAsia="zh-CN"/>
        </w:rPr>
        <w:t>2</w:t>
      </w:r>
      <w:r>
        <w:rPr>
          <w:rFonts w:ascii="宋体" w:hAnsi="宋体"/>
          <w:b/>
          <w:sz w:val="24"/>
        </w:rPr>
        <w:t>.</w:t>
      </w:r>
      <w:r>
        <w:rPr>
          <w:rFonts w:hint="eastAsia" w:ascii="宋体" w:hAnsi="宋体"/>
          <w:b/>
          <w:sz w:val="24"/>
        </w:rPr>
        <w:t>中标通知</w:t>
      </w:r>
      <w:bookmarkEnd w:id="50"/>
    </w:p>
    <w:p w14:paraId="61EE3845">
      <w:pPr>
        <w:pStyle w:val="11"/>
        <w:spacing w:before="0" w:beforeAutospacing="0" w:after="0" w:afterAutospacing="0" w:line="360" w:lineRule="auto"/>
      </w:pPr>
      <w:r>
        <w:rPr>
          <w:rFonts w:hint="eastAsia"/>
          <w:lang w:val="en-US" w:eastAsia="zh-CN"/>
        </w:rPr>
        <w:t>2</w:t>
      </w:r>
      <w:r>
        <w:rPr>
          <w:rFonts w:hint="eastAsia"/>
        </w:rPr>
        <w:t>.1评标结束且评标结果经招标人确认后，福建省宏瑞招标代理有限公司将在招标文件载明的指定媒体发布中标候选人公示，公示期不少于3日。</w:t>
      </w:r>
    </w:p>
    <w:p w14:paraId="74564754">
      <w:pPr>
        <w:pStyle w:val="11"/>
        <w:spacing w:before="0" w:beforeAutospacing="0" w:after="0" w:afterAutospacing="0" w:line="360" w:lineRule="auto"/>
      </w:pPr>
      <w:r>
        <w:rPr>
          <w:rFonts w:hint="eastAsia"/>
          <w:lang w:val="en-US" w:eastAsia="zh-CN"/>
        </w:rPr>
        <w:t>2</w:t>
      </w:r>
      <w:r>
        <w:rPr>
          <w:rFonts w:hint="eastAsia"/>
        </w:rPr>
        <w:t>.2中标候选人公示结束后若无异议，招标人或招标代理机构将向中标人发出中标通知书，同时将在招标文件载明的指定媒体发布中标结果公示，中标结果公示时间不少于10日。</w:t>
      </w:r>
    </w:p>
    <w:p w14:paraId="44D43C71">
      <w:pPr>
        <w:pStyle w:val="11"/>
        <w:spacing w:before="0" w:beforeAutospacing="0" w:after="0" w:afterAutospacing="0" w:line="360" w:lineRule="auto"/>
      </w:pPr>
      <w:r>
        <w:rPr>
          <w:rFonts w:hint="eastAsia"/>
          <w:lang w:val="en-US" w:eastAsia="zh-CN"/>
        </w:rPr>
        <w:t>2</w:t>
      </w:r>
      <w:r>
        <w:rPr>
          <w:rFonts w:hint="eastAsia"/>
        </w:rPr>
        <w:t>.3中标结果公示同时作为福建省宏瑞招标代理有限公司通知除中标人外的其他投标人没有中标的书面形式。</w:t>
      </w:r>
    </w:p>
    <w:p w14:paraId="4B36049C">
      <w:pPr>
        <w:pStyle w:val="11"/>
        <w:spacing w:before="0" w:beforeAutospacing="0" w:after="0" w:afterAutospacing="0" w:line="360" w:lineRule="auto"/>
      </w:pPr>
      <w:r>
        <w:rPr>
          <w:rFonts w:hint="eastAsia"/>
          <w:lang w:val="en-US" w:eastAsia="zh-CN"/>
        </w:rPr>
        <w:t>2</w:t>
      </w:r>
      <w:r>
        <w:rPr>
          <w:rFonts w:hint="eastAsia"/>
        </w:rPr>
        <w:t>.4中标通知书对招标人和中标人具有同等法律效力。中标通知书发出后，招标人改变中标结果，或者中标人放弃中标，应按相关法律、规章、规范性文件的要求承担相应的法律责任。</w:t>
      </w:r>
    </w:p>
    <w:p w14:paraId="63CECAC5">
      <w:pPr>
        <w:pStyle w:val="11"/>
        <w:spacing w:before="0" w:beforeAutospacing="0" w:after="0" w:afterAutospacing="0" w:line="360" w:lineRule="auto"/>
      </w:pPr>
      <w:r>
        <w:rPr>
          <w:rFonts w:hint="eastAsia"/>
          <w:lang w:val="en-US" w:eastAsia="zh-CN"/>
        </w:rPr>
        <w:t>2</w:t>
      </w:r>
      <w:r>
        <w:rPr>
          <w:rFonts w:hint="eastAsia"/>
        </w:rPr>
        <w:t>.5《中标通知书》将作为签订合同的依据。《合同》签订后，《中标通知书》成为《合同》的一部分。</w:t>
      </w:r>
    </w:p>
    <w:p w14:paraId="35FDC7EA">
      <w:pPr>
        <w:pStyle w:val="11"/>
        <w:spacing w:before="0" w:beforeAutospacing="0" w:after="0" w:afterAutospacing="0" w:line="360" w:lineRule="auto"/>
      </w:pPr>
      <w:r>
        <w:rPr>
          <w:rFonts w:hint="eastAsia"/>
          <w:lang w:val="en-US" w:eastAsia="zh-CN"/>
        </w:rPr>
        <w:t>2</w:t>
      </w:r>
      <w:r>
        <w:rPr>
          <w:rFonts w:hint="eastAsia"/>
        </w:rPr>
        <w:t>.6《中标通知书》发出后5个工作日内，招标代理机构以原缴交方式向未中标的投标人退还其投标保证金。在合同签订后5个工作日内，以原缴交方式退还中标人的投标保证金。</w:t>
      </w:r>
    </w:p>
    <w:p w14:paraId="586EFDA3">
      <w:pPr>
        <w:pStyle w:val="20"/>
        <w:spacing w:line="480" w:lineRule="exact"/>
        <w:outlineLvl w:val="2"/>
        <w:rPr>
          <w:rFonts w:hAnsi="宋体"/>
          <w:b/>
          <w:color w:val="auto"/>
        </w:rPr>
      </w:pPr>
      <w:bookmarkStart w:id="51" w:name="_Toc5702"/>
      <w:r>
        <w:rPr>
          <w:rFonts w:hint="eastAsia" w:hAnsi="宋体"/>
          <w:b/>
          <w:bCs/>
          <w:color w:val="auto"/>
          <w:lang w:val="en-US" w:eastAsia="zh-CN"/>
        </w:rPr>
        <w:t>3</w:t>
      </w:r>
      <w:r>
        <w:rPr>
          <w:rFonts w:hint="eastAsia" w:hAnsi="宋体"/>
          <w:b/>
          <w:color w:val="auto"/>
        </w:rPr>
        <w:t>.签订合同</w:t>
      </w:r>
      <w:bookmarkEnd w:id="51"/>
    </w:p>
    <w:p w14:paraId="11DE7C2A">
      <w:pPr>
        <w:spacing w:line="480" w:lineRule="exact"/>
        <w:rPr>
          <w:rFonts w:ascii="宋体" w:hAnsi="宋体"/>
          <w:sz w:val="24"/>
        </w:rPr>
      </w:pPr>
      <w:r>
        <w:rPr>
          <w:rFonts w:hint="eastAsia" w:ascii="宋体" w:hAnsi="宋体"/>
          <w:sz w:val="24"/>
          <w:lang w:val="en-US" w:eastAsia="zh-CN"/>
        </w:rPr>
        <w:t>3</w:t>
      </w:r>
      <w:r>
        <w:rPr>
          <w:rFonts w:ascii="宋体" w:hAnsi="宋体"/>
          <w:sz w:val="24"/>
        </w:rPr>
        <w:t>.</w:t>
      </w:r>
      <w:r>
        <w:rPr>
          <w:rFonts w:hint="eastAsia" w:ascii="宋体" w:hAnsi="宋体"/>
          <w:sz w:val="24"/>
        </w:rPr>
        <w:t>1招标人、</w:t>
      </w:r>
      <w:r>
        <w:rPr>
          <w:rFonts w:hint="eastAsia" w:ascii="宋体" w:hAnsi="宋体"/>
          <w:sz w:val="24"/>
          <w:highlight w:val="none"/>
        </w:rPr>
        <w:t>中标人在《中标通知书》发出之日起30日内</w:t>
      </w:r>
      <w:r>
        <w:rPr>
          <w:rFonts w:hint="eastAsia" w:ascii="宋体" w:hAnsi="宋体"/>
          <w:sz w:val="24"/>
        </w:rPr>
        <w:t>，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有关规定处理。</w:t>
      </w:r>
    </w:p>
    <w:p w14:paraId="36754935">
      <w:pPr>
        <w:spacing w:line="480" w:lineRule="exact"/>
        <w:rPr>
          <w:rFonts w:ascii="宋体" w:hAnsi="宋体"/>
          <w:sz w:val="24"/>
        </w:rPr>
      </w:pPr>
      <w:r>
        <w:rPr>
          <w:rFonts w:hint="eastAsia" w:ascii="宋体" w:hAnsi="宋体"/>
          <w:sz w:val="24"/>
          <w:lang w:val="en-US" w:eastAsia="zh-CN"/>
        </w:rPr>
        <w:t>3</w:t>
      </w:r>
      <w:r>
        <w:rPr>
          <w:rFonts w:ascii="宋体" w:hAnsi="宋体"/>
          <w:sz w:val="24"/>
        </w:rPr>
        <w:t>.</w:t>
      </w:r>
      <w:r>
        <w:rPr>
          <w:rFonts w:hint="eastAsia" w:ascii="宋体" w:hAnsi="宋体"/>
          <w:sz w:val="24"/>
        </w:rPr>
        <w:t>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4F8ED60C">
      <w:pPr>
        <w:spacing w:line="480" w:lineRule="exact"/>
        <w:rPr>
          <w:rFonts w:eastAsia="黑体"/>
        </w:rPr>
      </w:pPr>
      <w:r>
        <w:rPr>
          <w:rFonts w:hint="eastAsia" w:ascii="宋体" w:hAnsi="宋体"/>
          <w:sz w:val="24"/>
          <w:lang w:val="en-US" w:eastAsia="zh-CN"/>
        </w:rPr>
        <w:t>3</w:t>
      </w:r>
      <w:r>
        <w:rPr>
          <w:rFonts w:hint="eastAsia" w:ascii="宋体" w:hAnsi="宋体"/>
          <w:sz w:val="24"/>
        </w:rPr>
        <w:t>.3合同履行过程中，招标人若需追加与合同标的相同的服务，则追加采购金额不得超过原合同金额的10%。</w:t>
      </w:r>
    </w:p>
    <w:p w14:paraId="77E60F57">
      <w:pPr>
        <w:spacing w:line="480" w:lineRule="exact"/>
        <w:outlineLvl w:val="2"/>
        <w:rPr>
          <w:rFonts w:ascii="宋体" w:hAnsi="宋体" w:cs="宋体"/>
          <w:b/>
          <w:sz w:val="24"/>
        </w:rPr>
      </w:pPr>
      <w:bookmarkStart w:id="52" w:name="_Toc9798"/>
      <w:r>
        <w:rPr>
          <w:rFonts w:hint="eastAsia" w:ascii="宋体" w:hAnsi="宋体" w:cs="宋体"/>
          <w:b/>
          <w:sz w:val="24"/>
          <w:lang w:val="en-US" w:eastAsia="zh-CN"/>
        </w:rPr>
        <w:t>4</w:t>
      </w:r>
      <w:r>
        <w:rPr>
          <w:rFonts w:hint="eastAsia" w:ascii="宋体" w:hAnsi="宋体" w:cs="宋体"/>
          <w:b/>
          <w:sz w:val="24"/>
        </w:rPr>
        <w:t>.异议处理时限及要求</w:t>
      </w:r>
      <w:bookmarkEnd w:id="52"/>
    </w:p>
    <w:p w14:paraId="09C028BB">
      <w:pPr>
        <w:spacing w:line="480" w:lineRule="exact"/>
        <w:rPr>
          <w:rFonts w:ascii="宋体" w:hAnsi="宋体" w:cs="宋体"/>
          <w:sz w:val="24"/>
        </w:rPr>
      </w:pPr>
      <w:bookmarkStart w:id="53" w:name="_Toc26651"/>
      <w:r>
        <w:rPr>
          <w:rFonts w:hint="eastAsia" w:ascii="宋体" w:hAnsi="宋体" w:cs="宋体"/>
          <w:sz w:val="24"/>
          <w:lang w:val="en-US" w:eastAsia="zh-CN"/>
        </w:rPr>
        <w:t>4</w:t>
      </w:r>
      <w:r>
        <w:rPr>
          <w:rFonts w:hint="eastAsia" w:ascii="宋体" w:hAnsi="宋体" w:cs="宋体"/>
          <w:sz w:val="24"/>
        </w:rPr>
        <w:t>.1投标</w:t>
      </w:r>
      <w:bookmarkStart w:id="100" w:name="_GoBack"/>
      <w:bookmarkEnd w:id="100"/>
      <w:r>
        <w:rPr>
          <w:rFonts w:hint="eastAsia" w:ascii="宋体" w:hAnsi="宋体" w:cs="宋体"/>
          <w:sz w:val="24"/>
        </w:rPr>
        <w:t>人对招标文件或评标结果有异议的，应当在本章23.2条规定的期限内以书面形式向招标人、招标代理机构提出异议并提供证明材料；招标人、招标代理机构在收到异议后3日内作出书面答复。</w:t>
      </w:r>
    </w:p>
    <w:p w14:paraId="2B2CB2FD">
      <w:pPr>
        <w:spacing w:line="480" w:lineRule="exact"/>
        <w:rPr>
          <w:rFonts w:ascii="宋体" w:hAnsi="宋体" w:cs="宋体"/>
          <w:sz w:val="24"/>
        </w:rPr>
      </w:pPr>
      <w:r>
        <w:rPr>
          <w:rFonts w:hint="eastAsia" w:ascii="宋体" w:hAnsi="宋体" w:cs="宋体"/>
          <w:sz w:val="24"/>
          <w:lang w:val="en-US" w:eastAsia="zh-CN"/>
        </w:rPr>
        <w:t>4</w:t>
      </w:r>
      <w:r>
        <w:rPr>
          <w:rFonts w:hint="eastAsia" w:ascii="宋体" w:hAnsi="宋体" w:cs="宋体"/>
          <w:sz w:val="24"/>
        </w:rPr>
        <w:t xml:space="preserve">.2提出异议期限的计算，依照下列规定办理： </w:t>
      </w:r>
    </w:p>
    <w:p w14:paraId="21B6F4CB">
      <w:pPr>
        <w:spacing w:line="480" w:lineRule="exact"/>
        <w:rPr>
          <w:rFonts w:ascii="宋体" w:hAnsi="宋体" w:cs="宋体"/>
          <w:sz w:val="24"/>
        </w:rPr>
      </w:pPr>
      <w:r>
        <w:rPr>
          <w:rFonts w:hint="eastAsia" w:ascii="宋体" w:hAnsi="宋体" w:cs="宋体"/>
          <w:sz w:val="24"/>
        </w:rPr>
        <w:t>①对招标文件提出异议的：应当在投标截止时间10日前提出。</w:t>
      </w:r>
    </w:p>
    <w:p w14:paraId="353B68C6">
      <w:pPr>
        <w:spacing w:line="480" w:lineRule="exact"/>
        <w:rPr>
          <w:rFonts w:ascii="宋体" w:hAnsi="宋体" w:cs="宋体"/>
          <w:sz w:val="24"/>
        </w:rPr>
      </w:pPr>
      <w:r>
        <w:rPr>
          <w:rFonts w:hint="eastAsia" w:ascii="宋体" w:hAnsi="宋体" w:cs="宋体"/>
          <w:sz w:val="24"/>
        </w:rPr>
        <w:t>②对开标有异议的，必须在开标现场提出，开标结束后，投标人不得对开标环节提出异议。</w:t>
      </w:r>
    </w:p>
    <w:p w14:paraId="3A66F40E">
      <w:pPr>
        <w:spacing w:line="480" w:lineRule="exact"/>
        <w:rPr>
          <w:rFonts w:ascii="宋体" w:hAnsi="宋体" w:cs="宋体"/>
          <w:sz w:val="24"/>
        </w:rPr>
      </w:pPr>
      <w:r>
        <w:rPr>
          <w:rFonts w:hint="eastAsia" w:ascii="宋体" w:hAnsi="宋体" w:cs="宋体"/>
          <w:sz w:val="24"/>
        </w:rPr>
        <w:t>③对</w:t>
      </w:r>
      <w:r>
        <w:rPr>
          <w:rFonts w:hint="eastAsia" w:ascii="宋体" w:hAnsi="宋体"/>
          <w:sz w:val="24"/>
        </w:rPr>
        <w:t>评标结果</w:t>
      </w:r>
      <w:r>
        <w:rPr>
          <w:rFonts w:hint="eastAsia" w:ascii="宋体" w:hAnsi="宋体" w:cs="宋体"/>
          <w:sz w:val="24"/>
        </w:rPr>
        <w:t>提出异议的，必须在中标候选人公示期内提出。</w:t>
      </w:r>
    </w:p>
    <w:p w14:paraId="4950091F">
      <w:pPr>
        <w:spacing w:line="480" w:lineRule="exact"/>
        <w:rPr>
          <w:rFonts w:ascii="宋体" w:hAnsi="宋体" w:cs="宋体"/>
          <w:sz w:val="24"/>
        </w:rPr>
      </w:pPr>
      <w:r>
        <w:rPr>
          <w:rFonts w:hint="eastAsia" w:ascii="宋体" w:hAnsi="宋体" w:cs="宋体"/>
          <w:sz w:val="24"/>
        </w:rPr>
        <w:t>④</w:t>
      </w:r>
      <w:r>
        <w:rPr>
          <w:rFonts w:hint="eastAsia" w:ascii="宋体" w:hAnsi="宋体"/>
          <w:sz w:val="24"/>
        </w:rPr>
        <w:t>对中标结果提出异议的，必须在中标结果公示期内提出。</w:t>
      </w:r>
    </w:p>
    <w:p w14:paraId="7A52292B">
      <w:pPr>
        <w:spacing w:line="480" w:lineRule="exact"/>
        <w:rPr>
          <w:rFonts w:ascii="宋体" w:hAnsi="宋体" w:cs="宋体"/>
          <w:bCs/>
          <w:sz w:val="24"/>
        </w:rPr>
      </w:pPr>
      <w:r>
        <w:rPr>
          <w:rFonts w:hint="eastAsia" w:ascii="宋体" w:hAnsi="宋体" w:cs="宋体"/>
          <w:sz w:val="24"/>
          <w:lang w:val="en-US" w:eastAsia="zh-CN"/>
        </w:rPr>
        <w:t>4</w:t>
      </w:r>
      <w:r>
        <w:rPr>
          <w:rFonts w:hint="eastAsia" w:ascii="宋体" w:hAnsi="宋体" w:cs="宋体"/>
          <w:sz w:val="24"/>
        </w:rPr>
        <w:t>.3</w:t>
      </w:r>
      <w:r>
        <w:rPr>
          <w:rFonts w:hint="eastAsia" w:ascii="宋体" w:hAnsi="宋体" w:cs="宋体"/>
          <w:bCs/>
          <w:sz w:val="24"/>
        </w:rPr>
        <w:t>投标人提出异议,应提交由法定代表人或授权代表（提供授权函）签署、加盖公章的书面原件（拒绝传真、电邮、电话形式等其它形式）并携带相关资料及营业执照副本、税务登记证复印件送达招标代理机构。招标代理机构有权要求投标人提供营业执照副本、税务登记证原件进行核查，投标人若无法提供原件或与原件不符的，招标代理机构有权不予接收异议书（函）。异议书（函）须包含具体的异议事项，并列明招标文件、招标过程、中标结果使自己的合法权益受到损害的事实依据、理由及相关证明材料，异议事项若属于有关法律、法规和规章规定处于保密阶段的事项，投标人必须提供信息来源或有效证据。投标人未按上述要求提交异议的，招标代理机构有权不予接收受理。</w:t>
      </w:r>
    </w:p>
    <w:p w14:paraId="07A8864E">
      <w:pPr>
        <w:spacing w:line="480" w:lineRule="exac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.4招标人或招标代理机构将按《中华人民共和国招标投标法实施条例》第二十二条、第四十四条、第五十四条等规定作出答复。</w:t>
      </w:r>
    </w:p>
    <w:p w14:paraId="1CF1B2E2">
      <w:pPr>
        <w:spacing w:line="440" w:lineRule="exact"/>
        <w:outlineLvl w:val="2"/>
        <w:rPr>
          <w:rFonts w:ascii="宋体" w:hAnsi="宋体" w:cs="宋体"/>
          <w:b/>
          <w:sz w:val="24"/>
        </w:rPr>
      </w:pPr>
      <w:r>
        <w:rPr>
          <w:rFonts w:hint="eastAsia" w:ascii="宋体" w:hAnsi="宋体" w:cs="宋体"/>
          <w:b/>
          <w:sz w:val="24"/>
          <w:lang w:val="en-US" w:eastAsia="zh-CN"/>
        </w:rPr>
        <w:t>5</w:t>
      </w:r>
      <w:r>
        <w:rPr>
          <w:rFonts w:hint="eastAsia" w:ascii="宋体" w:hAnsi="宋体" w:cs="宋体"/>
          <w:b/>
          <w:sz w:val="24"/>
        </w:rPr>
        <w:t>.招标项目监督部门</w:t>
      </w:r>
      <w:bookmarkEnd w:id="53"/>
    </w:p>
    <w:p w14:paraId="77ED9E56">
      <w:pPr>
        <w:spacing w:line="440" w:lineRule="exact"/>
        <w:rPr>
          <w:rFonts w:ascii="宋体" w:hAnsi="宋体" w:cs="宋体"/>
          <w:sz w:val="24"/>
        </w:rPr>
      </w:pPr>
      <w:r>
        <w:rPr>
          <w:rFonts w:hint="eastAsia" w:ascii="宋体" w:hAnsi="宋体" w:cs="宋体"/>
          <w:sz w:val="24"/>
          <w:lang w:val="en-US" w:eastAsia="zh-CN"/>
        </w:rPr>
        <w:t>5</w:t>
      </w:r>
      <w:r>
        <w:rPr>
          <w:rFonts w:hint="eastAsia" w:ascii="宋体" w:hAnsi="宋体" w:cs="宋体"/>
          <w:sz w:val="24"/>
        </w:rPr>
        <w:t>.1由招标项目监督部门派员对本招标活动的全程进行监督。</w:t>
      </w:r>
    </w:p>
    <w:p w14:paraId="7609A280">
      <w:pPr>
        <w:spacing w:line="440" w:lineRule="exac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.2投标人如对招标活动有异议，可以按照</w:t>
      </w:r>
      <w:r>
        <w:rPr>
          <w:rFonts w:hint="eastAsia" w:ascii="宋体" w:hAnsi="宋体" w:cs="宋体"/>
          <w:bCs/>
          <w:sz w:val="24"/>
        </w:rPr>
        <w:t>《中华人民共和国招标投标法实施条例》第六十条</w:t>
      </w:r>
      <w:r>
        <w:rPr>
          <w:rFonts w:hint="eastAsia" w:ascii="宋体" w:hAnsi="宋体" w:cs="宋体"/>
          <w:sz w:val="24"/>
        </w:rPr>
        <w:t>向投标人须知前附表所述招标项目监督部门投诉。</w:t>
      </w:r>
    </w:p>
    <w:p w14:paraId="35087CE9">
      <w:pPr>
        <w:spacing w:line="440" w:lineRule="exact"/>
        <w:rPr>
          <w:rFonts w:hint="eastAsia" w:ascii="宋体" w:hAnsi="宋体" w:cs="宋体"/>
          <w:sz w:val="24"/>
        </w:rPr>
      </w:pPr>
    </w:p>
    <w:p w14:paraId="2D030F01">
      <w:pPr>
        <w:rPr>
          <w:rFonts w:ascii="宋体" w:hAnsi="宋体" w:cs="宋体"/>
          <w:sz w:val="24"/>
        </w:rPr>
      </w:pPr>
      <w:r>
        <w:rPr>
          <w:rFonts w:ascii="宋体" w:hAnsi="宋体" w:cs="宋体"/>
          <w:sz w:val="24"/>
        </w:rPr>
        <w:br w:type="textWrapping"/>
      </w:r>
      <w:r>
        <w:rPr>
          <w:rFonts w:ascii="宋体" w:hAnsi="宋体" w:cs="宋体"/>
          <w:sz w:val="24"/>
        </w:rPr>
        <w:br w:type="textWrapping"/>
      </w:r>
    </w:p>
    <w:p w14:paraId="45F6920D">
      <w:pPr>
        <w:rPr>
          <w:rFonts w:ascii="宋体" w:hAnsi="宋体" w:cs="宋体"/>
          <w:sz w:val="24"/>
        </w:rPr>
      </w:pPr>
    </w:p>
    <w:p w14:paraId="134F9CAB">
      <w:pPr>
        <w:rPr>
          <w:rFonts w:ascii="宋体" w:hAnsi="宋体" w:cs="宋体"/>
          <w:sz w:val="24"/>
        </w:rPr>
      </w:pPr>
    </w:p>
    <w:p w14:paraId="51467074">
      <w:pPr>
        <w:rPr>
          <w:rFonts w:ascii="宋体" w:hAnsi="宋体" w:cs="宋体"/>
          <w:sz w:val="24"/>
        </w:rPr>
      </w:pPr>
    </w:p>
    <w:p w14:paraId="16FE0351">
      <w:pPr>
        <w:rPr>
          <w:rFonts w:ascii="宋体" w:hAnsi="宋体" w:cs="宋体"/>
          <w:sz w:val="24"/>
        </w:rPr>
      </w:pPr>
    </w:p>
    <w:p w14:paraId="6D0E0949">
      <w:pPr>
        <w:rPr>
          <w:rFonts w:ascii="宋体" w:hAnsi="宋体" w:cs="宋体"/>
          <w:sz w:val="24"/>
        </w:rPr>
      </w:pPr>
    </w:p>
    <w:p w14:paraId="111DBA0E">
      <w:pPr>
        <w:rPr>
          <w:rFonts w:ascii="宋体" w:hAnsi="宋体" w:cs="宋体"/>
          <w:b/>
          <w:bCs/>
          <w:sz w:val="36"/>
          <w:szCs w:val="36"/>
        </w:rPr>
      </w:pPr>
      <w:r>
        <w:rPr>
          <w:rFonts w:ascii="宋体" w:hAnsi="宋体" w:cs="宋体"/>
          <w:sz w:val="24"/>
        </w:rPr>
        <w:br w:type="textWrapping"/>
      </w:r>
      <w:bookmarkStart w:id="54" w:name="_Toc6798"/>
    </w:p>
    <w:p w14:paraId="2B32862B">
      <w:pPr>
        <w:numPr>
          <w:ilvl w:val="0"/>
          <w:numId w:val="2"/>
        </w:numPr>
        <w:spacing w:line="360" w:lineRule="auto"/>
        <w:ind w:left="0" w:leftChars="0" w:firstLine="0" w:firstLineChars="0"/>
        <w:jc w:val="center"/>
        <w:outlineLvl w:val="0"/>
        <w:rPr>
          <w:rFonts w:ascii="宋体" w:hAnsi="宋体" w:cs="宋体"/>
          <w:b/>
          <w:bCs/>
          <w:sz w:val="36"/>
          <w:szCs w:val="36"/>
        </w:rPr>
      </w:pPr>
      <w:r>
        <w:rPr>
          <w:rFonts w:hint="eastAsia" w:ascii="宋体" w:hAnsi="宋体" w:cs="宋体"/>
          <w:b/>
          <w:bCs/>
          <w:sz w:val="36"/>
          <w:szCs w:val="36"/>
        </w:rPr>
        <w:t xml:space="preserve"> 招标内容及要求</w:t>
      </w:r>
      <w:bookmarkEnd w:id="54"/>
      <w:bookmarkStart w:id="55" w:name="_Toc469590167"/>
    </w:p>
    <w:bookmarkEnd w:id="55"/>
    <w:p w14:paraId="2805579A">
      <w:pPr>
        <w:spacing w:line="360" w:lineRule="auto"/>
        <w:outlineLvl w:val="1"/>
        <w:rPr>
          <w:rFonts w:hint="eastAsia" w:asciiTheme="minorEastAsia" w:hAnsiTheme="minorEastAsia" w:eastAsiaTheme="minorEastAsia" w:cstheme="minorEastAsia"/>
          <w:b/>
          <w:sz w:val="24"/>
        </w:rPr>
      </w:pPr>
      <w:bookmarkStart w:id="56" w:name="_Toc29455"/>
      <w:bookmarkStart w:id="57" w:name="_Toc320803476"/>
      <w:bookmarkStart w:id="58" w:name="_Toc409538572"/>
      <w:bookmarkStart w:id="59" w:name="_Toc462311495"/>
      <w:bookmarkStart w:id="60" w:name="_Toc339444976"/>
      <w:bookmarkStart w:id="61" w:name="_Toc330451569"/>
      <w:bookmarkStart w:id="62" w:name="_Toc32677"/>
      <w:bookmarkStart w:id="63" w:name="_Toc20417"/>
      <w:bookmarkStart w:id="64" w:name="_Toc21231"/>
      <w:r>
        <w:rPr>
          <w:rFonts w:hint="eastAsia" w:asciiTheme="minorEastAsia" w:hAnsiTheme="minorEastAsia" w:eastAsiaTheme="minorEastAsia" w:cstheme="minorEastAsia"/>
          <w:b/>
          <w:sz w:val="24"/>
        </w:rPr>
        <w:t>一、项目概况</w:t>
      </w:r>
    </w:p>
    <w:p w14:paraId="4B2F717D">
      <w:pPr>
        <w:spacing w:line="360" w:lineRule="auto"/>
        <w:jc w:val="left"/>
        <w:outlineLvl w:val="2"/>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（一）项目概述</w:t>
      </w:r>
    </w:p>
    <w:p w14:paraId="017C5532">
      <w:pPr>
        <w:spacing w:line="360" w:lineRule="auto"/>
        <w:ind w:firstLine="480" w:firstLineChars="200"/>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lang w:val="en-US" w:eastAsia="zh-CN"/>
        </w:rPr>
        <w:t>.本项目的采购单位是</w:t>
      </w:r>
      <w:r>
        <w:rPr>
          <w:rFonts w:hint="eastAsia" w:asciiTheme="minorEastAsia" w:hAnsiTheme="minorEastAsia" w:eastAsiaTheme="minorEastAsia" w:cstheme="minorEastAsia"/>
          <w:sz w:val="24"/>
        </w:rPr>
        <w:t>福建省泉州升华实业有限公司</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隶属于景弘集团</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本次招标采购的</w:t>
      </w:r>
      <w:r>
        <w:rPr>
          <w:rFonts w:hint="eastAsia" w:asciiTheme="minorEastAsia" w:hAnsiTheme="minorEastAsia" w:eastAsiaTheme="minorEastAsia" w:cstheme="minorEastAsia"/>
          <w:sz w:val="24"/>
        </w:rPr>
        <w:t>福建省泉州升华实业有限公司员工一体化交互平台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简称：员工一体化交互平台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szCs w:val="32"/>
        </w:rPr>
        <w:t>主要用于</w:t>
      </w:r>
      <w:r>
        <w:rPr>
          <w:rFonts w:hint="eastAsia" w:asciiTheme="minorEastAsia" w:hAnsiTheme="minorEastAsia" w:eastAsiaTheme="minorEastAsia" w:cstheme="minorEastAsia"/>
          <w:sz w:val="24"/>
        </w:rPr>
        <w:t>福建省泉州升华实业有限公司</w:t>
      </w:r>
      <w:r>
        <w:rPr>
          <w:rFonts w:hint="eastAsia" w:asciiTheme="minorEastAsia" w:hAnsiTheme="minorEastAsia" w:eastAsiaTheme="minorEastAsia" w:cstheme="minorEastAsia"/>
          <w:sz w:val="24"/>
          <w:szCs w:val="32"/>
        </w:rPr>
        <w:t>的使用。投标人提供的所有货物必须通过合法渠道获得，具有在中国境内的合法使用权和用户保护权且为全新原装货物。开发的系统必须符合或优于国家及司法部颁发的相关标准和规范。</w:t>
      </w:r>
    </w:p>
    <w:p w14:paraId="55BEC94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sz w:val="24"/>
          <w:szCs w:val="32"/>
        </w:rPr>
        <w:t>2</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z w:val="24"/>
          <w:szCs w:val="32"/>
        </w:rPr>
        <w:t>完成</w:t>
      </w:r>
      <w:r>
        <w:rPr>
          <w:rFonts w:hint="eastAsia" w:asciiTheme="minorEastAsia" w:hAnsiTheme="minorEastAsia" w:eastAsiaTheme="minorEastAsia" w:cstheme="minorEastAsia"/>
          <w:sz w:val="24"/>
        </w:rPr>
        <w:t>福建省泉州升华实业有限公司员工一体化交互平台</w:t>
      </w:r>
      <w:r>
        <w:rPr>
          <w:rFonts w:hint="eastAsia" w:asciiTheme="minorEastAsia" w:hAnsiTheme="minorEastAsia" w:eastAsiaTheme="minorEastAsia" w:cstheme="minorEastAsia"/>
          <w:sz w:val="24"/>
          <w:szCs w:val="32"/>
        </w:rPr>
        <w:t>项目的软件开发。</w:t>
      </w:r>
      <w:r>
        <w:rPr>
          <w:rFonts w:hint="eastAsia" w:asciiTheme="minorEastAsia" w:hAnsiTheme="minorEastAsia" w:eastAsiaTheme="minorEastAsia" w:cstheme="minorEastAsia"/>
          <w:sz w:val="24"/>
          <w:szCs w:val="32"/>
          <w:lang w:val="en-US" w:eastAsia="zh-CN"/>
        </w:rPr>
        <w:t>员工</w:t>
      </w:r>
      <w:r>
        <w:rPr>
          <w:rFonts w:hint="eastAsia" w:asciiTheme="minorEastAsia" w:hAnsiTheme="minorEastAsia" w:eastAsiaTheme="minorEastAsia" w:cstheme="minorEastAsia"/>
          <w:sz w:val="24"/>
          <w:szCs w:val="24"/>
          <w:lang w:val="zh-CN" w:eastAsia="zh-CN"/>
        </w:rPr>
        <w:t>一体化平</w:t>
      </w:r>
      <w:r>
        <w:rPr>
          <w:rFonts w:hint="eastAsia" w:asciiTheme="minorEastAsia" w:hAnsiTheme="minorEastAsia" w:eastAsiaTheme="minorEastAsia" w:cstheme="minorEastAsia"/>
          <w:sz w:val="24"/>
          <w:szCs w:val="24"/>
          <w:lang w:eastAsia="zh-CN"/>
        </w:rPr>
        <w:t>台</w:t>
      </w:r>
      <w:r>
        <w:rPr>
          <w:rFonts w:hint="eastAsia" w:asciiTheme="minorEastAsia" w:hAnsiTheme="minorEastAsia" w:eastAsiaTheme="minorEastAsia" w:cstheme="minorEastAsia"/>
          <w:sz w:val="24"/>
          <w:szCs w:val="24"/>
        </w:rPr>
        <w:t>项目以信息采集、</w:t>
      </w:r>
      <w:r>
        <w:rPr>
          <w:rFonts w:hint="eastAsia" w:asciiTheme="minorEastAsia" w:hAnsiTheme="minorEastAsia" w:eastAsiaTheme="minorEastAsia" w:cstheme="minorEastAsia"/>
          <w:sz w:val="24"/>
          <w:szCs w:val="24"/>
          <w:lang w:val="en-US" w:eastAsia="zh-CN"/>
        </w:rPr>
        <w:t>信息查询、日常事务</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狱务公开、自助点购等业务</w:t>
      </w:r>
      <w:r>
        <w:rPr>
          <w:rFonts w:hint="eastAsia" w:asciiTheme="minorEastAsia" w:hAnsiTheme="minorEastAsia" w:eastAsiaTheme="minorEastAsia" w:cstheme="minorEastAsia"/>
          <w:sz w:val="24"/>
          <w:szCs w:val="24"/>
        </w:rPr>
        <w:t>全线上运行为整体设计思路，打造以工作线上留痕和减</w:t>
      </w:r>
      <w:r>
        <w:rPr>
          <w:rFonts w:hint="eastAsia" w:asciiTheme="minorEastAsia" w:hAnsiTheme="minorEastAsia" w:eastAsiaTheme="minorEastAsia" w:cstheme="minorEastAsia"/>
          <w:color w:val="auto"/>
          <w:sz w:val="24"/>
          <w:szCs w:val="24"/>
        </w:rPr>
        <w:t>轻</w:t>
      </w:r>
      <w:r>
        <w:rPr>
          <w:rFonts w:hint="eastAsia" w:asciiTheme="minorEastAsia" w:hAnsiTheme="minorEastAsia" w:eastAsiaTheme="minorEastAsia" w:cstheme="minorEastAsia"/>
          <w:color w:val="auto"/>
          <w:sz w:val="24"/>
          <w:szCs w:val="24"/>
          <w:lang w:eastAsia="zh-CN"/>
        </w:rPr>
        <w:t>监狱企业管理人员</w:t>
      </w:r>
      <w:r>
        <w:rPr>
          <w:rFonts w:hint="eastAsia" w:asciiTheme="minorEastAsia" w:hAnsiTheme="minorEastAsia" w:eastAsiaTheme="minorEastAsia" w:cstheme="minorEastAsia"/>
          <w:color w:val="auto"/>
          <w:sz w:val="24"/>
          <w:szCs w:val="24"/>
        </w:rPr>
        <w:t>日常繁杂事务为目标的智能交互终端项目，实现涵盖</w:t>
      </w:r>
      <w:r>
        <w:rPr>
          <w:rFonts w:hint="eastAsia" w:asciiTheme="minorEastAsia" w:hAnsiTheme="minorEastAsia" w:eastAsiaTheme="minorEastAsia" w:cstheme="minorEastAsia"/>
          <w:color w:val="auto"/>
          <w:sz w:val="24"/>
          <w:szCs w:val="24"/>
          <w:lang w:eastAsia="zh-CN"/>
        </w:rPr>
        <w:t>监狱企业管理人员</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企</w:t>
      </w:r>
      <w:r>
        <w:rPr>
          <w:rFonts w:hint="eastAsia" w:asciiTheme="minorEastAsia" w:hAnsiTheme="minorEastAsia" w:eastAsiaTheme="minorEastAsia" w:cstheme="minorEastAsia"/>
          <w:sz w:val="24"/>
          <w:szCs w:val="24"/>
          <w:lang w:eastAsia="zh-CN"/>
        </w:rPr>
        <w:t>业员工</w:t>
      </w:r>
      <w:r>
        <w:rPr>
          <w:rFonts w:hint="eastAsia" w:asciiTheme="minorEastAsia" w:hAnsiTheme="minorEastAsia" w:eastAsiaTheme="minorEastAsia" w:cstheme="minorEastAsia"/>
          <w:sz w:val="24"/>
          <w:szCs w:val="24"/>
        </w:rPr>
        <w:t>全业务贯通的各类资源协同共享和交互联动，切实提高</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工作标准化和现代化水平</w:t>
      </w:r>
      <w:r>
        <w:rPr>
          <w:rFonts w:hint="eastAsia" w:asciiTheme="minorEastAsia" w:hAnsiTheme="minorEastAsia" w:eastAsiaTheme="minorEastAsia" w:cstheme="minorEastAsia"/>
          <w:sz w:val="24"/>
          <w:szCs w:val="32"/>
        </w:rPr>
        <w:t>。</w:t>
      </w:r>
    </w:p>
    <w:p w14:paraId="75AF594F">
      <w:pPr>
        <w:spacing w:line="360" w:lineRule="auto"/>
        <w:jc w:val="left"/>
        <w:outlineLvl w:val="2"/>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（二）建设目标</w:t>
      </w:r>
    </w:p>
    <w:p w14:paraId="1362D8D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1.景弘集团和</w:t>
      </w:r>
      <w:r>
        <w:rPr>
          <w:rFonts w:hint="eastAsia" w:asciiTheme="minorEastAsia" w:hAnsiTheme="minorEastAsia" w:eastAsiaTheme="minorEastAsia" w:cstheme="minorEastAsia"/>
          <w:b/>
          <w:bCs/>
          <w:sz w:val="24"/>
        </w:rPr>
        <w:t>福建省泉州升华实业有限公司</w:t>
      </w:r>
      <w:r>
        <w:rPr>
          <w:rFonts w:hint="eastAsia" w:asciiTheme="minorEastAsia" w:hAnsiTheme="minorEastAsia" w:eastAsiaTheme="minorEastAsia" w:cstheme="minorEastAsia"/>
          <w:b/>
          <w:bCs/>
          <w:sz w:val="24"/>
          <w:szCs w:val="24"/>
          <w:lang w:val="zh-CN"/>
        </w:rPr>
        <w:t>信息化建设一直以来遵循“统一规划、统一标准、统一设计、统一管理、分步建设”的信息化建设工作思路。在信息化建设整体规划的指导下，妥善处理当前与长远、建设与应用、重点与一般、业务与技术、继承与创新、共享与安全的关系，需充分运用移动互联的先进理念和技术，按照“集约高效、共享开放、安全可靠、按需服务”的原则，建成数据信息全面准确、业务应用灵活普及、规范标准科学统一的业务应用，为</w:t>
      </w:r>
      <w:r>
        <w:rPr>
          <w:rFonts w:hint="eastAsia" w:asciiTheme="minorEastAsia" w:hAnsiTheme="minorEastAsia" w:eastAsiaTheme="minorEastAsia" w:cstheme="minorEastAsia"/>
          <w:b/>
          <w:bCs/>
          <w:sz w:val="24"/>
          <w:szCs w:val="24"/>
          <w:lang w:val="en-US" w:eastAsia="zh-CN"/>
        </w:rPr>
        <w:t>企业</w:t>
      </w:r>
      <w:r>
        <w:rPr>
          <w:rFonts w:hint="eastAsia" w:asciiTheme="minorEastAsia" w:hAnsiTheme="minorEastAsia" w:eastAsiaTheme="minorEastAsia" w:cstheme="minorEastAsia"/>
          <w:b/>
          <w:bCs/>
          <w:sz w:val="24"/>
          <w:szCs w:val="24"/>
          <w:lang w:val="zh-CN"/>
        </w:rPr>
        <w:t>管理和公共服务提供有力支持，提升</w:t>
      </w:r>
      <w:r>
        <w:rPr>
          <w:rFonts w:hint="eastAsia" w:asciiTheme="minorEastAsia" w:hAnsiTheme="minorEastAsia" w:eastAsiaTheme="minorEastAsia" w:cstheme="minorEastAsia"/>
          <w:b/>
          <w:bCs/>
          <w:sz w:val="24"/>
          <w:szCs w:val="24"/>
          <w:lang w:val="en-US" w:eastAsia="zh-CN"/>
        </w:rPr>
        <w:t>企业</w:t>
      </w:r>
      <w:r>
        <w:rPr>
          <w:rFonts w:hint="eastAsia" w:asciiTheme="minorEastAsia" w:hAnsiTheme="minorEastAsia" w:eastAsiaTheme="minorEastAsia" w:cstheme="minorEastAsia"/>
          <w:b/>
          <w:bCs/>
          <w:sz w:val="24"/>
          <w:szCs w:val="24"/>
          <w:lang w:val="zh-CN"/>
        </w:rPr>
        <w:t>整体管理水平，打造高效的警务运行机制，提升</w:t>
      </w:r>
      <w:r>
        <w:rPr>
          <w:rFonts w:hint="eastAsia" w:asciiTheme="minorEastAsia" w:hAnsiTheme="minorEastAsia" w:eastAsiaTheme="minorEastAsia" w:cstheme="minorEastAsia"/>
          <w:b/>
          <w:bCs/>
          <w:sz w:val="24"/>
          <w:szCs w:val="24"/>
          <w:lang w:val="en-US" w:eastAsia="zh-CN"/>
        </w:rPr>
        <w:t>企业</w:t>
      </w:r>
      <w:r>
        <w:rPr>
          <w:rFonts w:hint="eastAsia" w:asciiTheme="minorEastAsia" w:hAnsiTheme="minorEastAsia" w:eastAsiaTheme="minorEastAsia" w:cstheme="minorEastAsia"/>
          <w:b/>
          <w:bCs/>
          <w:sz w:val="24"/>
          <w:szCs w:val="24"/>
          <w:lang w:val="zh-CN"/>
        </w:rPr>
        <w:t>现代治理能力。</w:t>
      </w:r>
    </w:p>
    <w:p w14:paraId="390E1A08">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lang w:val="en-US" w:eastAsia="zh-CN"/>
        </w:rPr>
        <w:t>2.</w:t>
      </w:r>
      <w:r>
        <w:rPr>
          <w:rFonts w:hint="eastAsia" w:asciiTheme="minorEastAsia" w:hAnsiTheme="minorEastAsia" w:eastAsiaTheme="minorEastAsia" w:cstheme="minorEastAsia"/>
          <w:b/>
          <w:sz w:val="24"/>
          <w:szCs w:val="32"/>
        </w:rPr>
        <w:t>实现</w:t>
      </w:r>
      <w:r>
        <w:rPr>
          <w:rFonts w:hint="eastAsia" w:asciiTheme="minorEastAsia" w:hAnsiTheme="minorEastAsia" w:eastAsiaTheme="minorEastAsia" w:cstheme="minorEastAsia"/>
          <w:b/>
          <w:sz w:val="24"/>
          <w:szCs w:val="32"/>
          <w:lang w:val="en-US" w:eastAsia="zh-CN"/>
        </w:rPr>
        <w:t>企业员工</w:t>
      </w:r>
      <w:r>
        <w:rPr>
          <w:rFonts w:hint="eastAsia" w:asciiTheme="minorEastAsia" w:hAnsiTheme="minorEastAsia" w:eastAsiaTheme="minorEastAsia" w:cstheme="minorEastAsia"/>
          <w:b/>
          <w:sz w:val="24"/>
          <w:szCs w:val="32"/>
        </w:rPr>
        <w:t>数据全采集</w:t>
      </w:r>
    </w:p>
    <w:p w14:paraId="3D11D69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通过</w:t>
      </w:r>
      <w:r>
        <w:rPr>
          <w:rFonts w:hint="eastAsia" w:asciiTheme="minorEastAsia" w:hAnsiTheme="minorEastAsia" w:eastAsiaTheme="minorEastAsia" w:cstheme="minorEastAsia"/>
          <w:sz w:val="24"/>
          <w:szCs w:val="32"/>
          <w:lang w:val="en-US" w:eastAsia="zh-CN"/>
        </w:rPr>
        <w:t>智能</w:t>
      </w:r>
      <w:r>
        <w:rPr>
          <w:rFonts w:hint="eastAsia" w:asciiTheme="minorEastAsia" w:hAnsiTheme="minorEastAsia" w:eastAsiaTheme="minorEastAsia" w:cstheme="minorEastAsia"/>
          <w:sz w:val="24"/>
          <w:szCs w:val="32"/>
        </w:rPr>
        <w:t>交互终端，实现</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的心情、日常点名、购物、各类预约、学习、健康等数据采集；</w:t>
      </w:r>
    </w:p>
    <w:p w14:paraId="0F2B3E3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lang w:val="en-US" w:eastAsia="zh-CN"/>
        </w:rPr>
        <w:t>3.</w:t>
      </w:r>
      <w:r>
        <w:rPr>
          <w:rFonts w:hint="eastAsia" w:asciiTheme="minorEastAsia" w:hAnsiTheme="minorEastAsia" w:eastAsiaTheme="minorEastAsia" w:cstheme="minorEastAsia"/>
          <w:b/>
          <w:sz w:val="24"/>
          <w:szCs w:val="32"/>
        </w:rPr>
        <w:t>实现</w:t>
      </w:r>
      <w:r>
        <w:rPr>
          <w:rFonts w:hint="eastAsia" w:asciiTheme="minorEastAsia" w:hAnsiTheme="minorEastAsia" w:eastAsiaTheme="minorEastAsia" w:cstheme="minorEastAsia"/>
          <w:b/>
          <w:sz w:val="24"/>
          <w:szCs w:val="32"/>
          <w:lang w:val="en-US" w:eastAsia="zh-CN"/>
        </w:rPr>
        <w:t>企业员工</w:t>
      </w:r>
      <w:r>
        <w:rPr>
          <w:rFonts w:hint="eastAsia" w:asciiTheme="minorEastAsia" w:hAnsiTheme="minorEastAsia" w:eastAsiaTheme="minorEastAsia" w:cstheme="minorEastAsia"/>
          <w:b/>
          <w:sz w:val="24"/>
          <w:szCs w:val="32"/>
        </w:rPr>
        <w:t>规范化管理</w:t>
      </w:r>
    </w:p>
    <w:p w14:paraId="4F5240D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通过建设</w:t>
      </w:r>
      <w:r>
        <w:rPr>
          <w:rFonts w:hint="eastAsia" w:asciiTheme="minorEastAsia" w:hAnsiTheme="minorEastAsia" w:eastAsiaTheme="minorEastAsia" w:cstheme="minorEastAsia"/>
          <w:sz w:val="24"/>
          <w:szCs w:val="32"/>
          <w:lang w:val="en-US" w:eastAsia="zh-CN"/>
        </w:rPr>
        <w:t>员工</w:t>
      </w:r>
      <w:r>
        <w:rPr>
          <w:rFonts w:hint="eastAsia" w:asciiTheme="minorEastAsia" w:hAnsiTheme="minorEastAsia" w:eastAsiaTheme="minorEastAsia" w:cstheme="minorEastAsia"/>
          <w:sz w:val="24"/>
          <w:szCs w:val="32"/>
        </w:rPr>
        <w:t>一体化</w:t>
      </w:r>
      <w:r>
        <w:rPr>
          <w:rFonts w:hint="eastAsia" w:asciiTheme="minorEastAsia" w:hAnsiTheme="minorEastAsia" w:eastAsiaTheme="minorEastAsia" w:cstheme="minorEastAsia"/>
          <w:sz w:val="24"/>
          <w:szCs w:val="32"/>
          <w:lang w:val="en-US" w:eastAsia="zh-CN"/>
        </w:rPr>
        <w:t>交互</w:t>
      </w:r>
      <w:r>
        <w:rPr>
          <w:rFonts w:hint="eastAsia" w:asciiTheme="minorEastAsia" w:hAnsiTheme="minorEastAsia" w:eastAsiaTheme="minorEastAsia" w:cstheme="minorEastAsia"/>
          <w:sz w:val="24"/>
          <w:szCs w:val="32"/>
        </w:rPr>
        <w:t>平台，实现对全省的账户统一管理</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通过</w:t>
      </w:r>
      <w:r>
        <w:rPr>
          <w:rFonts w:hint="eastAsia" w:asciiTheme="minorEastAsia" w:hAnsiTheme="minorEastAsia" w:eastAsiaTheme="minorEastAsia" w:cstheme="minorEastAsia"/>
          <w:sz w:val="24"/>
          <w:szCs w:val="32"/>
          <w:lang w:val="en-US" w:eastAsia="zh-CN"/>
        </w:rPr>
        <w:t>智能</w:t>
      </w:r>
      <w:r>
        <w:rPr>
          <w:rFonts w:hint="eastAsia" w:asciiTheme="minorEastAsia" w:hAnsiTheme="minorEastAsia" w:eastAsiaTheme="minorEastAsia" w:cstheme="minorEastAsia"/>
          <w:sz w:val="24"/>
          <w:szCs w:val="32"/>
        </w:rPr>
        <w:t>交互终端，实现</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的起床、开封、收封、睡觉等一日生活规范的语音提示，同时</w:t>
      </w:r>
      <w:r>
        <w:rPr>
          <w:rFonts w:hint="eastAsia" w:asciiTheme="minorEastAsia" w:hAnsiTheme="minorEastAsia" w:eastAsiaTheme="minorEastAsia" w:cstheme="minorEastAsia"/>
          <w:color w:val="auto"/>
          <w:sz w:val="24"/>
          <w:szCs w:val="32"/>
        </w:rPr>
        <w:t>针对</w:t>
      </w:r>
      <w:r>
        <w:rPr>
          <w:rFonts w:hint="eastAsia" w:asciiTheme="minorEastAsia" w:hAnsiTheme="minorEastAsia" w:eastAsiaTheme="minorEastAsia" w:cstheme="minorEastAsia"/>
          <w:color w:val="auto"/>
          <w:sz w:val="24"/>
          <w:szCs w:val="32"/>
          <w:lang w:eastAsia="zh-CN"/>
        </w:rPr>
        <w:t>员工宿舍</w:t>
      </w:r>
      <w:r>
        <w:rPr>
          <w:rFonts w:hint="eastAsia" w:asciiTheme="minorEastAsia" w:hAnsiTheme="minorEastAsia" w:eastAsiaTheme="minorEastAsia" w:cstheme="minorEastAsia"/>
          <w:color w:val="auto"/>
          <w:sz w:val="24"/>
          <w:szCs w:val="32"/>
        </w:rPr>
        <w:t>内</w:t>
      </w:r>
      <w:r>
        <w:rPr>
          <w:rFonts w:hint="eastAsia" w:asciiTheme="minorEastAsia" w:hAnsiTheme="minorEastAsia" w:eastAsiaTheme="minorEastAsia" w:cstheme="minorEastAsia"/>
          <w:sz w:val="24"/>
          <w:szCs w:val="32"/>
        </w:rPr>
        <w:t>的人员清点、电子书信、被服领用、服药登记等管理要求实现规范化管理；</w:t>
      </w:r>
    </w:p>
    <w:p w14:paraId="41FD04A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lang w:val="en-US" w:eastAsia="zh-CN"/>
        </w:rPr>
        <w:t>4.</w:t>
      </w:r>
      <w:r>
        <w:rPr>
          <w:rFonts w:hint="eastAsia" w:asciiTheme="minorEastAsia" w:hAnsiTheme="minorEastAsia" w:eastAsiaTheme="minorEastAsia" w:cstheme="minorEastAsia"/>
          <w:b/>
          <w:sz w:val="24"/>
          <w:szCs w:val="32"/>
        </w:rPr>
        <w:t>实现多手段</w:t>
      </w:r>
      <w:r>
        <w:rPr>
          <w:rFonts w:hint="eastAsia" w:asciiTheme="minorEastAsia" w:hAnsiTheme="minorEastAsia" w:eastAsiaTheme="minorEastAsia" w:cstheme="minorEastAsia"/>
          <w:b/>
          <w:sz w:val="24"/>
          <w:szCs w:val="32"/>
          <w:lang w:val="en-US" w:eastAsia="zh-CN"/>
        </w:rPr>
        <w:t>企业员工</w:t>
      </w:r>
      <w:r>
        <w:rPr>
          <w:rFonts w:hint="eastAsia" w:asciiTheme="minorEastAsia" w:hAnsiTheme="minorEastAsia" w:eastAsiaTheme="minorEastAsia" w:cstheme="minorEastAsia"/>
          <w:b/>
          <w:sz w:val="24"/>
          <w:szCs w:val="32"/>
        </w:rPr>
        <w:t>改造</w:t>
      </w:r>
    </w:p>
    <w:p w14:paraId="37540C6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通过</w:t>
      </w:r>
      <w:r>
        <w:rPr>
          <w:rFonts w:hint="eastAsia" w:asciiTheme="minorEastAsia" w:hAnsiTheme="minorEastAsia" w:eastAsiaTheme="minorEastAsia" w:cstheme="minorEastAsia"/>
          <w:sz w:val="24"/>
          <w:szCs w:val="32"/>
          <w:lang w:val="en-US" w:eastAsia="zh-CN"/>
        </w:rPr>
        <w:t>智能</w:t>
      </w:r>
      <w:r>
        <w:rPr>
          <w:rFonts w:hint="eastAsia" w:asciiTheme="minorEastAsia" w:hAnsiTheme="minorEastAsia" w:eastAsiaTheme="minorEastAsia" w:cstheme="minorEastAsia"/>
          <w:sz w:val="24"/>
          <w:szCs w:val="32"/>
        </w:rPr>
        <w:t>交互终端，实现</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的法律法规学习、技能学习、视频点播、谈话教育、心理咨询、积分兑换等多途径对</w:t>
      </w:r>
      <w:r>
        <w:rPr>
          <w:rFonts w:hint="eastAsia" w:asciiTheme="minorEastAsia" w:hAnsiTheme="minorEastAsia" w:eastAsiaTheme="minorEastAsia" w:cstheme="minorEastAsia"/>
          <w:sz w:val="24"/>
          <w:szCs w:val="32"/>
          <w:lang w:eastAsia="zh-CN"/>
        </w:rPr>
        <w:t>企业员工</w:t>
      </w:r>
      <w:r>
        <w:rPr>
          <w:rFonts w:hint="eastAsia" w:asciiTheme="minorEastAsia" w:hAnsiTheme="minorEastAsia" w:eastAsiaTheme="minorEastAsia" w:cstheme="minorEastAsia"/>
          <w:sz w:val="24"/>
          <w:szCs w:val="32"/>
        </w:rPr>
        <w:t>改造教育；</w:t>
      </w:r>
    </w:p>
    <w:p w14:paraId="2728ECA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lang w:val="en-US" w:eastAsia="zh-CN"/>
        </w:rPr>
        <w:t>5.</w:t>
      </w:r>
      <w:r>
        <w:rPr>
          <w:rFonts w:hint="eastAsia" w:asciiTheme="minorEastAsia" w:hAnsiTheme="minorEastAsia" w:eastAsiaTheme="minorEastAsia" w:cstheme="minorEastAsia"/>
          <w:b/>
          <w:sz w:val="24"/>
          <w:szCs w:val="32"/>
        </w:rPr>
        <w:t>实现应用多元扩展</w:t>
      </w:r>
    </w:p>
    <w:p w14:paraId="65F49FE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各</w:t>
      </w:r>
      <w:r>
        <w:rPr>
          <w:rFonts w:hint="eastAsia" w:asciiTheme="minorEastAsia" w:hAnsiTheme="minorEastAsia" w:eastAsiaTheme="minorEastAsia" w:cstheme="minorEastAsia"/>
          <w:sz w:val="24"/>
          <w:szCs w:val="32"/>
          <w:lang w:val="en-US" w:eastAsia="zh-CN"/>
        </w:rPr>
        <w:t>企业</w:t>
      </w:r>
      <w:r>
        <w:rPr>
          <w:rFonts w:hint="eastAsia" w:asciiTheme="minorEastAsia" w:hAnsiTheme="minorEastAsia" w:eastAsiaTheme="minorEastAsia" w:cstheme="minorEastAsia"/>
          <w:sz w:val="24"/>
          <w:szCs w:val="32"/>
        </w:rPr>
        <w:t>单位可以根据</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不同应用场景开发相应的APP应用，满足</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的日常改造。通过建设</w:t>
      </w:r>
      <w:r>
        <w:rPr>
          <w:rFonts w:hint="eastAsia" w:asciiTheme="minorEastAsia" w:hAnsiTheme="minorEastAsia" w:eastAsiaTheme="minorEastAsia" w:cstheme="minorEastAsia"/>
          <w:sz w:val="24"/>
          <w:szCs w:val="32"/>
          <w:lang w:val="en-US" w:eastAsia="zh-CN"/>
        </w:rPr>
        <w:t>员工</w:t>
      </w:r>
      <w:r>
        <w:rPr>
          <w:rFonts w:hint="eastAsia" w:asciiTheme="minorEastAsia" w:hAnsiTheme="minorEastAsia" w:eastAsiaTheme="minorEastAsia" w:cstheme="minorEastAsia"/>
          <w:sz w:val="24"/>
          <w:szCs w:val="32"/>
        </w:rPr>
        <w:t>一体化</w:t>
      </w:r>
      <w:r>
        <w:rPr>
          <w:rFonts w:hint="eastAsia" w:asciiTheme="minorEastAsia" w:hAnsiTheme="minorEastAsia" w:eastAsiaTheme="minorEastAsia" w:cstheme="minorEastAsia"/>
          <w:sz w:val="24"/>
          <w:szCs w:val="32"/>
          <w:lang w:val="en-US" w:eastAsia="zh-CN"/>
        </w:rPr>
        <w:t>交互</w:t>
      </w:r>
      <w:r>
        <w:rPr>
          <w:rFonts w:hint="eastAsia" w:asciiTheme="minorEastAsia" w:hAnsiTheme="minorEastAsia" w:eastAsiaTheme="minorEastAsia" w:cstheme="minorEastAsia"/>
          <w:sz w:val="24"/>
          <w:szCs w:val="32"/>
        </w:rPr>
        <w:t>平台实现对不同APP应用进行统一分类管理，以及使用权限、数据安全进行统一管控。最终实现对</w:t>
      </w:r>
      <w:r>
        <w:rPr>
          <w:rFonts w:hint="eastAsia" w:asciiTheme="minorEastAsia" w:hAnsiTheme="minorEastAsia" w:eastAsiaTheme="minorEastAsia" w:cstheme="minorEastAsia"/>
          <w:sz w:val="24"/>
          <w:szCs w:val="32"/>
          <w:lang w:val="en-US" w:eastAsia="zh-CN"/>
        </w:rPr>
        <w:t>员工</w:t>
      </w:r>
      <w:r>
        <w:rPr>
          <w:rFonts w:hint="eastAsia" w:asciiTheme="minorEastAsia" w:hAnsiTheme="minorEastAsia" w:eastAsiaTheme="minorEastAsia" w:cstheme="minorEastAsia"/>
          <w:sz w:val="24"/>
          <w:szCs w:val="32"/>
        </w:rPr>
        <w:t>一体化平台共建，满足对</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的多元化管理，同时提升</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改造质量和</w:t>
      </w:r>
      <w:r>
        <w:rPr>
          <w:rFonts w:hint="eastAsia" w:asciiTheme="minorEastAsia" w:hAnsiTheme="minorEastAsia" w:eastAsiaTheme="minorEastAsia" w:cstheme="minorEastAsia"/>
          <w:sz w:val="24"/>
          <w:szCs w:val="32"/>
          <w:lang w:val="en-US" w:eastAsia="zh-CN"/>
        </w:rPr>
        <w:t>改造成效</w:t>
      </w:r>
      <w:r>
        <w:rPr>
          <w:rFonts w:hint="eastAsia" w:asciiTheme="minorEastAsia" w:hAnsiTheme="minorEastAsia" w:eastAsiaTheme="minorEastAsia" w:cstheme="minorEastAsia"/>
          <w:sz w:val="24"/>
          <w:szCs w:val="32"/>
        </w:rPr>
        <w:t>。</w:t>
      </w:r>
    </w:p>
    <w:p w14:paraId="75667E8B">
      <w:pPr>
        <w:spacing w:line="360" w:lineRule="auto"/>
        <w:jc w:val="left"/>
        <w:outlineLvl w:val="2"/>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（三）建设依据</w:t>
      </w:r>
    </w:p>
    <w:p w14:paraId="64D07E06">
      <w:pPr>
        <w:pStyle w:val="11"/>
        <w:spacing w:before="0" w:beforeAutospacing="0" w:after="0" w:afterAutospacing="0" w:line="360" w:lineRule="auto"/>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sz w:val="24"/>
        </w:rPr>
        <w:t>福建省泉州升华实业有限公司员工一体化交互平台</w:t>
      </w:r>
      <w:r>
        <w:rPr>
          <w:rFonts w:hint="eastAsia" w:asciiTheme="minorEastAsia" w:hAnsiTheme="minorEastAsia" w:eastAsiaTheme="minorEastAsia" w:cstheme="minorEastAsia"/>
          <w:bCs/>
        </w:rPr>
        <w:t>项目涉及多用户、多业务、面向多个业务系统，在项目设计和建设的过程中，必须加强标准化建设，发挥标准化的指导、协调作用，确保系统运行，发挥预期效能。</w:t>
      </w:r>
    </w:p>
    <w:tbl>
      <w:tblPr>
        <w:tblStyle w:val="14"/>
        <w:tblW w:w="4828" w:type="pct"/>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510"/>
        <w:gridCol w:w="2432"/>
      </w:tblGrid>
      <w:tr w14:paraId="5653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93" w:type="dxa"/>
            <w:vAlign w:val="center"/>
          </w:tcPr>
          <w:p w14:paraId="6A0EE450">
            <w:pPr>
              <w:widowControl/>
              <w:spacing w:before="48" w:beforeLines="20" w:line="288"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序号</w:t>
            </w:r>
          </w:p>
        </w:tc>
        <w:tc>
          <w:tcPr>
            <w:tcW w:w="6510" w:type="dxa"/>
            <w:vAlign w:val="center"/>
          </w:tcPr>
          <w:p w14:paraId="7545B002">
            <w:pPr>
              <w:widowControl/>
              <w:spacing w:before="48" w:beforeLines="20" w:line="288"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标准名称</w:t>
            </w:r>
          </w:p>
        </w:tc>
        <w:tc>
          <w:tcPr>
            <w:tcW w:w="2432" w:type="dxa"/>
            <w:vAlign w:val="center"/>
          </w:tcPr>
          <w:p w14:paraId="6CE45027">
            <w:pPr>
              <w:widowControl/>
              <w:spacing w:before="48" w:beforeLines="20" w:line="288"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标准编号</w:t>
            </w:r>
          </w:p>
        </w:tc>
      </w:tr>
      <w:tr w14:paraId="5E24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26536FAA">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w:t>
            </w:r>
          </w:p>
        </w:tc>
        <w:tc>
          <w:tcPr>
            <w:tcW w:w="6510" w:type="dxa"/>
            <w:vAlign w:val="center"/>
          </w:tcPr>
          <w:p w14:paraId="4968B26B">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电子政务系统总体设计要求</w:t>
            </w:r>
          </w:p>
        </w:tc>
        <w:tc>
          <w:tcPr>
            <w:tcW w:w="2432" w:type="dxa"/>
            <w:vAlign w:val="center"/>
          </w:tcPr>
          <w:p w14:paraId="34569850">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21064-2007</w:t>
            </w:r>
          </w:p>
        </w:tc>
      </w:tr>
      <w:tr w14:paraId="076A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4C34CE1C">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w:t>
            </w:r>
          </w:p>
        </w:tc>
        <w:tc>
          <w:tcPr>
            <w:tcW w:w="6510" w:type="dxa"/>
            <w:vAlign w:val="center"/>
          </w:tcPr>
          <w:p w14:paraId="02666E20">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国家电子政务网络技术和运行管理规范</w:t>
            </w:r>
          </w:p>
        </w:tc>
        <w:tc>
          <w:tcPr>
            <w:tcW w:w="2432" w:type="dxa"/>
            <w:vAlign w:val="center"/>
          </w:tcPr>
          <w:p w14:paraId="185BBB77">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21061-2007</w:t>
            </w:r>
          </w:p>
        </w:tc>
      </w:tr>
      <w:tr w14:paraId="2974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29136E02">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3</w:t>
            </w:r>
          </w:p>
        </w:tc>
        <w:tc>
          <w:tcPr>
            <w:tcW w:w="6510" w:type="dxa"/>
            <w:vAlign w:val="center"/>
          </w:tcPr>
          <w:p w14:paraId="431E5961">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电子政务业务流程设计方法通用规范</w:t>
            </w:r>
          </w:p>
        </w:tc>
        <w:tc>
          <w:tcPr>
            <w:tcW w:w="2432" w:type="dxa"/>
            <w:vAlign w:val="center"/>
          </w:tcPr>
          <w:p w14:paraId="20E6C2A3">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19487-2004</w:t>
            </w:r>
          </w:p>
        </w:tc>
      </w:tr>
      <w:tr w14:paraId="5211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16B301EF">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4</w:t>
            </w:r>
          </w:p>
        </w:tc>
        <w:tc>
          <w:tcPr>
            <w:tcW w:w="6510" w:type="dxa"/>
            <w:vAlign w:val="center"/>
          </w:tcPr>
          <w:p w14:paraId="57750F87">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电子文件归档与管理规范</w:t>
            </w:r>
          </w:p>
        </w:tc>
        <w:tc>
          <w:tcPr>
            <w:tcW w:w="2432" w:type="dxa"/>
            <w:vAlign w:val="center"/>
          </w:tcPr>
          <w:p w14:paraId="7BE1BB6E">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18894-2002</w:t>
            </w:r>
          </w:p>
        </w:tc>
      </w:tr>
      <w:tr w14:paraId="5DB1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6EF25276">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5</w:t>
            </w:r>
          </w:p>
        </w:tc>
        <w:tc>
          <w:tcPr>
            <w:tcW w:w="6510" w:type="dxa"/>
            <w:vAlign w:val="center"/>
          </w:tcPr>
          <w:p w14:paraId="6AE4F40A">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信息安全技术信息系统灾难恢复规范</w:t>
            </w:r>
          </w:p>
        </w:tc>
        <w:tc>
          <w:tcPr>
            <w:tcW w:w="2432" w:type="dxa"/>
            <w:vAlign w:val="center"/>
          </w:tcPr>
          <w:p w14:paraId="07EA1FB5">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20988-2007</w:t>
            </w:r>
          </w:p>
        </w:tc>
      </w:tr>
      <w:tr w14:paraId="5D21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7792D17C">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6</w:t>
            </w:r>
          </w:p>
        </w:tc>
        <w:tc>
          <w:tcPr>
            <w:tcW w:w="6510" w:type="dxa"/>
            <w:vAlign w:val="center"/>
          </w:tcPr>
          <w:p w14:paraId="0CEFCE86">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信息安全技术信息系统安全管理要求</w:t>
            </w:r>
          </w:p>
        </w:tc>
        <w:tc>
          <w:tcPr>
            <w:tcW w:w="2432" w:type="dxa"/>
            <w:vAlign w:val="center"/>
          </w:tcPr>
          <w:p w14:paraId="6A9B4F15">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20269-2006</w:t>
            </w:r>
          </w:p>
        </w:tc>
      </w:tr>
      <w:tr w14:paraId="1BFB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2FB18D42">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6510" w:type="dxa"/>
            <w:vAlign w:val="center"/>
          </w:tcPr>
          <w:p w14:paraId="2B4C4057">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信息安全技术网络基础安全技术要求</w:t>
            </w:r>
          </w:p>
        </w:tc>
        <w:tc>
          <w:tcPr>
            <w:tcW w:w="2432" w:type="dxa"/>
            <w:vAlign w:val="center"/>
          </w:tcPr>
          <w:p w14:paraId="71D8F802">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20270-2006</w:t>
            </w:r>
          </w:p>
        </w:tc>
      </w:tr>
      <w:tr w14:paraId="546E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73E99C5D">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8</w:t>
            </w:r>
          </w:p>
        </w:tc>
        <w:tc>
          <w:tcPr>
            <w:tcW w:w="6510" w:type="dxa"/>
            <w:vAlign w:val="center"/>
          </w:tcPr>
          <w:p w14:paraId="4B592525">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信息安全技术信息系统通用安全技术要求</w:t>
            </w:r>
          </w:p>
        </w:tc>
        <w:tc>
          <w:tcPr>
            <w:tcW w:w="2432" w:type="dxa"/>
            <w:vAlign w:val="center"/>
          </w:tcPr>
          <w:p w14:paraId="099B0C98">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20271-2006</w:t>
            </w:r>
          </w:p>
        </w:tc>
      </w:tr>
      <w:tr w14:paraId="10E9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6BE3255C">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9</w:t>
            </w:r>
          </w:p>
        </w:tc>
        <w:tc>
          <w:tcPr>
            <w:tcW w:w="6510" w:type="dxa"/>
            <w:vAlign w:val="center"/>
          </w:tcPr>
          <w:p w14:paraId="44B57E37">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信息安全技术操作系统安全技术要求</w:t>
            </w:r>
          </w:p>
        </w:tc>
        <w:tc>
          <w:tcPr>
            <w:tcW w:w="2432" w:type="dxa"/>
            <w:vAlign w:val="center"/>
          </w:tcPr>
          <w:p w14:paraId="72D3B224">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20272-2006</w:t>
            </w:r>
          </w:p>
        </w:tc>
      </w:tr>
      <w:tr w14:paraId="6C51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66D957E6">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6510" w:type="dxa"/>
            <w:vAlign w:val="center"/>
          </w:tcPr>
          <w:p w14:paraId="1CEA2C9C">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信息安全技术数据库管理系统安全技术要求</w:t>
            </w:r>
          </w:p>
        </w:tc>
        <w:tc>
          <w:tcPr>
            <w:tcW w:w="2432" w:type="dxa"/>
            <w:vAlign w:val="center"/>
          </w:tcPr>
          <w:p w14:paraId="0F4E1FF8">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20273-2006</w:t>
            </w:r>
          </w:p>
        </w:tc>
      </w:tr>
      <w:tr w14:paraId="7F55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3C819190">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1</w:t>
            </w:r>
          </w:p>
        </w:tc>
        <w:tc>
          <w:tcPr>
            <w:tcW w:w="6510" w:type="dxa"/>
            <w:vAlign w:val="center"/>
          </w:tcPr>
          <w:p w14:paraId="4F35A524">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信息安全技术网络和终端隔离产品安全技术要求</w:t>
            </w:r>
          </w:p>
        </w:tc>
        <w:tc>
          <w:tcPr>
            <w:tcW w:w="2432" w:type="dxa"/>
            <w:vAlign w:val="center"/>
          </w:tcPr>
          <w:p w14:paraId="1969DD97">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20279-2015</w:t>
            </w:r>
          </w:p>
        </w:tc>
      </w:tr>
      <w:tr w14:paraId="6D76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3837FF95">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12</w:t>
            </w:r>
          </w:p>
        </w:tc>
        <w:tc>
          <w:tcPr>
            <w:tcW w:w="6510" w:type="dxa"/>
            <w:vAlign w:val="center"/>
          </w:tcPr>
          <w:p w14:paraId="69F6022C">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计算机信息系统安全保护等级划分准则</w:t>
            </w:r>
          </w:p>
        </w:tc>
        <w:tc>
          <w:tcPr>
            <w:tcW w:w="2432" w:type="dxa"/>
            <w:vAlign w:val="center"/>
          </w:tcPr>
          <w:p w14:paraId="47EBAB6C">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GB/T17859-1999</w:t>
            </w:r>
          </w:p>
        </w:tc>
      </w:tr>
      <w:tr w14:paraId="554A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174612ED">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13</w:t>
            </w:r>
          </w:p>
        </w:tc>
        <w:tc>
          <w:tcPr>
            <w:tcW w:w="6510" w:type="dxa"/>
            <w:vAlign w:val="center"/>
          </w:tcPr>
          <w:p w14:paraId="3A893114">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信息安全技术信息系统安全等级保护基本要求</w:t>
            </w:r>
          </w:p>
        </w:tc>
        <w:tc>
          <w:tcPr>
            <w:tcW w:w="2432" w:type="dxa"/>
            <w:vAlign w:val="center"/>
          </w:tcPr>
          <w:p w14:paraId="42341A88">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22239-2008</w:t>
            </w:r>
          </w:p>
        </w:tc>
      </w:tr>
      <w:tr w14:paraId="7AA6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3F9B1BBD">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14</w:t>
            </w:r>
          </w:p>
        </w:tc>
        <w:tc>
          <w:tcPr>
            <w:tcW w:w="6510" w:type="dxa"/>
            <w:vAlign w:val="center"/>
          </w:tcPr>
          <w:p w14:paraId="48881CDF">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中华人民共和国计算机信息系统安全保护条例</w:t>
            </w:r>
          </w:p>
        </w:tc>
        <w:tc>
          <w:tcPr>
            <w:tcW w:w="2432" w:type="dxa"/>
            <w:vAlign w:val="center"/>
          </w:tcPr>
          <w:p w14:paraId="1EC574C1">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国务院令第147号</w:t>
            </w:r>
          </w:p>
        </w:tc>
      </w:tr>
      <w:tr w14:paraId="74F4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0D79AAB6">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15</w:t>
            </w:r>
          </w:p>
        </w:tc>
        <w:tc>
          <w:tcPr>
            <w:tcW w:w="6510" w:type="dxa"/>
            <w:vAlign w:val="center"/>
          </w:tcPr>
          <w:p w14:paraId="0609F857">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智慧监狱技术规范</w:t>
            </w:r>
          </w:p>
        </w:tc>
        <w:tc>
          <w:tcPr>
            <w:tcW w:w="2432" w:type="dxa"/>
            <w:vAlign w:val="center"/>
          </w:tcPr>
          <w:p w14:paraId="440FC1A6">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0028-2018</w:t>
            </w:r>
          </w:p>
        </w:tc>
      </w:tr>
      <w:tr w14:paraId="1974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53034DD7">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16</w:t>
            </w:r>
          </w:p>
        </w:tc>
        <w:tc>
          <w:tcPr>
            <w:tcW w:w="6510" w:type="dxa"/>
            <w:vAlign w:val="center"/>
          </w:tcPr>
          <w:p w14:paraId="5A3EE518">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全国司法行政系统网络平台技术规范</w:t>
            </w:r>
          </w:p>
        </w:tc>
        <w:tc>
          <w:tcPr>
            <w:tcW w:w="2432" w:type="dxa"/>
            <w:vAlign w:val="center"/>
          </w:tcPr>
          <w:p w14:paraId="771E8A5C">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0012-2017</w:t>
            </w:r>
          </w:p>
        </w:tc>
      </w:tr>
      <w:tr w14:paraId="7B3E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30561983">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17</w:t>
            </w:r>
          </w:p>
        </w:tc>
        <w:tc>
          <w:tcPr>
            <w:tcW w:w="6510" w:type="dxa"/>
            <w:vAlign w:val="center"/>
          </w:tcPr>
          <w:p w14:paraId="5775797E">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全国司法行政系统指挥中心建设技术规范</w:t>
            </w:r>
          </w:p>
        </w:tc>
        <w:tc>
          <w:tcPr>
            <w:tcW w:w="2432" w:type="dxa"/>
            <w:vAlign w:val="center"/>
          </w:tcPr>
          <w:p w14:paraId="085D1DE1">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0009-2017</w:t>
            </w:r>
          </w:p>
        </w:tc>
      </w:tr>
      <w:tr w14:paraId="5CA1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5B74558A">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18</w:t>
            </w:r>
          </w:p>
        </w:tc>
        <w:tc>
          <w:tcPr>
            <w:tcW w:w="6510" w:type="dxa"/>
            <w:vAlign w:val="center"/>
          </w:tcPr>
          <w:p w14:paraId="5FD602F7">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监狱减刑假释信息化办案平台建设技术规范</w:t>
            </w:r>
          </w:p>
        </w:tc>
        <w:tc>
          <w:tcPr>
            <w:tcW w:w="2432" w:type="dxa"/>
            <w:vAlign w:val="center"/>
          </w:tcPr>
          <w:p w14:paraId="73099813">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0027-2017</w:t>
            </w:r>
          </w:p>
        </w:tc>
      </w:tr>
      <w:tr w14:paraId="6F09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230A0789">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19</w:t>
            </w:r>
          </w:p>
        </w:tc>
        <w:tc>
          <w:tcPr>
            <w:tcW w:w="6510" w:type="dxa"/>
            <w:vAlign w:val="center"/>
          </w:tcPr>
          <w:p w14:paraId="0B942697">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全国司法行政信息资源交换规范</w:t>
            </w:r>
          </w:p>
        </w:tc>
        <w:tc>
          <w:tcPr>
            <w:tcW w:w="2432" w:type="dxa"/>
            <w:vAlign w:val="center"/>
          </w:tcPr>
          <w:p w14:paraId="646C6287">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0011-2017</w:t>
            </w:r>
          </w:p>
        </w:tc>
      </w:tr>
      <w:tr w14:paraId="054F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06652336">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20</w:t>
            </w:r>
          </w:p>
        </w:tc>
        <w:tc>
          <w:tcPr>
            <w:tcW w:w="6510" w:type="dxa"/>
            <w:vAlign w:val="center"/>
          </w:tcPr>
          <w:p w14:paraId="0B9B859C">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全国司法行政信息化总体技术规范</w:t>
            </w:r>
          </w:p>
        </w:tc>
        <w:tc>
          <w:tcPr>
            <w:tcW w:w="2432" w:type="dxa"/>
            <w:vAlign w:val="center"/>
          </w:tcPr>
          <w:p w14:paraId="5AA03511">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0008-2017</w:t>
            </w:r>
          </w:p>
        </w:tc>
      </w:tr>
      <w:tr w14:paraId="7FCF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335B8BB1">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21</w:t>
            </w:r>
          </w:p>
        </w:tc>
        <w:tc>
          <w:tcPr>
            <w:tcW w:w="6510" w:type="dxa"/>
            <w:vAlign w:val="center"/>
          </w:tcPr>
          <w:p w14:paraId="7A8D3788">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监狱信息化应急预案管理业务规范</w:t>
            </w:r>
          </w:p>
        </w:tc>
        <w:tc>
          <w:tcPr>
            <w:tcW w:w="2432" w:type="dxa"/>
            <w:vAlign w:val="center"/>
          </w:tcPr>
          <w:p w14:paraId="4BD265C4">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03005-2012</w:t>
            </w:r>
          </w:p>
        </w:tc>
      </w:tr>
      <w:tr w14:paraId="02B4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2C6810B4">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22</w:t>
            </w:r>
          </w:p>
        </w:tc>
        <w:tc>
          <w:tcPr>
            <w:tcW w:w="6510" w:type="dxa"/>
            <w:vAlign w:val="center"/>
          </w:tcPr>
          <w:p w14:paraId="7A3FE91B">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监狱信息化警察职工信息库数据规范</w:t>
            </w:r>
          </w:p>
        </w:tc>
        <w:tc>
          <w:tcPr>
            <w:tcW w:w="2432" w:type="dxa"/>
            <w:vAlign w:val="center"/>
          </w:tcPr>
          <w:p w14:paraId="06C3DC97">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03016-2012</w:t>
            </w:r>
          </w:p>
        </w:tc>
      </w:tr>
      <w:tr w14:paraId="04B8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4155A93D">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23</w:t>
            </w:r>
          </w:p>
        </w:tc>
        <w:tc>
          <w:tcPr>
            <w:tcW w:w="6510" w:type="dxa"/>
            <w:vAlign w:val="center"/>
          </w:tcPr>
          <w:p w14:paraId="0266021C">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监狱信息化劳动改造业务规范</w:t>
            </w:r>
          </w:p>
        </w:tc>
        <w:tc>
          <w:tcPr>
            <w:tcW w:w="2432" w:type="dxa"/>
            <w:vAlign w:val="center"/>
          </w:tcPr>
          <w:p w14:paraId="68B87B96">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SF 03011-2012</w:t>
            </w:r>
          </w:p>
        </w:tc>
      </w:tr>
      <w:tr w14:paraId="007A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553EFEB5">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24</w:t>
            </w:r>
          </w:p>
        </w:tc>
        <w:tc>
          <w:tcPr>
            <w:tcW w:w="6510" w:type="dxa"/>
            <w:vAlign w:val="center"/>
          </w:tcPr>
          <w:p w14:paraId="1C8A00EC">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监狱信息化软件开发总体技术规范</w:t>
            </w:r>
          </w:p>
        </w:tc>
        <w:tc>
          <w:tcPr>
            <w:tcW w:w="2432" w:type="dxa"/>
            <w:vAlign w:val="center"/>
          </w:tcPr>
          <w:p w14:paraId="5DB447DF">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SF/T 0164-2023</w:t>
            </w:r>
          </w:p>
        </w:tc>
      </w:tr>
      <w:tr w14:paraId="3FC3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78E348DA">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25</w:t>
            </w:r>
          </w:p>
        </w:tc>
        <w:tc>
          <w:tcPr>
            <w:tcW w:w="6510" w:type="dxa"/>
            <w:vAlign w:val="center"/>
          </w:tcPr>
          <w:p w14:paraId="5B2F0301">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监狱信息化刑罚执行业务规范</w:t>
            </w:r>
          </w:p>
        </w:tc>
        <w:tc>
          <w:tcPr>
            <w:tcW w:w="2432" w:type="dxa"/>
            <w:vAlign w:val="center"/>
          </w:tcPr>
          <w:p w14:paraId="5E2432BC">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03008-2012</w:t>
            </w:r>
          </w:p>
        </w:tc>
      </w:tr>
      <w:tr w14:paraId="73D6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77E8296F">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26</w:t>
            </w:r>
          </w:p>
        </w:tc>
        <w:tc>
          <w:tcPr>
            <w:tcW w:w="6510" w:type="dxa"/>
            <w:vAlign w:val="center"/>
          </w:tcPr>
          <w:p w14:paraId="69351A73">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监狱信息化狱务公开业务规范</w:t>
            </w:r>
          </w:p>
        </w:tc>
        <w:tc>
          <w:tcPr>
            <w:tcW w:w="2432" w:type="dxa"/>
            <w:vAlign w:val="center"/>
          </w:tcPr>
          <w:p w14:paraId="545B74E2">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03013-2012</w:t>
            </w:r>
          </w:p>
        </w:tc>
      </w:tr>
      <w:tr w14:paraId="2FF2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6CC728D9">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27</w:t>
            </w:r>
          </w:p>
        </w:tc>
        <w:tc>
          <w:tcPr>
            <w:tcW w:w="6510" w:type="dxa"/>
            <w:vAlign w:val="center"/>
          </w:tcPr>
          <w:p w14:paraId="1A348189">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HYPERLINK "javascript:void(0);" \o "复制名称" </w:instrText>
            </w:r>
            <w:r>
              <w:rPr>
                <w:rFonts w:hint="eastAsia" w:asciiTheme="minorEastAsia" w:hAnsiTheme="minorEastAsia" w:eastAsiaTheme="minorEastAsia" w:cstheme="minorEastAsia"/>
                <w:kern w:val="0"/>
                <w:sz w:val="24"/>
                <w:szCs w:val="24"/>
              </w:rPr>
              <w:fldChar w:fldCharType="separate"/>
            </w:r>
            <w:r>
              <w:rPr>
                <w:rFonts w:hint="eastAsia" w:asciiTheme="minorEastAsia" w:hAnsiTheme="minorEastAsia" w:eastAsiaTheme="minorEastAsia" w:cstheme="minorEastAsia"/>
                <w:color w:val="auto"/>
                <w:kern w:val="0"/>
                <w:sz w:val="24"/>
                <w:szCs w:val="24"/>
              </w:rPr>
              <w:t>监狱罪犯</w:t>
            </w:r>
            <w:r>
              <w:rPr>
                <w:rFonts w:hint="eastAsia" w:asciiTheme="minorEastAsia" w:hAnsiTheme="minorEastAsia" w:eastAsiaTheme="minorEastAsia" w:cstheme="minorEastAsia"/>
                <w:kern w:val="0"/>
                <w:sz w:val="24"/>
                <w:szCs w:val="24"/>
              </w:rPr>
              <w:t>基础数据元和代码集</w:t>
            </w:r>
            <w:r>
              <w:rPr>
                <w:rFonts w:hint="eastAsia" w:asciiTheme="minorEastAsia" w:hAnsiTheme="minorEastAsia" w:eastAsiaTheme="minorEastAsia" w:cstheme="minorEastAsia"/>
                <w:kern w:val="0"/>
                <w:sz w:val="24"/>
                <w:szCs w:val="24"/>
              </w:rPr>
              <w:fldChar w:fldCharType="end"/>
            </w:r>
          </w:p>
        </w:tc>
        <w:tc>
          <w:tcPr>
            <w:tcW w:w="2432" w:type="dxa"/>
            <w:vAlign w:val="center"/>
          </w:tcPr>
          <w:p w14:paraId="6E733E42">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SF/T 0054-2019</w:t>
            </w:r>
          </w:p>
        </w:tc>
      </w:tr>
      <w:tr w14:paraId="2B6E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1D7938C4">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28</w:t>
            </w:r>
          </w:p>
        </w:tc>
        <w:tc>
          <w:tcPr>
            <w:tcW w:w="6510" w:type="dxa"/>
            <w:vAlign w:val="center"/>
          </w:tcPr>
          <w:p w14:paraId="4F51C727">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监狱信息化警察职工信息库数据规范</w:t>
            </w:r>
          </w:p>
        </w:tc>
        <w:tc>
          <w:tcPr>
            <w:tcW w:w="2432" w:type="dxa"/>
            <w:vAlign w:val="center"/>
          </w:tcPr>
          <w:p w14:paraId="56A15F31">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03016-2012</w:t>
            </w:r>
          </w:p>
        </w:tc>
      </w:tr>
      <w:tr w14:paraId="56CE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0DAFA7C7">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29</w:t>
            </w:r>
          </w:p>
        </w:tc>
        <w:tc>
          <w:tcPr>
            <w:tcW w:w="6510" w:type="dxa"/>
            <w:vAlign w:val="center"/>
          </w:tcPr>
          <w:p w14:paraId="1736A4A5">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监狱信息化狱政管理业务规范</w:t>
            </w:r>
          </w:p>
        </w:tc>
        <w:tc>
          <w:tcPr>
            <w:tcW w:w="2432" w:type="dxa"/>
            <w:vAlign w:val="center"/>
          </w:tcPr>
          <w:p w14:paraId="79160339">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03004-2012</w:t>
            </w:r>
          </w:p>
        </w:tc>
      </w:tr>
      <w:tr w14:paraId="59A2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4C6B4CDD">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30</w:t>
            </w:r>
          </w:p>
        </w:tc>
        <w:tc>
          <w:tcPr>
            <w:tcW w:w="6510" w:type="dxa"/>
            <w:vAlign w:val="center"/>
          </w:tcPr>
          <w:p w14:paraId="634433E3">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监狱信息化门户网站业务与技术规范</w:t>
            </w:r>
          </w:p>
        </w:tc>
        <w:tc>
          <w:tcPr>
            <w:tcW w:w="2432" w:type="dxa"/>
            <w:vAlign w:val="center"/>
          </w:tcPr>
          <w:p w14:paraId="3D253679">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03015-2012</w:t>
            </w:r>
          </w:p>
        </w:tc>
      </w:tr>
      <w:tr w14:paraId="21A6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2DFED475">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31</w:t>
            </w:r>
          </w:p>
        </w:tc>
        <w:tc>
          <w:tcPr>
            <w:tcW w:w="6510" w:type="dxa"/>
            <w:vAlign w:val="center"/>
          </w:tcPr>
          <w:p w14:paraId="6047177B">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监狱信息化警务人事业务规范</w:t>
            </w:r>
          </w:p>
        </w:tc>
        <w:tc>
          <w:tcPr>
            <w:tcW w:w="2432" w:type="dxa"/>
            <w:vAlign w:val="center"/>
          </w:tcPr>
          <w:p w14:paraId="13A85D5C">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03014-2012</w:t>
            </w:r>
          </w:p>
        </w:tc>
      </w:tr>
      <w:tr w14:paraId="2747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4737D9C7">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32</w:t>
            </w:r>
          </w:p>
        </w:tc>
        <w:tc>
          <w:tcPr>
            <w:tcW w:w="6510" w:type="dxa"/>
            <w:vAlign w:val="center"/>
          </w:tcPr>
          <w:p w14:paraId="75995CD8">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监狱信息化综合治理协同业务规范</w:t>
            </w:r>
          </w:p>
        </w:tc>
        <w:tc>
          <w:tcPr>
            <w:tcW w:w="2432" w:type="dxa"/>
            <w:vAlign w:val="center"/>
          </w:tcPr>
          <w:p w14:paraId="74057BE0">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03012-2012</w:t>
            </w:r>
          </w:p>
        </w:tc>
      </w:tr>
      <w:tr w14:paraId="0A9C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33239446">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33</w:t>
            </w:r>
          </w:p>
        </w:tc>
        <w:tc>
          <w:tcPr>
            <w:tcW w:w="6510" w:type="dxa"/>
            <w:vAlign w:val="center"/>
          </w:tcPr>
          <w:p w14:paraId="49C36245">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监狱信息化生活卫生业务规范</w:t>
            </w:r>
          </w:p>
        </w:tc>
        <w:tc>
          <w:tcPr>
            <w:tcW w:w="2432" w:type="dxa"/>
            <w:vAlign w:val="center"/>
          </w:tcPr>
          <w:p w14:paraId="61317D0A">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03010-2012</w:t>
            </w:r>
          </w:p>
        </w:tc>
      </w:tr>
      <w:tr w14:paraId="6BCC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14:paraId="234B48C5">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34</w:t>
            </w:r>
          </w:p>
        </w:tc>
        <w:tc>
          <w:tcPr>
            <w:tcW w:w="6510" w:type="dxa"/>
            <w:vAlign w:val="center"/>
          </w:tcPr>
          <w:p w14:paraId="0DDB21C5">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监狱信息化教育改造业务规范</w:t>
            </w:r>
          </w:p>
        </w:tc>
        <w:tc>
          <w:tcPr>
            <w:tcW w:w="2432" w:type="dxa"/>
            <w:vAlign w:val="center"/>
          </w:tcPr>
          <w:p w14:paraId="18A97BDF">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03009-2012</w:t>
            </w:r>
          </w:p>
        </w:tc>
      </w:tr>
    </w:tbl>
    <w:p w14:paraId="523B23CA">
      <w:pPr>
        <w:spacing w:line="360" w:lineRule="auto"/>
        <w:jc w:val="left"/>
        <w:outlineLvl w:val="2"/>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（四）关于招标文件种要求“现场演示”的规定：</w:t>
      </w:r>
    </w:p>
    <w:p w14:paraId="57AFF6D1">
      <w:pPr>
        <w:pStyle w:val="11"/>
        <w:spacing w:before="0" w:beforeAutospacing="0" w:after="0" w:afterAutospacing="0" w:line="360" w:lineRule="auto"/>
        <w:ind w:firstLine="42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开标当天</w:t>
      </w:r>
      <w:r>
        <w:rPr>
          <w:rFonts w:hint="eastAsia" w:asciiTheme="minorEastAsia" w:hAnsiTheme="minorEastAsia" w:eastAsiaTheme="minorEastAsia" w:cstheme="minorEastAsia"/>
          <w:color w:val="auto"/>
          <w:lang w:eastAsia="zh-CN"/>
        </w:rPr>
        <w:t>须</w:t>
      </w:r>
      <w:r>
        <w:rPr>
          <w:rFonts w:hint="eastAsia" w:asciiTheme="minorEastAsia" w:hAnsiTheme="minorEastAsia" w:eastAsiaTheme="minorEastAsia" w:cstheme="minorEastAsia"/>
          <w:color w:val="auto"/>
        </w:rPr>
        <w:t>自行携带</w:t>
      </w:r>
      <w:r>
        <w:rPr>
          <w:rFonts w:hint="eastAsia" w:asciiTheme="minorEastAsia" w:hAnsiTheme="minorEastAsia" w:eastAsiaTheme="minorEastAsia" w:cstheme="minorEastAsia"/>
          <w:color w:val="auto"/>
          <w:lang w:eastAsia="zh-CN"/>
        </w:rPr>
        <w:t>现场</w:t>
      </w:r>
      <w:r>
        <w:rPr>
          <w:rFonts w:hint="eastAsia" w:asciiTheme="minorEastAsia" w:hAnsiTheme="minorEastAsia" w:eastAsiaTheme="minorEastAsia" w:cstheme="minorEastAsia"/>
          <w:color w:val="auto"/>
        </w:rPr>
        <w:t>演示所需的软硬件设备</w:t>
      </w:r>
      <w:r>
        <w:rPr>
          <w:rFonts w:hint="eastAsia" w:asciiTheme="minorEastAsia" w:hAnsiTheme="minorEastAsia" w:eastAsiaTheme="minorEastAsia" w:cstheme="minorEastAsia"/>
          <w:color w:val="auto"/>
          <w:lang w:eastAsia="zh-CN"/>
        </w:rPr>
        <w:t>（投标人应充分考虑到开标现场仅可能提供电源等基础条件），因软硬件设备原因无法演示的，视为其放弃演示；</w:t>
      </w:r>
    </w:p>
    <w:p w14:paraId="0576AA1C">
      <w:pPr>
        <w:pStyle w:val="11"/>
        <w:spacing w:before="0" w:beforeAutospacing="0" w:after="0" w:afterAutospacing="0" w:line="360" w:lineRule="auto"/>
        <w:ind w:firstLine="42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eastAsia="zh-CN"/>
        </w:rPr>
        <w:t>关于投标人的演示人员（不得超过</w:t>
      </w:r>
      <w:r>
        <w:rPr>
          <w:rFonts w:hint="eastAsia" w:asciiTheme="minorEastAsia" w:hAnsiTheme="minorEastAsia" w:eastAsiaTheme="minorEastAsia" w:cstheme="minorEastAsia"/>
          <w:color w:val="auto"/>
          <w:lang w:val="en-US" w:eastAsia="zh-CN"/>
        </w:rPr>
        <w:t>3人以上</w:t>
      </w:r>
      <w:r>
        <w:rPr>
          <w:rFonts w:hint="eastAsia" w:asciiTheme="minorEastAsia" w:hAnsiTheme="minorEastAsia" w:eastAsiaTheme="minorEastAsia" w:cstheme="minorEastAsia"/>
          <w:color w:val="auto"/>
          <w:lang w:eastAsia="zh-CN"/>
        </w:rPr>
        <w:t>）规定：</w:t>
      </w:r>
      <w:r>
        <w:rPr>
          <w:rFonts w:hint="eastAsia" w:asciiTheme="minorEastAsia" w:hAnsiTheme="minorEastAsia" w:eastAsiaTheme="minorEastAsia" w:cstheme="minorEastAsia"/>
          <w:color w:val="auto"/>
        </w:rPr>
        <w:t>演示人员必须在演示开始前提供演示人员身份证原件和投标人单位出具的法定代表人授权书{授权书必须由法定代表人签名（或盖章）并加盖投标人公章，并附法定代表人和演示人员有效的身份证复印件；若演示人员为投标代表或法定代表人的无需提供本授权书}</w:t>
      </w:r>
      <w:r>
        <w:rPr>
          <w:rFonts w:hint="eastAsia" w:asciiTheme="minorEastAsia" w:hAnsiTheme="minorEastAsia" w:eastAsiaTheme="minorEastAsia" w:cstheme="minorEastAsia"/>
          <w:color w:val="auto"/>
          <w:lang w:eastAsia="zh-CN"/>
        </w:rPr>
        <w:t>，未提供授权函的人员不得进行演示；</w:t>
      </w:r>
    </w:p>
    <w:p w14:paraId="0445ADCB">
      <w:pPr>
        <w:pStyle w:val="11"/>
        <w:spacing w:before="0" w:beforeAutospacing="0" w:after="0" w:afterAutospacing="0" w:line="360" w:lineRule="auto"/>
        <w:ind w:firstLine="42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lang w:eastAsia="zh-CN"/>
        </w:rPr>
        <w:t>演示要求及演示时长：</w:t>
      </w:r>
      <w:r>
        <w:rPr>
          <w:rFonts w:hint="eastAsia" w:asciiTheme="minorEastAsia" w:hAnsiTheme="minorEastAsia" w:eastAsiaTheme="minorEastAsia" w:cstheme="minorEastAsia"/>
          <w:color w:val="auto"/>
        </w:rPr>
        <w:t>现场演示的时间合计不超过</w:t>
      </w:r>
      <w:r>
        <w:rPr>
          <w:rFonts w:hint="eastAsia" w:asciiTheme="minorEastAsia" w:hAnsiTheme="minorEastAsia" w:eastAsiaTheme="minorEastAsia" w:cstheme="minorEastAsia"/>
          <w:color w:val="auto"/>
          <w:lang w:val="en-US" w:eastAsia="zh-CN"/>
        </w:rPr>
        <w:t>30</w:t>
      </w:r>
      <w:r>
        <w:rPr>
          <w:rFonts w:hint="eastAsia" w:asciiTheme="minorEastAsia" w:hAnsiTheme="minorEastAsia" w:eastAsiaTheme="minorEastAsia" w:cstheme="minorEastAsia"/>
          <w:color w:val="auto"/>
        </w:rPr>
        <w:t>分钟</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lang w:eastAsia="zh-CN"/>
        </w:rPr>
        <w:t>现场演示</w:t>
      </w:r>
      <w:r>
        <w:rPr>
          <w:rFonts w:hint="eastAsia" w:asciiTheme="minorEastAsia" w:hAnsiTheme="minorEastAsia" w:eastAsiaTheme="minorEastAsia" w:cstheme="minorEastAsia"/>
          <w:color w:val="auto"/>
        </w:rPr>
        <w:t>不得使用PPT、视频、图片以及DEMO</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rPr>
        <w:t>方式演示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FF0000"/>
          <w:sz w:val="24"/>
          <w:lang w:eastAsia="zh-CN"/>
        </w:rPr>
        <w:br w:type="textWrapping"/>
      </w: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kern w:val="2"/>
          <w:sz w:val="24"/>
          <w:szCs w:val="24"/>
          <w:lang w:val="en-US" w:eastAsia="zh-CN" w:bidi="ar-SA"/>
        </w:rPr>
        <w:t>投标人应当阅读完本项目后，针对此次项目所涉及的一切履行合同费用均包含至投标报价中，统一以人民币报价。</w:t>
      </w:r>
      <w:r>
        <w:rPr>
          <w:rFonts w:hint="eastAsia" w:asciiTheme="minorEastAsia" w:hAnsiTheme="minorEastAsia" w:eastAsiaTheme="minorEastAsia" w:cstheme="minorEastAsia"/>
          <w:color w:val="auto"/>
          <w:sz w:val="24"/>
          <w:szCs w:val="24"/>
          <w:highlight w:val="none"/>
        </w:rPr>
        <w:t>除招标文件另有规定外，投标文件不能出现任何选择性的投标报价，即每一个合同包和品目号都只能有一个投标报价。</w:t>
      </w:r>
      <w:r>
        <w:rPr>
          <w:rFonts w:hint="eastAsia" w:asciiTheme="minorEastAsia" w:hAnsiTheme="minorEastAsia" w:eastAsiaTheme="minorEastAsia" w:cstheme="minorEastAsia"/>
          <w:b/>
          <w:bCs/>
          <w:color w:val="auto"/>
          <w:sz w:val="24"/>
          <w:szCs w:val="24"/>
          <w:highlight w:val="none"/>
        </w:rPr>
        <w:t>任何选择性的投标报价将导致投标无效。</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b/>
          <w:bCs/>
          <w:color w:val="auto"/>
          <w:sz w:val="24"/>
          <w:szCs w:val="24"/>
          <w:highlight w:val="none"/>
          <w:lang w:eastAsia="zh-CN"/>
        </w:rPr>
        <w:t>（六）</w:t>
      </w:r>
      <w:r>
        <w:rPr>
          <w:rFonts w:hint="eastAsia" w:asciiTheme="minorEastAsia" w:hAnsiTheme="minorEastAsia" w:eastAsiaTheme="minorEastAsia" w:cstheme="minorEastAsia"/>
          <w:kern w:val="2"/>
          <w:sz w:val="24"/>
          <w:szCs w:val="24"/>
          <w:lang w:val="en-US" w:eastAsia="zh-CN" w:bidi="ar-SA"/>
        </w:rPr>
        <w:t>投标人务必仔细阅读招标文件中所规定的，其中包括技术要求在内的所有细则。</w:t>
      </w:r>
    </w:p>
    <w:p w14:paraId="6127F8C4">
      <w:pPr>
        <w:keepNext w:val="0"/>
        <w:keepLines w:val="0"/>
        <w:pageBreakBefore w:val="0"/>
        <w:kinsoku/>
        <w:wordWrap/>
        <w:overflowPunct/>
        <w:topLinePunct w:val="0"/>
        <w:autoSpaceDE/>
        <w:autoSpaceDN/>
        <w:bidi w:val="0"/>
        <w:adjustRightInd/>
        <w:spacing w:line="360" w:lineRule="auto"/>
        <w:ind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（七）</w:t>
      </w:r>
      <w:r>
        <w:rPr>
          <w:rFonts w:hint="eastAsia" w:asciiTheme="minorEastAsia" w:hAnsiTheme="minorEastAsia" w:eastAsiaTheme="minorEastAsia" w:cstheme="minorEastAsia"/>
          <w:kern w:val="2"/>
          <w:sz w:val="24"/>
          <w:szCs w:val="24"/>
          <w:lang w:val="en-US" w:eastAsia="zh-CN" w:bidi="ar-SA"/>
        </w:rPr>
        <w:t>本章货物的规格、尺寸为固定值的（指未标注范围值或偏离值），均允许误差±3%。</w:t>
      </w:r>
    </w:p>
    <w:p w14:paraId="45D384D6">
      <w:pPr>
        <w:pStyle w:val="11"/>
        <w:widowControl/>
        <w:spacing w:before="0" w:beforeAutospacing="0" w:after="0" w:afterAutospacing="0" w:line="360" w:lineRule="auto"/>
        <w:rPr>
          <w:rFonts w:hint="eastAsia" w:asciiTheme="minorEastAsia" w:hAnsiTheme="minorEastAsia" w:eastAsiaTheme="minorEastAsia" w:cstheme="minorEastAsia"/>
          <w:color w:val="FF0000"/>
          <w:lang w:val="en-US" w:eastAsia="zh-CN"/>
        </w:rPr>
      </w:pPr>
      <w:r>
        <w:rPr>
          <w:rFonts w:hint="eastAsia" w:asciiTheme="minorEastAsia" w:hAnsiTheme="minorEastAsia" w:eastAsiaTheme="minorEastAsia" w:cstheme="minorEastAsia"/>
          <w:b/>
          <w:bCs/>
          <w:kern w:val="2"/>
          <w:sz w:val="24"/>
          <w:szCs w:val="24"/>
          <w:lang w:val="en-US" w:eastAsia="zh-CN" w:bidi="ar-SA"/>
        </w:rPr>
        <w:t>（八）</w:t>
      </w:r>
      <w:r>
        <w:rPr>
          <w:rFonts w:hint="eastAsia" w:asciiTheme="minorEastAsia" w:hAnsiTheme="minorEastAsia" w:eastAsiaTheme="minorEastAsia" w:cstheme="minorEastAsia"/>
          <w:kern w:val="2"/>
          <w:sz w:val="24"/>
          <w:szCs w:val="24"/>
          <w:lang w:val="en-US" w:eastAsia="zh-CN" w:bidi="ar-SA"/>
        </w:rPr>
        <w:t>投标人必须保证提供的所有产品具有在中国境内的合法使用权和招标人保护权且为全新原装品牌产品，若投标人所提供产品国家有强制性要求认证的，则投标人应提供通过认证的产品进行报价。投标人所提供的服务应符合国家相关法律法规，软件必须是正版的合法的产品。如因产品违反国家相关规定而产生的纠纷和责任，均由投标人负全责。若因此给招标人造成损失的，投标人还要负赔偿责任。</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eastAsiaTheme="minorEastAsia" w:cstheme="minorEastAsia"/>
          <w:b/>
          <w:bCs/>
          <w:kern w:val="2"/>
          <w:sz w:val="24"/>
          <w:szCs w:val="24"/>
          <w:lang w:val="en-US" w:eastAsia="zh-CN" w:bidi="ar-SA"/>
        </w:rPr>
        <w:t>（九）</w:t>
      </w:r>
      <w:r>
        <w:rPr>
          <w:rFonts w:hint="eastAsia" w:asciiTheme="minorEastAsia" w:hAnsiTheme="minorEastAsia" w:eastAsiaTheme="minorEastAsia" w:cstheme="minorEastAsia"/>
          <w:color w:val="auto"/>
          <w:lang w:val="en-US" w:eastAsia="zh-CN"/>
        </w:rPr>
        <w:t>投标人必须对其投标文件中提供各种资料、说明的真实性负责。在评审过程中，如有发现投标人有为谋取成交而提供虚假资料欺骗招标人和评审专家的行为，将取消其中标资格，其投标保证金将不予退还。定标后，招标人有可能对</w:t>
      </w:r>
      <w:r>
        <w:rPr>
          <w:rFonts w:hint="eastAsia" w:asciiTheme="minorEastAsia" w:hAnsiTheme="minorEastAsia" w:eastAsiaTheme="minorEastAsia" w:cstheme="minorEastAsia"/>
          <w:color w:val="auto"/>
          <w:shd w:val="clear" w:color="auto" w:fill="FFFFFF"/>
          <w:lang w:eastAsia="zh-CN"/>
        </w:rPr>
        <w:t>中标人</w:t>
      </w:r>
      <w:r>
        <w:rPr>
          <w:rFonts w:hint="eastAsia" w:asciiTheme="minorEastAsia" w:hAnsiTheme="minorEastAsia" w:eastAsiaTheme="minorEastAsia" w:cstheme="minorEastAsia"/>
          <w:color w:val="auto"/>
          <w:lang w:val="en-US" w:eastAsia="zh-CN"/>
        </w:rPr>
        <w:t>投标文件中的承诺内容和证明材料进行核查，</w:t>
      </w:r>
      <w:r>
        <w:rPr>
          <w:rFonts w:hint="eastAsia" w:asciiTheme="minorEastAsia" w:hAnsiTheme="minorEastAsia" w:eastAsiaTheme="minorEastAsia" w:cstheme="minorEastAsia"/>
          <w:color w:val="auto"/>
          <w:shd w:val="clear" w:color="auto" w:fill="FFFFFF"/>
          <w:lang w:eastAsia="zh-CN"/>
        </w:rPr>
        <w:t>中标人</w:t>
      </w:r>
      <w:r>
        <w:rPr>
          <w:rFonts w:hint="eastAsia" w:asciiTheme="minorEastAsia" w:hAnsiTheme="minorEastAsia" w:eastAsiaTheme="minorEastAsia" w:cstheme="minorEastAsia"/>
          <w:color w:val="auto"/>
          <w:lang w:val="en-US" w:eastAsia="zh-CN"/>
        </w:rPr>
        <w:t>应无条件配合招标人的核查工作，不得托词拒绝核查或隐瞒真实情况。若在中标后签订合同时，发现</w:t>
      </w:r>
      <w:r>
        <w:rPr>
          <w:rFonts w:hint="eastAsia" w:asciiTheme="minorEastAsia" w:hAnsiTheme="minorEastAsia" w:eastAsiaTheme="minorEastAsia" w:cstheme="minorEastAsia"/>
          <w:color w:val="auto"/>
          <w:shd w:val="clear" w:color="auto" w:fill="FFFFFF"/>
          <w:lang w:eastAsia="zh-CN"/>
        </w:rPr>
        <w:t>中标人</w:t>
      </w:r>
      <w:r>
        <w:rPr>
          <w:rFonts w:hint="eastAsia" w:asciiTheme="minorEastAsia" w:hAnsiTheme="minorEastAsia" w:eastAsiaTheme="minorEastAsia" w:cstheme="minorEastAsia"/>
          <w:color w:val="auto"/>
          <w:lang w:val="en-US" w:eastAsia="zh-CN"/>
        </w:rPr>
        <w:t>是提供虚假材料谋取中标等违法违规行为，招标人将取消其</w:t>
      </w:r>
      <w:r>
        <w:rPr>
          <w:rFonts w:hint="eastAsia" w:asciiTheme="minorEastAsia" w:hAnsiTheme="minorEastAsia" w:eastAsiaTheme="minorEastAsia" w:cstheme="minorEastAsia"/>
          <w:color w:val="auto"/>
          <w:shd w:val="clear" w:color="auto" w:fill="FFFFFF"/>
          <w:lang w:eastAsia="zh-CN"/>
        </w:rPr>
        <w:t>中标人的中标资格</w:t>
      </w:r>
      <w:r>
        <w:rPr>
          <w:rFonts w:hint="eastAsia" w:asciiTheme="minorEastAsia" w:hAnsiTheme="minorEastAsia" w:eastAsiaTheme="minorEastAsia" w:cstheme="minorEastAsia"/>
          <w:color w:val="auto"/>
          <w:lang w:val="en-US" w:eastAsia="zh-CN"/>
        </w:rPr>
        <w:t>，其投标保证金将不予退还，给招标人造成损失的还必须进行赔偿并负相关责任。若在中标后签订合同后，发现</w:t>
      </w:r>
      <w:r>
        <w:rPr>
          <w:rFonts w:hint="eastAsia" w:asciiTheme="minorEastAsia" w:hAnsiTheme="minorEastAsia" w:eastAsiaTheme="minorEastAsia" w:cstheme="minorEastAsia"/>
          <w:color w:val="auto"/>
          <w:shd w:val="clear" w:color="auto" w:fill="FFFFFF"/>
          <w:lang w:eastAsia="zh-CN"/>
        </w:rPr>
        <w:t>中标人</w:t>
      </w:r>
      <w:r>
        <w:rPr>
          <w:rFonts w:hint="eastAsia" w:asciiTheme="minorEastAsia" w:hAnsiTheme="minorEastAsia" w:eastAsiaTheme="minorEastAsia" w:cstheme="minorEastAsia"/>
          <w:color w:val="auto"/>
          <w:lang w:val="en-US" w:eastAsia="zh-CN"/>
        </w:rPr>
        <w:t>是提供虚假材料谋取中标等违法违规行为，招标人有权视情况终止合同，并没收其履约保证金，给招标人造成损失的，招标人有权要求其进行赔偿并负相关责任。</w:t>
      </w:r>
    </w:p>
    <w:p w14:paraId="3F211BE5">
      <w:pPr>
        <w:spacing w:line="360" w:lineRule="auto"/>
        <w:outlineLvl w:val="1"/>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sz w:val="24"/>
          <w:lang w:val="en-US" w:eastAsia="zh-CN"/>
        </w:rPr>
        <w:t>二、技术和服务要求</w:t>
      </w:r>
      <w:r>
        <w:rPr>
          <w:rFonts w:hint="eastAsia" w:asciiTheme="minorEastAsia" w:hAnsiTheme="minorEastAsia" w:eastAsiaTheme="minorEastAsia" w:cstheme="minorEastAsia"/>
          <w:b/>
          <w:sz w:val="24"/>
          <w:u w:val="single"/>
          <w:shd w:val="clear" w:color="auto" w:fill="auto"/>
          <w:lang w:val="en-US" w:eastAsia="zh-CN"/>
        </w:rPr>
        <w:t>【以下除有注明“▲评审项”外的技术参数均为不允许负偏离的实质性要求，有负偏离的视为无效投标。】</w:t>
      </w:r>
      <w:r>
        <w:rPr>
          <w:rFonts w:hint="eastAsia" w:asciiTheme="minorEastAsia" w:hAnsiTheme="minorEastAsia" w:eastAsiaTheme="minorEastAsia" w:cstheme="minorEastAsia"/>
          <w:b/>
          <w:bCs/>
          <w:highlight w:val="none"/>
          <w:u w:val="double"/>
          <w:shd w:val="clear" w:color="FFFFFF" w:fill="D9D9D9"/>
          <w:lang w:val="en-US" w:eastAsia="zh-CN"/>
        </w:rPr>
        <w:br w:type="textWrapping"/>
      </w:r>
      <w:r>
        <w:rPr>
          <w:rFonts w:hint="eastAsia" w:asciiTheme="minorEastAsia" w:hAnsiTheme="minorEastAsia" w:eastAsiaTheme="minorEastAsia" w:cstheme="minorEastAsia"/>
          <w:b/>
          <w:bCs/>
          <w:sz w:val="24"/>
          <w:szCs w:val="32"/>
          <w:lang w:val="en-US" w:eastAsia="zh-CN"/>
        </w:rPr>
        <w:t>（一）总体架构</w:t>
      </w:r>
      <w:r>
        <w:rPr>
          <w:rFonts w:hint="eastAsia" w:asciiTheme="minorEastAsia" w:hAnsiTheme="minorEastAsia" w:eastAsiaTheme="minorEastAsia" w:cstheme="minorEastAsia"/>
          <w:b/>
          <w:bCs/>
          <w:sz w:val="24"/>
          <w:szCs w:val="32"/>
        </w:rPr>
        <w:t>概述</w:t>
      </w:r>
    </w:p>
    <w:p w14:paraId="39255767">
      <w:pPr>
        <w:pStyle w:val="11"/>
        <w:spacing w:before="0" w:beforeAutospacing="0" w:after="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项目“</w:t>
      </w:r>
      <w:r>
        <w:rPr>
          <w:rFonts w:hint="eastAsia" w:asciiTheme="minorEastAsia" w:hAnsiTheme="minorEastAsia" w:eastAsiaTheme="minorEastAsia" w:cstheme="minorEastAsia"/>
          <w:sz w:val="24"/>
          <w:szCs w:val="32"/>
          <w:lang w:val="en-US" w:eastAsia="zh-CN"/>
        </w:rPr>
        <w:t>员工</w:t>
      </w:r>
      <w:r>
        <w:rPr>
          <w:rFonts w:hint="eastAsia" w:asciiTheme="minorEastAsia" w:hAnsiTheme="minorEastAsia" w:eastAsiaTheme="minorEastAsia" w:cstheme="minorEastAsia"/>
          <w:sz w:val="24"/>
          <w:szCs w:val="32"/>
        </w:rPr>
        <w:t>一体化</w:t>
      </w:r>
      <w:r>
        <w:rPr>
          <w:rFonts w:hint="eastAsia" w:asciiTheme="minorEastAsia" w:hAnsiTheme="minorEastAsia" w:eastAsiaTheme="minorEastAsia" w:cstheme="minorEastAsia"/>
          <w:sz w:val="24"/>
          <w:szCs w:val="32"/>
          <w:lang w:val="en-US" w:eastAsia="zh-CN"/>
        </w:rPr>
        <w:t>交互</w:t>
      </w:r>
      <w:r>
        <w:rPr>
          <w:rFonts w:hint="eastAsia" w:asciiTheme="minorEastAsia" w:hAnsiTheme="minorEastAsia" w:eastAsiaTheme="minorEastAsia" w:cstheme="minorEastAsia"/>
          <w:sz w:val="24"/>
          <w:szCs w:val="32"/>
        </w:rPr>
        <w:t>平台</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参照司法部《智慧监狱-技术规范》（SF/T0028-2018）以及相关文件要求设计，</w:t>
      </w:r>
      <w:r>
        <w:rPr>
          <w:rFonts w:hint="eastAsia" w:asciiTheme="minorEastAsia" w:hAnsiTheme="minorEastAsia" w:eastAsiaTheme="minorEastAsia" w:cstheme="minorEastAsia"/>
          <w:lang w:val="en-US" w:eastAsia="zh-CN"/>
        </w:rPr>
        <w:t>总体</w:t>
      </w:r>
      <w:r>
        <w:rPr>
          <w:rFonts w:hint="eastAsia" w:asciiTheme="minorEastAsia" w:hAnsiTheme="minorEastAsia" w:eastAsiaTheme="minorEastAsia" w:cstheme="minorEastAsia"/>
        </w:rPr>
        <w:t>架构如下图所示：</w:t>
      </w:r>
    </w:p>
    <w:p w14:paraId="7FD02792">
      <w:pPr>
        <w:spacing w:line="360" w:lineRule="auto"/>
        <w:jc w:val="center"/>
        <w:rPr>
          <w:rFonts w:hint="eastAsia" w:eastAsia="宋体"/>
          <w:sz w:val="24"/>
          <w:lang w:eastAsia="zh-CN"/>
        </w:rPr>
      </w:pPr>
      <w:r>
        <w:rPr>
          <w:rFonts w:hint="eastAsia" w:eastAsia="宋体"/>
          <w:sz w:val="24"/>
          <w:lang w:eastAsia="zh-CN"/>
        </w:rPr>
        <w:drawing>
          <wp:inline distT="0" distB="0" distL="114300" distR="114300">
            <wp:extent cx="6055995" cy="4138295"/>
            <wp:effectExtent l="0" t="0" r="1905" b="14605"/>
            <wp:docPr id="1" name="图片 1" descr="罪犯一体化总体设计V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罪犯一体化总体设计V3.0"/>
                    <pic:cNvPicPr>
                      <a:picLocks noChangeAspect="1"/>
                    </pic:cNvPicPr>
                  </pic:nvPicPr>
                  <pic:blipFill>
                    <a:blip r:embed="rId13"/>
                    <a:stretch>
                      <a:fillRect/>
                    </a:stretch>
                  </pic:blipFill>
                  <pic:spPr>
                    <a:xfrm>
                      <a:off x="0" y="0"/>
                      <a:ext cx="6055995" cy="4138295"/>
                    </a:xfrm>
                    <a:prstGeom prst="rect">
                      <a:avLst/>
                    </a:prstGeom>
                  </pic:spPr>
                </pic:pic>
              </a:graphicData>
            </a:graphic>
          </wp:inline>
        </w:drawing>
      </w:r>
    </w:p>
    <w:p w14:paraId="344E0433">
      <w:pPr>
        <w:spacing w:line="360" w:lineRule="auto"/>
        <w:ind w:firstLine="420"/>
        <w:rPr>
          <w:rFonts w:hint="eastAsia" w:ascii="宋体" w:hAnsi="宋体"/>
          <w:sz w:val="24"/>
          <w:lang w:eastAsia="zh-TW"/>
        </w:rPr>
      </w:pPr>
      <w:r>
        <w:rPr>
          <w:rFonts w:hint="eastAsia" w:ascii="宋体" w:hAnsi="宋体" w:eastAsia="宋体"/>
          <w:sz w:val="24"/>
          <w:lang w:val="en-US" w:eastAsia="zh-CN"/>
        </w:rPr>
        <w:t>员工一体化交互平台</w:t>
      </w:r>
      <w:r>
        <w:rPr>
          <w:rFonts w:hint="eastAsia" w:ascii="宋体" w:hAnsi="宋体"/>
          <w:sz w:val="24"/>
          <w:lang w:val="zh-CN"/>
        </w:rPr>
        <w:t>软件</w:t>
      </w:r>
      <w:r>
        <w:rPr>
          <w:rFonts w:hint="eastAsia" w:ascii="宋体" w:hAnsi="宋体"/>
          <w:sz w:val="24"/>
        </w:rPr>
        <w:t>架构由</w:t>
      </w:r>
      <w:r>
        <w:rPr>
          <w:rFonts w:hint="eastAsia" w:ascii="宋体" w:hAnsi="宋体" w:eastAsia="宋体"/>
          <w:sz w:val="24"/>
          <w:lang w:val="en-US" w:eastAsia="zh-CN"/>
        </w:rPr>
        <w:t>用户访问端、平台</w:t>
      </w:r>
      <w:r>
        <w:rPr>
          <w:rFonts w:hint="eastAsia" w:ascii="宋体" w:hAnsi="宋体"/>
          <w:sz w:val="24"/>
        </w:rPr>
        <w:t>应用层、支撑服务层、数据资源层、基础设施层和标准规范体系、安全保障体系、运维管理体系组成。</w:t>
      </w:r>
      <w:r>
        <w:rPr>
          <w:rFonts w:hint="eastAsia" w:ascii="宋体" w:hAnsi="宋体"/>
          <w:sz w:val="24"/>
          <w:lang w:val="en-US" w:eastAsia="zh-CN"/>
        </w:rPr>
        <w:t>如下所述</w:t>
      </w:r>
      <w:r>
        <w:rPr>
          <w:rFonts w:hint="eastAsia" w:ascii="宋体" w:hAnsi="宋体"/>
          <w:sz w:val="24"/>
          <w:lang w:eastAsia="zh-TW"/>
        </w:rPr>
        <w:t>：</w:t>
      </w:r>
    </w:p>
    <w:p w14:paraId="69BA6DA6">
      <w:pPr>
        <w:numPr>
          <w:ilvl w:val="0"/>
          <w:numId w:val="12"/>
        </w:numPr>
        <w:spacing w:line="360" w:lineRule="auto"/>
        <w:ind w:left="0" w:leftChars="0" w:firstLine="420" w:firstLineChars="0"/>
        <w:rPr>
          <w:rFonts w:hint="eastAsia" w:ascii="宋体" w:hAnsi="宋体" w:eastAsia="宋体"/>
          <w:sz w:val="24"/>
          <w:lang w:val="en-US" w:eastAsia="zh-CN"/>
        </w:rPr>
      </w:pPr>
      <w:r>
        <w:rPr>
          <w:rFonts w:hint="eastAsia" w:ascii="宋体" w:hAnsi="宋体" w:eastAsia="宋体"/>
          <w:sz w:val="24"/>
          <w:lang w:val="en-US" w:eastAsia="zh-CN"/>
        </w:rPr>
        <w:t>用户访问端</w:t>
      </w:r>
      <w:r>
        <w:rPr>
          <w:rFonts w:hint="eastAsia" w:ascii="宋体" w:hAnsi="宋体"/>
          <w:sz w:val="24"/>
          <w:lang w:val="en-US" w:eastAsia="zh-CN"/>
        </w:rPr>
        <w:t>：</w:t>
      </w:r>
    </w:p>
    <w:p w14:paraId="69D3BB7E">
      <w:pPr>
        <w:numPr>
          <w:ilvl w:val="0"/>
          <w:numId w:val="0"/>
        </w:numPr>
        <w:spacing w:line="360" w:lineRule="auto"/>
        <w:ind w:firstLine="420" w:firstLineChars="0"/>
        <w:rPr>
          <w:rFonts w:hint="eastAsia" w:ascii="宋体" w:hAnsi="宋体"/>
          <w:sz w:val="24"/>
        </w:rPr>
      </w:pPr>
      <w:r>
        <w:rPr>
          <w:rFonts w:hint="eastAsia" w:ascii="宋体" w:hAnsi="宋体" w:eastAsia="宋体"/>
          <w:sz w:val="24"/>
          <w:lang w:val="en-US" w:eastAsia="zh-CN"/>
        </w:rPr>
        <w:t>访问端用户通过“三端”访问相应的应用软件进行业务办理，访问用户包含企业员工和企业管理人员，不仅</w:t>
      </w:r>
      <w:r>
        <w:rPr>
          <w:rFonts w:hint="eastAsia" w:ascii="宋体" w:hAnsi="宋体"/>
          <w:sz w:val="24"/>
        </w:rPr>
        <w:t>面向</w:t>
      </w:r>
      <w:r>
        <w:rPr>
          <w:rFonts w:hint="eastAsia" w:ascii="宋体" w:hAnsi="宋体"/>
          <w:sz w:val="24"/>
          <w:lang w:val="en-US" w:eastAsia="zh-CN"/>
        </w:rPr>
        <w:t>企业管理</w:t>
      </w:r>
      <w:r>
        <w:rPr>
          <w:rFonts w:hint="eastAsia" w:ascii="宋体" w:hAnsi="宋体" w:eastAsia="宋体"/>
          <w:sz w:val="24"/>
          <w:lang w:val="en-US" w:eastAsia="zh-CN"/>
        </w:rPr>
        <w:t>用户即</w:t>
      </w:r>
      <w:r>
        <w:rPr>
          <w:rFonts w:hint="eastAsia" w:ascii="宋体" w:hAnsi="宋体"/>
          <w:sz w:val="24"/>
          <w:lang w:val="en-US" w:eastAsia="zh-CN"/>
        </w:rPr>
        <w:t>领导用户</w:t>
      </w:r>
      <w:r>
        <w:rPr>
          <w:rFonts w:hint="eastAsia" w:ascii="宋体" w:hAnsi="宋体"/>
          <w:sz w:val="24"/>
        </w:rPr>
        <w:t>、</w:t>
      </w:r>
      <w:r>
        <w:rPr>
          <w:rFonts w:hint="eastAsia" w:ascii="宋体" w:hAnsi="宋体"/>
          <w:sz w:val="24"/>
          <w:lang w:val="en-US" w:eastAsia="zh-CN"/>
        </w:rPr>
        <w:t>企业业务科室用户、企业员工用户</w:t>
      </w:r>
      <w:r>
        <w:rPr>
          <w:rFonts w:hint="eastAsia" w:ascii="宋体" w:hAnsi="宋体"/>
          <w:sz w:val="24"/>
        </w:rPr>
        <w:t>等各职责用户的集成所有业务系统的个性化界面</w:t>
      </w:r>
      <w:r>
        <w:rPr>
          <w:rFonts w:hint="eastAsia" w:ascii="宋体" w:hAnsi="宋体" w:eastAsia="宋体"/>
          <w:sz w:val="24"/>
          <w:lang w:eastAsia="zh-CN"/>
        </w:rPr>
        <w:t>，</w:t>
      </w:r>
      <w:r>
        <w:rPr>
          <w:rFonts w:hint="eastAsia" w:ascii="宋体" w:hAnsi="宋体" w:eastAsia="宋体"/>
          <w:sz w:val="24"/>
          <w:lang w:val="en-US" w:eastAsia="zh-CN"/>
        </w:rPr>
        <w:t>还面向企业员工提供操作访问界面，实现员工的自助查询、自助购物、预约申请和一键报警、监仓对讲等</w:t>
      </w:r>
      <w:r>
        <w:rPr>
          <w:rFonts w:hint="eastAsia" w:ascii="宋体" w:hAnsi="宋体"/>
          <w:sz w:val="24"/>
        </w:rPr>
        <w:t>。</w:t>
      </w:r>
    </w:p>
    <w:p w14:paraId="05B422E3">
      <w:pPr>
        <w:numPr>
          <w:ilvl w:val="0"/>
          <w:numId w:val="12"/>
        </w:numPr>
        <w:spacing w:line="360" w:lineRule="auto"/>
        <w:ind w:left="0" w:leftChars="0" w:firstLine="420"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平台应用层</w:t>
      </w:r>
      <w:r>
        <w:rPr>
          <w:rFonts w:hint="eastAsia" w:ascii="宋体" w:hAnsi="宋体" w:cs="Times New Roman"/>
          <w:sz w:val="24"/>
          <w:lang w:val="en-US" w:eastAsia="zh-CN"/>
        </w:rPr>
        <w:t>：</w:t>
      </w:r>
    </w:p>
    <w:p w14:paraId="0BF7E11B">
      <w:pPr>
        <w:numPr>
          <w:ilvl w:val="0"/>
          <w:numId w:val="0"/>
        </w:numPr>
        <w:spacing w:line="360" w:lineRule="auto"/>
        <w:ind w:firstLine="420" w:firstLineChars="0"/>
        <w:rPr>
          <w:rFonts w:ascii="宋体" w:hAnsi="宋体"/>
          <w:sz w:val="24"/>
        </w:rPr>
      </w:pPr>
      <w:r>
        <w:rPr>
          <w:rFonts w:hint="eastAsia" w:ascii="宋体" w:hAnsi="宋体" w:eastAsia="宋体"/>
          <w:sz w:val="24"/>
          <w:lang w:val="en-US" w:eastAsia="zh-CN"/>
        </w:rPr>
        <w:t>应用层主要分为企业员工APP软件和企业管理人员业务管理系统、统一管理平台三部分，企业员工端APP软件有自助购物、物品申领、疾病咨询、预约就诊、电子书信等等，企业管理端业务管理系统包含生产栏目、审批管理、预约管理、食谱管理、规章制度、监室管理、图书管理、考试管理等等，统一管理管理平台包括统一门户管理、统一权限管理、统一资源管理、统一应用管理、统一设备管理等等</w:t>
      </w:r>
      <w:r>
        <w:rPr>
          <w:rFonts w:hint="eastAsia" w:ascii="宋体" w:hAnsi="宋体"/>
          <w:sz w:val="24"/>
        </w:rPr>
        <w:t>，以上系统</w:t>
      </w:r>
      <w:r>
        <w:rPr>
          <w:rFonts w:hint="eastAsia" w:ascii="宋体" w:hAnsi="宋体" w:eastAsia="宋体"/>
          <w:sz w:val="24"/>
          <w:lang w:val="en-US" w:eastAsia="zh-CN"/>
        </w:rPr>
        <w:t>分别</w:t>
      </w:r>
      <w:r>
        <w:rPr>
          <w:rFonts w:hint="eastAsia" w:ascii="宋体" w:hAnsi="宋体"/>
          <w:sz w:val="24"/>
        </w:rPr>
        <w:t>均部署于</w:t>
      </w:r>
      <w:r>
        <w:rPr>
          <w:rFonts w:hint="eastAsia" w:ascii="宋体" w:hAnsi="宋体" w:eastAsia="宋体"/>
          <w:sz w:val="24"/>
          <w:lang w:val="en-US" w:eastAsia="zh-CN"/>
        </w:rPr>
        <w:t>智能设备终端上、企业数据中心机房和景弘</w:t>
      </w:r>
      <w:r>
        <w:rPr>
          <w:rFonts w:hint="eastAsia" w:ascii="宋体" w:hAnsi="宋体"/>
          <w:sz w:val="24"/>
          <w:lang w:val="en-US" w:eastAsia="zh-CN"/>
        </w:rPr>
        <w:t>集团智算中心机房</w:t>
      </w:r>
      <w:r>
        <w:rPr>
          <w:rFonts w:hint="eastAsia" w:ascii="宋体" w:hAnsi="宋体"/>
          <w:sz w:val="24"/>
        </w:rPr>
        <w:t>。业务应用层由</w:t>
      </w:r>
      <w:r>
        <w:rPr>
          <w:rFonts w:hint="eastAsia" w:ascii="宋体" w:hAnsi="宋体" w:eastAsia="宋体"/>
          <w:sz w:val="24"/>
          <w:lang w:val="en-US" w:eastAsia="zh-CN"/>
        </w:rPr>
        <w:t>景弘集团统一规划，</w:t>
      </w:r>
      <w:r>
        <w:rPr>
          <w:rFonts w:hint="eastAsia"/>
          <w:sz w:val="24"/>
        </w:rPr>
        <w:t>福建省泉州升华实业有限公司</w:t>
      </w:r>
      <w:r>
        <w:rPr>
          <w:rFonts w:hint="eastAsia" w:ascii="宋体" w:hAnsi="宋体" w:eastAsia="宋体"/>
          <w:sz w:val="24"/>
          <w:lang w:val="en-US" w:eastAsia="zh-CN"/>
        </w:rPr>
        <w:t>试点</w:t>
      </w:r>
      <w:r>
        <w:rPr>
          <w:rFonts w:hint="eastAsia" w:ascii="宋体" w:hAnsi="宋体"/>
          <w:sz w:val="24"/>
        </w:rPr>
        <w:t>建设。</w:t>
      </w:r>
    </w:p>
    <w:p w14:paraId="4E731528">
      <w:pPr>
        <w:numPr>
          <w:ilvl w:val="0"/>
          <w:numId w:val="12"/>
        </w:numPr>
        <w:spacing w:line="360" w:lineRule="auto"/>
        <w:ind w:left="0" w:leftChars="0" w:firstLine="420"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支撑服务层</w:t>
      </w:r>
      <w:r>
        <w:rPr>
          <w:rFonts w:hint="eastAsia" w:ascii="宋体" w:hAnsi="宋体" w:cs="Times New Roman"/>
          <w:sz w:val="24"/>
          <w:lang w:val="en-US" w:eastAsia="zh-CN"/>
        </w:rPr>
        <w:t>：</w:t>
      </w:r>
    </w:p>
    <w:p w14:paraId="47A4CFDB">
      <w:pPr>
        <w:numPr>
          <w:ilvl w:val="0"/>
          <w:numId w:val="0"/>
        </w:numPr>
        <w:spacing w:line="360" w:lineRule="auto"/>
        <w:ind w:firstLine="420" w:firstLineChars="0"/>
        <w:rPr>
          <w:rFonts w:hint="eastAsia" w:ascii="宋体" w:hAnsi="宋体" w:eastAsia="宋体"/>
          <w:sz w:val="24"/>
          <w:lang w:val="en-US" w:eastAsia="zh-CN"/>
        </w:rPr>
      </w:pPr>
      <w:r>
        <w:rPr>
          <w:rFonts w:hint="eastAsia" w:ascii="宋体" w:hAnsi="宋体" w:eastAsia="宋体"/>
          <w:sz w:val="24"/>
          <w:lang w:val="zh-CN" w:eastAsia="zh-CN"/>
        </w:rPr>
        <w:t>支撑服务层是</w:t>
      </w:r>
      <w:r>
        <w:rPr>
          <w:rFonts w:hint="eastAsia" w:ascii="宋体" w:hAnsi="宋体" w:eastAsia="宋体"/>
          <w:sz w:val="24"/>
          <w:lang w:val="en-US" w:eastAsia="zh-CN"/>
        </w:rPr>
        <w:t>平台</w:t>
      </w:r>
      <w:r>
        <w:rPr>
          <w:rFonts w:hint="eastAsia" w:ascii="宋体" w:hAnsi="宋体" w:eastAsia="宋体"/>
          <w:sz w:val="24"/>
          <w:lang w:val="zh-CN" w:eastAsia="zh-CN"/>
        </w:rPr>
        <w:t>软件的</w:t>
      </w:r>
      <w:r>
        <w:rPr>
          <w:rFonts w:hint="eastAsia" w:ascii="宋体" w:hAnsi="宋体" w:eastAsia="宋体"/>
          <w:sz w:val="24"/>
          <w:lang w:val="en-US" w:eastAsia="zh-CN"/>
        </w:rPr>
        <w:t>重要支撑</w:t>
      </w:r>
      <w:r>
        <w:rPr>
          <w:rFonts w:hint="eastAsia" w:ascii="宋体" w:hAnsi="宋体" w:eastAsia="宋体"/>
          <w:sz w:val="24"/>
          <w:lang w:val="zh-CN" w:eastAsia="zh-CN"/>
        </w:rPr>
        <w:t>，</w:t>
      </w:r>
      <w:r>
        <w:rPr>
          <w:rFonts w:hint="eastAsia" w:ascii="宋体" w:hAnsi="宋体" w:eastAsia="宋体"/>
          <w:sz w:val="24"/>
          <w:lang w:val="en-US" w:eastAsia="zh-CN"/>
        </w:rPr>
        <w:t>包括统一认证服务、统一消息服务、统一日志服务、设备接入服务和数据共享交换服务</w:t>
      </w:r>
      <w:r>
        <w:rPr>
          <w:rFonts w:hint="eastAsia" w:ascii="宋体" w:hAnsi="宋体" w:eastAsia="宋体"/>
          <w:sz w:val="24"/>
          <w:lang w:val="zh-CN" w:eastAsia="zh-CN"/>
        </w:rPr>
        <w:t>。支撑服务层通过整合平台各类通用服务能力，为上层应用系统提供各类基础能力支持。包括基础支撑（统一用户/统一认证/单点登录）、平台支撑（移动应用/生物特征识别服务）、应用支撑（电子表单/工作流/消息</w:t>
      </w:r>
      <w:r>
        <w:rPr>
          <w:rFonts w:hint="eastAsia" w:ascii="宋体" w:hAnsi="宋体" w:eastAsia="宋体"/>
          <w:sz w:val="24"/>
          <w:lang w:val="en-US" w:eastAsia="zh-CN"/>
        </w:rPr>
        <w:t>服务</w:t>
      </w:r>
      <w:r>
        <w:rPr>
          <w:rFonts w:hint="eastAsia" w:ascii="宋体" w:hAnsi="宋体" w:eastAsia="宋体"/>
          <w:sz w:val="24"/>
          <w:lang w:val="zh-CN" w:eastAsia="zh-CN"/>
        </w:rPr>
        <w:t>）、数据</w:t>
      </w:r>
      <w:r>
        <w:rPr>
          <w:rFonts w:hint="eastAsia" w:ascii="宋体" w:hAnsi="宋体" w:eastAsia="宋体"/>
          <w:sz w:val="24"/>
          <w:lang w:val="en-US" w:eastAsia="zh-CN"/>
        </w:rPr>
        <w:t>共享等</w:t>
      </w:r>
      <w:r>
        <w:rPr>
          <w:rFonts w:hint="eastAsia" w:ascii="宋体" w:hAnsi="宋体" w:eastAsia="宋体"/>
          <w:sz w:val="24"/>
          <w:lang w:val="zh-CN" w:eastAsia="zh-CN"/>
        </w:rPr>
        <w:t>。</w:t>
      </w:r>
      <w:r>
        <w:rPr>
          <w:rFonts w:hint="eastAsia" w:ascii="宋体" w:hAnsi="宋体" w:eastAsia="宋体"/>
          <w:sz w:val="24"/>
          <w:lang w:val="en-US" w:eastAsia="zh-CN"/>
        </w:rPr>
        <w:t>实现应组件的有效整合，完成应系统的统化管理与维护。</w:t>
      </w:r>
    </w:p>
    <w:p w14:paraId="40463648">
      <w:pPr>
        <w:numPr>
          <w:ilvl w:val="0"/>
          <w:numId w:val="12"/>
        </w:numPr>
        <w:spacing w:line="360" w:lineRule="auto"/>
        <w:ind w:left="0" w:leftChars="0" w:firstLine="420"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数据资源层</w:t>
      </w:r>
      <w:r>
        <w:rPr>
          <w:rFonts w:hint="eastAsia" w:ascii="宋体" w:hAnsi="宋体" w:cs="Times New Roman"/>
          <w:sz w:val="24"/>
          <w:lang w:val="en-US" w:eastAsia="zh-CN"/>
        </w:rPr>
        <w:t>：</w:t>
      </w:r>
    </w:p>
    <w:p w14:paraId="6FC825A2">
      <w:pPr>
        <w:numPr>
          <w:ilvl w:val="0"/>
          <w:numId w:val="0"/>
        </w:numPr>
        <w:spacing w:line="360" w:lineRule="auto"/>
        <w:ind w:firstLine="420" w:firstLineChars="0"/>
        <w:rPr>
          <w:rFonts w:hint="default" w:ascii="宋体" w:hAnsi="宋体"/>
          <w:sz w:val="24"/>
          <w:lang w:val="en-US"/>
        </w:rPr>
      </w:pPr>
      <w:r>
        <w:rPr>
          <w:rFonts w:hint="eastAsia" w:ascii="宋体" w:hAnsi="宋体"/>
          <w:sz w:val="24"/>
          <w:lang w:val="zh-CN"/>
        </w:rPr>
        <w:t>数据资源</w:t>
      </w:r>
      <w:r>
        <w:rPr>
          <w:rFonts w:hint="eastAsia" w:ascii="宋体" w:hAnsi="宋体"/>
          <w:sz w:val="24"/>
        </w:rPr>
        <w:t>层</w:t>
      </w:r>
      <w:r>
        <w:rPr>
          <w:rFonts w:hint="eastAsia" w:ascii="宋体" w:hAnsi="宋体"/>
          <w:sz w:val="24"/>
          <w:lang w:val="zh-CN"/>
        </w:rPr>
        <w:t>是</w:t>
      </w:r>
      <w:r>
        <w:rPr>
          <w:rFonts w:hint="eastAsia" w:ascii="宋体" w:hAnsi="宋体" w:eastAsia="宋体"/>
          <w:sz w:val="24"/>
          <w:lang w:val="en-US" w:eastAsia="zh-CN"/>
        </w:rPr>
        <w:t>员工一体化交互</w:t>
      </w:r>
      <w:r>
        <w:rPr>
          <w:rFonts w:hint="eastAsia" w:ascii="宋体" w:hAnsi="宋体"/>
          <w:sz w:val="24"/>
          <w:lang w:val="zh-CN"/>
        </w:rPr>
        <w:t>平台的数据</w:t>
      </w:r>
      <w:r>
        <w:rPr>
          <w:rFonts w:hint="eastAsia" w:ascii="宋体" w:hAnsi="宋体"/>
          <w:sz w:val="24"/>
        </w:rPr>
        <w:t>核心</w:t>
      </w:r>
      <w:r>
        <w:rPr>
          <w:rFonts w:hint="eastAsia" w:ascii="宋体" w:hAnsi="宋体"/>
          <w:sz w:val="24"/>
          <w:lang w:val="zh-CN"/>
        </w:rPr>
        <w:t>，包括</w:t>
      </w:r>
      <w:r>
        <w:rPr>
          <w:rFonts w:hint="eastAsia" w:ascii="宋体" w:hAnsi="宋体" w:eastAsia="宋体"/>
          <w:sz w:val="24"/>
          <w:lang w:val="en-US" w:eastAsia="zh-CN"/>
        </w:rPr>
        <w:t>景弘集团员工</w:t>
      </w:r>
      <w:r>
        <w:rPr>
          <w:rFonts w:hint="eastAsia" w:ascii="宋体" w:hAnsi="宋体"/>
          <w:sz w:val="24"/>
          <w:lang w:val="en-US" w:eastAsia="zh-CN"/>
        </w:rPr>
        <w:t>人员信息</w:t>
      </w:r>
      <w:r>
        <w:rPr>
          <w:rFonts w:hint="eastAsia" w:ascii="宋体" w:hAnsi="宋体"/>
          <w:sz w:val="24"/>
        </w:rPr>
        <w:t>库、</w:t>
      </w:r>
      <w:r>
        <w:rPr>
          <w:rFonts w:hint="eastAsia" w:ascii="宋体" w:hAnsi="宋体" w:eastAsia="宋体"/>
          <w:sz w:val="24"/>
          <w:lang w:val="en-US" w:eastAsia="zh-CN"/>
        </w:rPr>
        <w:t>景弘集团管理人员信息库</w:t>
      </w:r>
      <w:r>
        <w:rPr>
          <w:rFonts w:hint="eastAsia" w:ascii="宋体" w:hAnsi="宋体"/>
          <w:sz w:val="24"/>
        </w:rPr>
        <w:t>、</w:t>
      </w:r>
      <w:r>
        <w:rPr>
          <w:rFonts w:hint="eastAsia" w:ascii="宋体" w:hAnsi="宋体"/>
          <w:sz w:val="24"/>
          <w:lang w:val="en-US" w:eastAsia="zh-CN"/>
        </w:rPr>
        <w:t>景弘集团</w:t>
      </w:r>
      <w:r>
        <w:rPr>
          <w:rFonts w:hint="eastAsia" w:ascii="宋体" w:hAnsi="宋体" w:eastAsia="宋体"/>
          <w:sz w:val="24"/>
          <w:lang w:val="en-US" w:eastAsia="zh-CN"/>
        </w:rPr>
        <w:t>管理库</w:t>
      </w:r>
      <w:r>
        <w:rPr>
          <w:rFonts w:hint="eastAsia" w:ascii="宋体" w:hAnsi="宋体"/>
          <w:sz w:val="24"/>
          <w:lang w:val="zh-CN"/>
        </w:rPr>
        <w:t>、</w:t>
      </w:r>
      <w:r>
        <w:rPr>
          <w:rFonts w:hint="eastAsia" w:ascii="宋体" w:hAnsi="宋体" w:eastAsia="宋体"/>
          <w:sz w:val="24"/>
          <w:lang w:val="en-US" w:eastAsia="zh-CN"/>
        </w:rPr>
        <w:t>企业员工一体化信息库等</w:t>
      </w:r>
      <w:r>
        <w:rPr>
          <w:rFonts w:hint="eastAsia" w:ascii="宋体" w:hAnsi="宋体"/>
          <w:sz w:val="24"/>
          <w:lang w:val="zh-CN"/>
        </w:rPr>
        <w:t>部分。</w:t>
      </w:r>
      <w:r>
        <w:rPr>
          <w:rFonts w:hint="eastAsia" w:ascii="宋体" w:hAnsi="宋体"/>
          <w:sz w:val="24"/>
        </w:rPr>
        <w:t>通过</w:t>
      </w:r>
      <w:r>
        <w:rPr>
          <w:rFonts w:hint="eastAsia" w:ascii="宋体" w:hAnsi="宋体"/>
          <w:sz w:val="24"/>
          <w:lang w:val="zh-CN"/>
        </w:rPr>
        <w:t>设备接入、</w:t>
      </w:r>
      <w:r>
        <w:rPr>
          <w:rFonts w:hint="eastAsia" w:ascii="宋体" w:hAnsi="宋体"/>
          <w:sz w:val="24"/>
        </w:rPr>
        <w:t>数据接入</w:t>
      </w:r>
      <w:r>
        <w:rPr>
          <w:rFonts w:hint="eastAsia" w:ascii="宋体" w:hAnsi="宋体"/>
          <w:sz w:val="24"/>
          <w:lang w:val="zh-CN"/>
        </w:rPr>
        <w:t>收集基础数据并且做数据分析，对分析结构或者算法提供编程接口，</w:t>
      </w:r>
      <w:r>
        <w:rPr>
          <w:rFonts w:hint="eastAsia" w:ascii="宋体" w:hAnsi="宋体"/>
          <w:sz w:val="24"/>
        </w:rPr>
        <w:t>实现</w:t>
      </w:r>
      <w:r>
        <w:rPr>
          <w:rFonts w:hint="eastAsia" w:ascii="宋体" w:hAnsi="宋体"/>
          <w:sz w:val="24"/>
          <w:lang w:val="zh-CN"/>
        </w:rPr>
        <w:t>信息资源库、数据治理、数据服务。由</w:t>
      </w:r>
      <w:r>
        <w:rPr>
          <w:rFonts w:hint="eastAsia" w:ascii="宋体" w:hAnsi="宋体" w:eastAsia="宋体"/>
          <w:sz w:val="24"/>
          <w:lang w:val="en-US" w:eastAsia="zh-CN"/>
        </w:rPr>
        <w:t>景弘集团</w:t>
      </w:r>
      <w:r>
        <w:rPr>
          <w:rFonts w:hint="eastAsia" w:ascii="宋体" w:hAnsi="宋体"/>
          <w:sz w:val="24"/>
          <w:lang w:val="zh-CN"/>
        </w:rPr>
        <w:t>和</w:t>
      </w:r>
      <w:r>
        <w:rPr>
          <w:rFonts w:hint="eastAsia"/>
          <w:sz w:val="24"/>
        </w:rPr>
        <w:t>福建省泉州升华实业有限公司</w:t>
      </w:r>
      <w:r>
        <w:rPr>
          <w:rFonts w:hint="eastAsia" w:ascii="宋体" w:hAnsi="宋体"/>
          <w:sz w:val="24"/>
          <w:lang w:val="zh-CN"/>
        </w:rPr>
        <w:t>分级建设，</w:t>
      </w:r>
      <w:r>
        <w:rPr>
          <w:rFonts w:hint="eastAsia" w:ascii="宋体" w:hAnsi="宋体"/>
          <w:sz w:val="24"/>
          <w:lang w:val="en-US" w:eastAsia="zh-CN"/>
        </w:rPr>
        <w:t>景弘集团</w:t>
      </w:r>
      <w:r>
        <w:rPr>
          <w:rFonts w:hint="eastAsia" w:ascii="宋体" w:hAnsi="宋体"/>
          <w:sz w:val="24"/>
          <w:lang w:val="zh-CN"/>
        </w:rPr>
        <w:t>建立</w:t>
      </w:r>
      <w:r>
        <w:rPr>
          <w:rFonts w:hint="eastAsia" w:ascii="宋体" w:hAnsi="宋体"/>
          <w:sz w:val="24"/>
          <w:lang w:val="en-US" w:eastAsia="zh-CN"/>
        </w:rPr>
        <w:t>智算</w:t>
      </w:r>
      <w:r>
        <w:rPr>
          <w:rFonts w:hint="eastAsia" w:ascii="宋体" w:hAnsi="宋体"/>
          <w:sz w:val="24"/>
          <w:lang w:val="zh-CN"/>
        </w:rPr>
        <w:t>中心，</w:t>
      </w:r>
      <w:r>
        <w:rPr>
          <w:rFonts w:hint="eastAsia" w:ascii="宋体" w:hAnsi="宋体" w:eastAsia="宋体"/>
          <w:sz w:val="24"/>
          <w:lang w:val="en-US" w:eastAsia="zh-CN"/>
        </w:rPr>
        <w:t>企业</w:t>
      </w:r>
      <w:r>
        <w:rPr>
          <w:rFonts w:hint="eastAsia" w:ascii="宋体" w:hAnsi="宋体"/>
          <w:sz w:val="24"/>
          <w:lang w:val="zh-CN"/>
        </w:rPr>
        <w:t>数据中心除了存储非结构化数据，还定期备份自己的结构化业务数据</w:t>
      </w:r>
      <w:r>
        <w:rPr>
          <w:rFonts w:hint="eastAsia" w:ascii="宋体" w:hAnsi="宋体" w:eastAsia="宋体"/>
          <w:sz w:val="24"/>
          <w:lang w:val="en-US" w:eastAsia="zh-CN"/>
        </w:rPr>
        <w:t>如企业员工一体化信息库</w:t>
      </w:r>
      <w:r>
        <w:rPr>
          <w:rFonts w:hint="eastAsia" w:ascii="宋体" w:hAnsi="宋体"/>
          <w:sz w:val="24"/>
          <w:lang w:val="zh-CN"/>
        </w:rPr>
        <w:t>。</w:t>
      </w:r>
    </w:p>
    <w:p w14:paraId="122491BB">
      <w:pPr>
        <w:numPr>
          <w:ilvl w:val="0"/>
          <w:numId w:val="12"/>
        </w:numPr>
        <w:spacing w:line="360" w:lineRule="auto"/>
        <w:ind w:left="0" w:leftChars="0" w:firstLine="420"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基础设施层</w:t>
      </w:r>
      <w:r>
        <w:rPr>
          <w:rFonts w:hint="eastAsia" w:ascii="宋体" w:hAnsi="宋体" w:cs="Times New Roman"/>
          <w:sz w:val="24"/>
          <w:lang w:val="en-US" w:eastAsia="zh-CN"/>
        </w:rPr>
        <w:t>：</w:t>
      </w:r>
    </w:p>
    <w:p w14:paraId="14F38F6F">
      <w:pPr>
        <w:numPr>
          <w:ilvl w:val="0"/>
          <w:numId w:val="0"/>
        </w:numPr>
        <w:spacing w:line="360" w:lineRule="auto"/>
        <w:ind w:firstLine="420" w:firstLineChars="0"/>
        <w:rPr>
          <w:rFonts w:hint="eastAsia" w:ascii="宋体" w:hAnsi="宋体" w:eastAsia="宋体"/>
          <w:sz w:val="24"/>
          <w:lang w:val="zh-CN" w:eastAsia="zh-CN"/>
        </w:rPr>
      </w:pPr>
      <w:r>
        <w:rPr>
          <w:rFonts w:hint="eastAsia" w:ascii="宋体" w:hAnsi="宋体" w:eastAsia="宋体"/>
          <w:sz w:val="24"/>
          <w:lang w:val="zh-CN" w:eastAsia="zh-CN"/>
        </w:rPr>
        <w:t>基础设施层是</w:t>
      </w:r>
      <w:r>
        <w:rPr>
          <w:rFonts w:hint="eastAsia" w:ascii="宋体" w:hAnsi="宋体" w:eastAsia="宋体"/>
          <w:sz w:val="24"/>
          <w:lang w:val="en-US" w:eastAsia="zh-CN"/>
        </w:rPr>
        <w:t>员工一体化交互平台</w:t>
      </w:r>
      <w:r>
        <w:rPr>
          <w:rFonts w:hint="eastAsia" w:ascii="宋体" w:hAnsi="宋体" w:eastAsia="宋体"/>
          <w:sz w:val="24"/>
          <w:lang w:val="zh-CN" w:eastAsia="zh-CN"/>
        </w:rPr>
        <w:t>软件的运行基础，</w:t>
      </w:r>
      <w:r>
        <w:rPr>
          <w:rFonts w:hint="eastAsia" w:ascii="宋体" w:hAnsi="宋体" w:eastAsia="宋体"/>
          <w:sz w:val="24"/>
          <w:lang w:val="en-US" w:eastAsia="zh-CN"/>
        </w:rPr>
        <w:t>包括数据中心基础设施、机房基础设施、安全防控基础设施三大部分。</w:t>
      </w:r>
      <w:r>
        <w:rPr>
          <w:rFonts w:hint="eastAsia" w:ascii="宋体" w:hAnsi="宋体" w:eastAsia="宋体"/>
          <w:sz w:val="24"/>
          <w:lang w:val="zh-CN" w:eastAsia="zh-CN"/>
        </w:rPr>
        <w:t>基于云计算、大数据和物联网的融合应用建设统一的基础资源层，构建政务云平台、网络资源池、计算、存储、指挥中心资源，提供计算服务、存储服务和网络服务。</w:t>
      </w:r>
    </w:p>
    <w:p w14:paraId="2A9C6865">
      <w:pPr>
        <w:spacing w:line="360" w:lineRule="auto"/>
        <w:jc w:val="left"/>
        <w:outlineLvl w:val="2"/>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（二）建设内容</w:t>
      </w:r>
    </w:p>
    <w:p w14:paraId="722EA170">
      <w:pPr>
        <w:spacing w:line="360" w:lineRule="auto"/>
        <w:ind w:firstLine="480"/>
        <w:rPr>
          <w:rFonts w:hint="eastAsia" w:asciiTheme="minorEastAsia" w:hAnsiTheme="minorEastAsia" w:eastAsiaTheme="minorEastAsia" w:cstheme="minorEastAsia"/>
          <w:color w:val="auto"/>
          <w:sz w:val="24"/>
          <w:lang w:eastAsia="zh-CN"/>
        </w:rPr>
      </w:pPr>
      <w:r>
        <w:rPr>
          <w:rFonts w:hint="eastAsia" w:ascii="宋体" w:hAnsi="宋体" w:eastAsia="宋体" w:cs="宋体"/>
          <w:sz w:val="24"/>
          <w:szCs w:val="24"/>
          <w:lang w:val="en-US" w:eastAsia="zh-CN"/>
        </w:rPr>
        <w:t>员工一体化交互平台</w:t>
      </w:r>
      <w:r>
        <w:rPr>
          <w:rFonts w:hint="eastAsia" w:ascii="宋体" w:hAnsi="宋体" w:eastAsia="宋体" w:cs="宋体"/>
          <w:sz w:val="24"/>
          <w:szCs w:val="24"/>
          <w:lang w:val="en-US" w:eastAsia="en-US"/>
        </w:rPr>
        <w:t>采用了“1</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3+N</w:t>
      </w:r>
      <w:r>
        <w:rPr>
          <w:rFonts w:hint="eastAsia" w:ascii="宋体" w:hAnsi="宋体" w:eastAsia="宋体" w:cs="宋体"/>
          <w:sz w:val="24"/>
          <w:szCs w:val="24"/>
          <w:lang w:val="en-US" w:eastAsia="en-US"/>
        </w:rPr>
        <w:t>”的设计理念（即：一平台、</w:t>
      </w:r>
      <w:r>
        <w:rPr>
          <w:rFonts w:hint="eastAsia" w:ascii="宋体" w:hAnsi="宋体" w:eastAsia="宋体" w:cs="宋体"/>
          <w:sz w:val="24"/>
          <w:szCs w:val="24"/>
          <w:lang w:val="en-US" w:eastAsia="zh-CN"/>
        </w:rPr>
        <w:t>两用户、三终端、N应用</w:t>
      </w:r>
      <w:r>
        <w:rPr>
          <w:rFonts w:hint="eastAsia" w:ascii="宋体" w:hAnsi="宋体" w:eastAsia="宋体" w:cs="宋体"/>
          <w:sz w:val="24"/>
          <w:szCs w:val="24"/>
          <w:lang w:val="en-US" w:eastAsia="en-US"/>
        </w:rPr>
        <w:t>），一</w:t>
      </w:r>
      <w:r>
        <w:rPr>
          <w:rFonts w:hint="eastAsia" w:ascii="宋体" w:hAnsi="宋体" w:eastAsia="宋体" w:cs="宋体"/>
          <w:sz w:val="24"/>
          <w:szCs w:val="24"/>
          <w:lang w:val="en-US" w:eastAsia="zh-CN"/>
        </w:rPr>
        <w:t>平台是统一管理</w:t>
      </w:r>
      <w:r>
        <w:rPr>
          <w:rFonts w:hint="eastAsia" w:ascii="宋体" w:hAnsi="宋体" w:eastAsia="宋体" w:cs="宋体"/>
          <w:sz w:val="24"/>
          <w:szCs w:val="24"/>
          <w:lang w:val="en-US" w:eastAsia="en-US"/>
        </w:rPr>
        <w:t>平台</w:t>
      </w:r>
      <w:r>
        <w:rPr>
          <w:rFonts w:hint="eastAsia" w:ascii="宋体" w:hAnsi="宋体" w:eastAsia="宋体" w:cs="宋体"/>
          <w:sz w:val="24"/>
          <w:szCs w:val="24"/>
          <w:lang w:val="en-US" w:eastAsia="zh-CN"/>
        </w:rPr>
        <w:t>，两用户指企业员工和企业管理人员，三终端是指员工监室端、企业管理人员值班室端和移动警务通端，N应用是指各个子公司开发的关于企业员工操作使用各类应用APP。</w:t>
      </w:r>
      <w:r>
        <w:rPr>
          <w:rFonts w:hint="eastAsia" w:asciiTheme="minorEastAsia" w:hAnsiTheme="minorEastAsia" w:eastAsiaTheme="minorEastAsia" w:cstheme="minorEastAsia"/>
          <w:sz w:val="24"/>
          <w:lang w:val="en-US" w:eastAsia="zh-CN"/>
        </w:rPr>
        <w:t>建设</w:t>
      </w:r>
      <w:r>
        <w:rPr>
          <w:rFonts w:hint="eastAsia" w:asciiTheme="minorEastAsia" w:hAnsiTheme="minorEastAsia" w:eastAsiaTheme="minorEastAsia" w:cstheme="minorEastAsia"/>
          <w:sz w:val="24"/>
        </w:rPr>
        <w:t>内容分为软件平台部分、服务支撑端、智能交互终端三大部分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软件部指员工交互一体化平台（</w:t>
      </w:r>
      <w:r>
        <w:rPr>
          <w:rFonts w:hint="eastAsia" w:asciiTheme="minorEastAsia" w:hAnsiTheme="minorEastAsia" w:eastAsiaTheme="minorEastAsia" w:cstheme="minorEastAsia"/>
          <w:sz w:val="24"/>
          <w:lang w:val="en-US" w:eastAsia="zh-CN"/>
        </w:rPr>
        <w:t>景弘集团</w:t>
      </w:r>
      <w:r>
        <w:rPr>
          <w:rFonts w:hint="eastAsia" w:asciiTheme="minorEastAsia" w:hAnsiTheme="minorEastAsia" w:eastAsiaTheme="minorEastAsia" w:cstheme="minorEastAsia"/>
          <w:sz w:val="24"/>
        </w:rPr>
        <w:t>和</w:t>
      </w:r>
      <w:r>
        <w:rPr>
          <w:rFonts w:hint="eastAsia" w:asciiTheme="minorEastAsia" w:hAnsiTheme="minorEastAsia" w:eastAsiaTheme="minorEastAsia" w:cstheme="minorEastAsia"/>
          <w:sz w:val="24"/>
          <w:lang w:val="en-US" w:eastAsia="zh-CN"/>
        </w:rPr>
        <w:t>子公司企业</w:t>
      </w:r>
      <w:r>
        <w:rPr>
          <w:rFonts w:hint="eastAsia" w:asciiTheme="minorEastAsia" w:hAnsiTheme="minorEastAsia" w:eastAsiaTheme="minorEastAsia" w:cstheme="minorEastAsia"/>
          <w:sz w:val="24"/>
        </w:rPr>
        <w:t>两级平台）一套，含统一管理平台、员工APP应用软件、警务通APP应用软件，服务支撑端包括基础资源设备和应用支撑系统，智能交互终端要求每监仓内一台（仓内屏）、每两个监仓外共用一个智能交互终端（仓外屏），每层楼一台智能交互终端（楼道屏），值班室管理终端和指挥中心管理终端，本次泉州升华实业有限公司作为项目试点单位，包括</w:t>
      </w:r>
      <w:r>
        <w:rPr>
          <w:rFonts w:hint="eastAsia" w:asciiTheme="minorEastAsia" w:hAnsiTheme="minorEastAsia" w:eastAsiaTheme="minorEastAsia" w:cstheme="minorEastAsia"/>
          <w:sz w:val="24"/>
          <w:lang w:val="en-US" w:eastAsia="zh-CN"/>
        </w:rPr>
        <w:t>一</w:t>
      </w:r>
      <w:r>
        <w:rPr>
          <w:rFonts w:hint="eastAsia" w:asciiTheme="minorEastAsia" w:hAnsiTheme="minorEastAsia" w:eastAsiaTheme="minorEastAsia" w:cstheme="minorEastAsia"/>
          <w:sz w:val="24"/>
        </w:rPr>
        <w:t>个</w:t>
      </w:r>
      <w:r>
        <w:rPr>
          <w:rFonts w:hint="eastAsia" w:asciiTheme="minorEastAsia" w:hAnsiTheme="minorEastAsia" w:eastAsiaTheme="minorEastAsia" w:cstheme="minorEastAsia"/>
          <w:sz w:val="24"/>
          <w:lang w:eastAsia="zh-CN"/>
        </w:rPr>
        <w:t>分厂区</w:t>
      </w:r>
      <w:r>
        <w:rPr>
          <w:rFonts w:hint="eastAsia" w:asciiTheme="minorEastAsia" w:hAnsiTheme="minorEastAsia" w:eastAsiaTheme="minorEastAsia" w:cstheme="minorEastAsia"/>
          <w:sz w:val="24"/>
        </w:rPr>
        <w:t>（共</w:t>
      </w:r>
      <w:r>
        <w:rPr>
          <w:rFonts w:hint="eastAsia" w:asciiTheme="minorEastAsia" w:hAnsiTheme="minorEastAsia" w:eastAsiaTheme="minorEastAsia" w:cstheme="minorEastAsia"/>
          <w:sz w:val="24"/>
          <w:lang w:val="en-US" w:eastAsia="zh-CN"/>
        </w:rPr>
        <w:t>四</w:t>
      </w:r>
      <w:r>
        <w:rPr>
          <w:rFonts w:hint="eastAsia" w:asciiTheme="minorEastAsia" w:hAnsiTheme="minorEastAsia" w:eastAsiaTheme="minorEastAsia" w:cstheme="minorEastAsia"/>
          <w:sz w:val="24"/>
        </w:rPr>
        <w:t>个</w:t>
      </w:r>
      <w:r>
        <w:rPr>
          <w:rFonts w:hint="eastAsia" w:asciiTheme="minorEastAsia" w:hAnsiTheme="minorEastAsia" w:eastAsiaTheme="minorEastAsia" w:cstheme="minorEastAsia"/>
          <w:sz w:val="24"/>
          <w:lang w:eastAsia="zh-CN"/>
        </w:rPr>
        <w:t>车间</w:t>
      </w:r>
      <w:r>
        <w:rPr>
          <w:rFonts w:hint="eastAsia" w:asciiTheme="minorEastAsia" w:hAnsiTheme="minorEastAsia" w:eastAsiaTheme="minorEastAsia" w:cstheme="minorEastAsia"/>
          <w:sz w:val="24"/>
        </w:rPr>
        <w:t>）。监仓共</w:t>
      </w:r>
      <w:r>
        <w:rPr>
          <w:rFonts w:hint="eastAsia" w:asciiTheme="minorEastAsia" w:hAnsiTheme="minorEastAsia" w:eastAsiaTheme="minorEastAsia" w:cstheme="minorEastAsia"/>
          <w:sz w:val="24"/>
          <w:lang w:val="en-US" w:eastAsia="zh-CN"/>
        </w:rPr>
        <w:t>50</w:t>
      </w:r>
      <w:r>
        <w:rPr>
          <w:rFonts w:hint="eastAsia" w:asciiTheme="minorEastAsia" w:hAnsiTheme="minorEastAsia" w:eastAsiaTheme="minorEastAsia" w:cstheme="minorEastAsia"/>
          <w:sz w:val="24"/>
        </w:rPr>
        <w:t>间，服务</w:t>
      </w:r>
      <w:r>
        <w:rPr>
          <w:rFonts w:hint="eastAsia" w:asciiTheme="minorEastAsia" w:hAnsiTheme="minorEastAsia" w:eastAsiaTheme="minorEastAsia" w:cstheme="minorEastAsia"/>
          <w:sz w:val="24"/>
          <w:lang w:val="en-US" w:eastAsia="zh-CN"/>
        </w:rPr>
        <w:t>员工总</w:t>
      </w:r>
      <w:r>
        <w:rPr>
          <w:rFonts w:hint="eastAsia" w:asciiTheme="minorEastAsia" w:hAnsiTheme="minorEastAsia" w:eastAsiaTheme="minorEastAsia" w:cstheme="minorEastAsia"/>
          <w:color w:val="auto"/>
          <w:sz w:val="24"/>
          <w:lang w:val="en-US" w:eastAsia="zh-CN"/>
        </w:rPr>
        <w:t>数约5000</w:t>
      </w:r>
      <w:r>
        <w:rPr>
          <w:rFonts w:hint="eastAsia" w:asciiTheme="minorEastAsia" w:hAnsiTheme="minorEastAsia" w:eastAsiaTheme="minorEastAsia" w:cstheme="minorEastAsia"/>
          <w:color w:val="auto"/>
          <w:sz w:val="24"/>
        </w:rPr>
        <w:t>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0个值班室</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b/>
          <w:bCs/>
          <w:color w:val="auto"/>
          <w:sz w:val="24"/>
          <w:lang w:eastAsia="zh-CN"/>
        </w:rPr>
        <w:t>试点结束后</w:t>
      </w:r>
      <w:r>
        <w:rPr>
          <w:rFonts w:hint="eastAsia" w:ascii="宋体" w:hAnsi="宋体" w:eastAsia="宋体" w:cs="宋体"/>
          <w:b/>
          <w:bCs/>
          <w:color w:val="auto"/>
          <w:sz w:val="24"/>
          <w:szCs w:val="24"/>
          <w:lang w:val="en-US" w:eastAsia="zh-CN"/>
        </w:rPr>
        <w:t>一体化交互平台</w:t>
      </w:r>
      <w:r>
        <w:rPr>
          <w:rFonts w:hint="eastAsia" w:ascii="宋体" w:hAnsi="宋体" w:cs="宋体"/>
          <w:b/>
          <w:bCs/>
          <w:color w:val="auto"/>
          <w:sz w:val="24"/>
          <w:szCs w:val="24"/>
          <w:lang w:val="en-US" w:eastAsia="zh-CN"/>
        </w:rPr>
        <w:t>应具备推广到全省监狱企业的性能支撑和服务保障等能力，全省监狱企业（规模约为试点单位的25倍）</w:t>
      </w:r>
      <w:r>
        <w:rPr>
          <w:rFonts w:hint="eastAsia" w:asciiTheme="minorEastAsia" w:hAnsiTheme="minorEastAsia" w:eastAsiaTheme="minorEastAsia" w:cstheme="minorEastAsia"/>
          <w:color w:val="auto"/>
          <w:sz w:val="24"/>
          <w:lang w:eastAsia="zh-CN"/>
        </w:rPr>
        <w:t>，故投标人应当要具有与监管或监所相关的一体化平台的软件开发能力</w:t>
      </w:r>
      <w:r>
        <w:rPr>
          <w:rFonts w:hint="eastAsia" w:asciiTheme="minorEastAsia" w:hAnsiTheme="minorEastAsia" w:eastAsiaTheme="minorEastAsia" w:cstheme="minorEastAsia"/>
          <w:color w:val="auto"/>
          <w:sz w:val="24"/>
        </w:rPr>
        <w:t>。</w:t>
      </w:r>
    </w:p>
    <w:p w14:paraId="1A596E65">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统一管理平台</w:t>
      </w:r>
      <w:r>
        <w:rPr>
          <w:rFonts w:hint="eastAsia" w:asciiTheme="minorEastAsia" w:hAnsiTheme="minorEastAsia" w:eastAsiaTheme="minorEastAsia" w:cstheme="minorEastAsia"/>
          <w:b/>
          <w:bCs/>
          <w:sz w:val="24"/>
          <w:lang w:eastAsia="zh-CN"/>
        </w:rPr>
        <w:t>：</w:t>
      </w:r>
    </w:p>
    <w:p w14:paraId="092F05BD">
      <w:pPr>
        <w:spacing w:line="360" w:lineRule="auto"/>
        <w:ind w:left="-4" w:right="2" w:firstLine="42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zh-CN" w:eastAsia="zh-CN"/>
        </w:rPr>
        <w:t>通过</w:t>
      </w:r>
      <w:r>
        <w:rPr>
          <w:rFonts w:hint="eastAsia" w:ascii="Times New Roman" w:hAnsi="Times New Roman" w:eastAsia="宋体" w:cs="Times New Roman"/>
          <w:sz w:val="24"/>
          <w:lang w:val="en-US" w:eastAsia="zh-CN"/>
        </w:rPr>
        <w:t>建设统一管理平台</w:t>
      </w:r>
      <w:r>
        <w:rPr>
          <w:rFonts w:hint="eastAsia" w:ascii="Times New Roman" w:hAnsi="Times New Roman" w:eastAsia="宋体" w:cs="Times New Roman"/>
          <w:sz w:val="24"/>
          <w:lang w:val="zh-CN" w:eastAsia="zh-CN"/>
        </w:rPr>
        <w:t>，</w:t>
      </w:r>
      <w:r>
        <w:rPr>
          <w:rFonts w:hint="eastAsia" w:ascii="Times New Roman" w:hAnsi="Times New Roman" w:eastAsia="宋体" w:cs="Times New Roman"/>
          <w:sz w:val="24"/>
          <w:lang w:val="en-US" w:eastAsia="zh-CN"/>
        </w:rPr>
        <w:t>主要功能有统一门户、统一身份认证、统一权限管理、统一资源分配、统一应用管理、统一设备管理、统一消息管理、统一安全管控、统一日志管理、统一业务办理和统一开发者中心。实现对员工的账号进行统一分配管理，管理三终端的应用和权限体系，</w:t>
      </w:r>
      <w:r>
        <w:rPr>
          <w:rFonts w:hint="eastAsia" w:ascii="Times New Roman" w:hAnsi="Times New Roman" w:eastAsia="宋体" w:cs="Times New Roman"/>
          <w:sz w:val="24"/>
          <w:lang w:val="zh-CN" w:eastAsia="zh-CN"/>
        </w:rPr>
        <w:t>把员工消费、积分兑换、员工信件、考核查询</w:t>
      </w:r>
      <w:r>
        <w:rPr>
          <w:rFonts w:hint="eastAsia" w:ascii="Times New Roman" w:hAnsi="Times New Roman" w:eastAsia="宋体" w:cs="Times New Roman"/>
          <w:b w:val="0"/>
          <w:bCs w:val="0"/>
          <w:sz w:val="24"/>
          <w:lang w:val="zh-CN" w:eastAsia="zh-CN"/>
        </w:rPr>
        <w:t>、监仓对讲、监室管理、</w:t>
      </w:r>
      <w:r>
        <w:rPr>
          <w:rFonts w:hint="eastAsia" w:ascii="Times New Roman" w:hAnsi="Times New Roman" w:eastAsia="宋体" w:cs="Times New Roman"/>
          <w:sz w:val="24"/>
          <w:lang w:val="zh-CN" w:eastAsia="zh-CN"/>
        </w:rPr>
        <w:t>人脸点名等</w:t>
      </w:r>
      <w:r>
        <w:rPr>
          <w:rFonts w:hint="eastAsia" w:ascii="Times New Roman" w:hAnsi="Times New Roman" w:eastAsia="宋体" w:cs="Times New Roman"/>
          <w:sz w:val="24"/>
          <w:lang w:val="en-US" w:eastAsia="zh-CN"/>
        </w:rPr>
        <w:t>应用的有效管控</w:t>
      </w:r>
      <w:r>
        <w:rPr>
          <w:rFonts w:hint="eastAsia" w:ascii="Times New Roman" w:hAnsi="Times New Roman" w:eastAsia="宋体" w:cs="Times New Roman"/>
          <w:sz w:val="24"/>
          <w:lang w:val="zh-CN" w:eastAsia="zh-CN"/>
        </w:rPr>
        <w:t>起来，实现</w:t>
      </w:r>
      <w:r>
        <w:rPr>
          <w:rFonts w:hint="eastAsia" w:ascii="Times New Roman" w:hAnsi="Times New Roman" w:eastAsia="宋体" w:cs="Times New Roman"/>
          <w:sz w:val="24"/>
          <w:lang w:val="en-US" w:eastAsia="zh-CN"/>
        </w:rPr>
        <w:t>福建全</w:t>
      </w:r>
      <w:r>
        <w:rPr>
          <w:rFonts w:hint="eastAsia" w:cs="Times New Roman"/>
          <w:sz w:val="24"/>
          <w:lang w:val="en-US" w:eastAsia="zh-CN"/>
        </w:rPr>
        <w:t>集团</w:t>
      </w:r>
      <w:r>
        <w:rPr>
          <w:rFonts w:hint="eastAsia" w:ascii="Times New Roman" w:hAnsi="Times New Roman" w:eastAsia="宋体" w:cs="Times New Roman"/>
          <w:sz w:val="24"/>
          <w:lang w:val="en-US" w:eastAsia="zh-CN"/>
        </w:rPr>
        <w:t>关于员工的应用</w:t>
      </w:r>
      <w:r>
        <w:rPr>
          <w:rFonts w:hint="eastAsia" w:ascii="Times New Roman" w:hAnsi="Times New Roman" w:eastAsia="宋体" w:cs="Times New Roman"/>
          <w:b w:val="0"/>
          <w:bCs w:val="0"/>
          <w:sz w:val="24"/>
          <w:lang w:val="en-US" w:eastAsia="zh-CN"/>
        </w:rPr>
        <w:t>APP</w:t>
      </w:r>
      <w:r>
        <w:rPr>
          <w:rFonts w:hint="eastAsia" w:ascii="Times New Roman" w:hAnsi="Times New Roman" w:eastAsia="宋体" w:cs="Times New Roman"/>
          <w:sz w:val="24"/>
          <w:lang w:val="en-US" w:eastAsia="zh-CN"/>
        </w:rPr>
        <w:t>共建共用、统一管控和</w:t>
      </w:r>
      <w:r>
        <w:rPr>
          <w:rFonts w:hint="eastAsia" w:ascii="Times New Roman" w:hAnsi="Times New Roman" w:eastAsia="宋体" w:cs="Times New Roman"/>
          <w:sz w:val="24"/>
          <w:lang w:val="zh-CN" w:eastAsia="zh-CN"/>
        </w:rPr>
        <w:t>数据融合。</w:t>
      </w:r>
    </w:p>
    <w:p w14:paraId="109E20BB">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员工APP应用软件</w:t>
      </w:r>
      <w:r>
        <w:rPr>
          <w:rFonts w:hint="eastAsia" w:asciiTheme="minorEastAsia" w:hAnsiTheme="minorEastAsia" w:eastAsiaTheme="minorEastAsia" w:cstheme="minorEastAsia"/>
          <w:b/>
          <w:bCs/>
          <w:sz w:val="24"/>
          <w:lang w:eastAsia="zh-CN"/>
        </w:rPr>
        <w:t>：</w:t>
      </w:r>
    </w:p>
    <w:p w14:paraId="0307AA5A">
      <w:pPr>
        <w:spacing w:line="360" w:lineRule="auto"/>
        <w:ind w:left="-4" w:right="2" w:firstLine="42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员工APP应用软件涉及狱政管理、生活卫生、教育改造、劳动生产等不同业务条线的应用软件。如下表所示：</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144"/>
      </w:tblGrid>
      <w:tr w14:paraId="220C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36" w:type="dxa"/>
            <w:shd w:val="clear" w:color="auto" w:fill="auto"/>
            <w:vAlign w:val="center"/>
          </w:tcPr>
          <w:p w14:paraId="714D51F5">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4"/>
                <w:szCs w:val="32"/>
              </w:rPr>
            </w:pPr>
            <w:r>
              <w:rPr>
                <w:rFonts w:hint="eastAsia" w:ascii="宋体" w:hAnsi="宋体" w:eastAsia="宋体" w:cs="宋体"/>
                <w:b/>
                <w:bCs/>
                <w:color w:val="auto"/>
                <w:sz w:val="24"/>
                <w:szCs w:val="32"/>
              </w:rPr>
              <w:t>业务划分</w:t>
            </w:r>
          </w:p>
        </w:tc>
        <w:tc>
          <w:tcPr>
            <w:tcW w:w="8144" w:type="dxa"/>
            <w:shd w:val="clear" w:color="auto" w:fill="auto"/>
            <w:vAlign w:val="center"/>
          </w:tcPr>
          <w:p w14:paraId="0C2B67AC">
            <w:pPr>
              <w:keepNext w:val="0"/>
              <w:keepLines w:val="0"/>
              <w:suppressLineNumbers w:val="0"/>
              <w:spacing w:before="0" w:beforeAutospacing="0" w:after="0" w:afterAutospacing="0"/>
              <w:ind w:right="0"/>
              <w:jc w:val="center"/>
              <w:rPr>
                <w:rFonts w:hint="eastAsia" w:ascii="宋体" w:hAnsi="宋体" w:eastAsia="宋体" w:cs="宋体"/>
                <w:b/>
                <w:bCs/>
                <w:color w:val="auto"/>
                <w:sz w:val="24"/>
                <w:szCs w:val="32"/>
              </w:rPr>
            </w:pPr>
            <w:r>
              <w:rPr>
                <w:rFonts w:hint="eastAsia" w:ascii="宋体" w:hAnsi="宋体" w:eastAsia="宋体" w:cs="宋体"/>
                <w:b/>
                <w:bCs/>
                <w:color w:val="auto"/>
                <w:sz w:val="24"/>
                <w:szCs w:val="32"/>
              </w:rPr>
              <w:t>APP应用软件</w:t>
            </w:r>
          </w:p>
        </w:tc>
      </w:tr>
      <w:tr w14:paraId="4AB5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14:paraId="4C248543">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狱政管理</w:t>
            </w:r>
          </w:p>
        </w:tc>
        <w:tc>
          <w:tcPr>
            <w:tcW w:w="8144" w:type="dxa"/>
          </w:tcPr>
          <w:p w14:paraId="04895BEA">
            <w:pPr>
              <w:keepNext w:val="0"/>
              <w:keepLines w:val="0"/>
              <w:suppressLineNumbers w:val="0"/>
              <w:spacing w:before="0" w:beforeAutospacing="0" w:after="0" w:afterAutospacing="0"/>
              <w:ind w:right="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个人信息、电子信件</w:t>
            </w:r>
          </w:p>
        </w:tc>
      </w:tr>
      <w:tr w14:paraId="014E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14:paraId="2533C99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生活卫生</w:t>
            </w:r>
          </w:p>
        </w:tc>
        <w:tc>
          <w:tcPr>
            <w:tcW w:w="8144" w:type="dxa"/>
          </w:tcPr>
          <w:p w14:paraId="5BB3ED3F">
            <w:pPr>
              <w:keepNext w:val="0"/>
              <w:keepLines w:val="0"/>
              <w:suppressLineNumbers w:val="0"/>
              <w:tabs>
                <w:tab w:val="right" w:pos="7059"/>
              </w:tabs>
              <w:spacing w:before="0" w:beforeAutospacing="0" w:after="0" w:afterAutospacing="0"/>
              <w:ind w:right="0"/>
              <w:rPr>
                <w:rFonts w:hint="eastAsia" w:ascii="宋体" w:hAnsi="宋体" w:eastAsia="宋体" w:cs="宋体"/>
                <w:color w:val="auto"/>
                <w:sz w:val="24"/>
                <w:szCs w:val="32"/>
              </w:rPr>
            </w:pPr>
            <w:r>
              <w:rPr>
                <w:rFonts w:hint="eastAsia" w:ascii="宋体" w:hAnsi="宋体" w:eastAsia="宋体" w:cs="宋体"/>
                <w:color w:val="auto"/>
                <w:sz w:val="24"/>
                <w:szCs w:val="32"/>
              </w:rPr>
              <w:t>自助购物、食谱管理</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被服申领</w:t>
            </w:r>
          </w:p>
        </w:tc>
      </w:tr>
      <w:tr w14:paraId="5A8C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14:paraId="3408FB16">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教育改造</w:t>
            </w:r>
          </w:p>
        </w:tc>
        <w:tc>
          <w:tcPr>
            <w:tcW w:w="8144" w:type="dxa"/>
          </w:tcPr>
          <w:p w14:paraId="47370373">
            <w:pPr>
              <w:keepNext w:val="0"/>
              <w:keepLines w:val="0"/>
              <w:suppressLineNumbers w:val="0"/>
              <w:spacing w:before="0" w:beforeAutospacing="0" w:after="0" w:afterAutospacing="0"/>
              <w:ind w:right="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音视频点播、出</w:t>
            </w:r>
            <w:r>
              <w:rPr>
                <w:rFonts w:hint="eastAsia" w:ascii="宋体" w:hAnsi="宋体" w:cs="宋体"/>
                <w:color w:val="auto"/>
                <w:sz w:val="24"/>
                <w:szCs w:val="32"/>
                <w:lang w:eastAsia="zh-CN"/>
              </w:rPr>
              <w:t>入</w:t>
            </w:r>
            <w:r>
              <w:rPr>
                <w:rFonts w:hint="eastAsia" w:ascii="宋体" w:hAnsi="宋体" w:eastAsia="宋体" w:cs="宋体"/>
                <w:color w:val="auto"/>
                <w:sz w:val="24"/>
                <w:szCs w:val="32"/>
              </w:rPr>
              <w:t>监教育</w:t>
            </w:r>
          </w:p>
        </w:tc>
      </w:tr>
      <w:tr w14:paraId="7640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14:paraId="17A3062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劳动生产</w:t>
            </w:r>
          </w:p>
        </w:tc>
        <w:tc>
          <w:tcPr>
            <w:tcW w:w="8144" w:type="dxa"/>
          </w:tcPr>
          <w:p w14:paraId="6B73647C">
            <w:pPr>
              <w:keepNext w:val="0"/>
              <w:keepLines w:val="0"/>
              <w:suppressLineNumbers w:val="0"/>
              <w:spacing w:before="0" w:beforeAutospacing="0" w:after="0" w:afterAutospacing="0"/>
              <w:ind w:right="0"/>
              <w:rPr>
                <w:rFonts w:hint="eastAsia" w:ascii="宋体" w:hAnsi="宋体" w:eastAsia="宋体" w:cs="宋体"/>
                <w:color w:val="auto"/>
                <w:sz w:val="24"/>
                <w:szCs w:val="32"/>
              </w:rPr>
            </w:pPr>
            <w:r>
              <w:rPr>
                <w:rFonts w:hint="eastAsia" w:ascii="宋体" w:hAnsi="宋体" w:eastAsia="宋体" w:cs="宋体"/>
                <w:color w:val="auto"/>
                <w:sz w:val="24"/>
                <w:szCs w:val="32"/>
              </w:rPr>
              <w:t>积分兑换</w:t>
            </w:r>
          </w:p>
        </w:tc>
      </w:tr>
      <w:tr w14:paraId="0EB6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14:paraId="43E10BE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刑罚执行</w:t>
            </w:r>
          </w:p>
        </w:tc>
        <w:tc>
          <w:tcPr>
            <w:tcW w:w="8144" w:type="dxa"/>
          </w:tcPr>
          <w:p w14:paraId="4744E466">
            <w:pPr>
              <w:keepNext w:val="0"/>
              <w:keepLines w:val="0"/>
              <w:suppressLineNumbers w:val="0"/>
              <w:spacing w:before="0" w:beforeAutospacing="0" w:after="0" w:afterAutospacing="0"/>
              <w:ind w:right="0"/>
              <w:rPr>
                <w:rFonts w:hint="eastAsia" w:ascii="宋体" w:hAnsi="宋体" w:eastAsia="宋体" w:cs="宋体"/>
                <w:color w:val="auto"/>
                <w:sz w:val="24"/>
                <w:szCs w:val="32"/>
              </w:rPr>
            </w:pPr>
            <w:r>
              <w:rPr>
                <w:rFonts w:hint="eastAsia" w:ascii="宋体" w:hAnsi="宋体" w:eastAsia="宋体" w:cs="宋体"/>
                <w:color w:val="auto"/>
                <w:sz w:val="24"/>
                <w:szCs w:val="32"/>
              </w:rPr>
              <w:t>减刑假释相关</w:t>
            </w:r>
          </w:p>
        </w:tc>
      </w:tr>
      <w:tr w14:paraId="4BB4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14:paraId="79E368F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其他业务</w:t>
            </w:r>
          </w:p>
        </w:tc>
        <w:tc>
          <w:tcPr>
            <w:tcW w:w="8144" w:type="dxa"/>
          </w:tcPr>
          <w:p w14:paraId="136ABB4C">
            <w:pPr>
              <w:keepNext w:val="0"/>
              <w:keepLines w:val="0"/>
              <w:suppressLineNumbers w:val="0"/>
              <w:spacing w:before="0" w:beforeAutospacing="0" w:after="0" w:afterAutospacing="0"/>
              <w:ind w:right="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人脸点名、一键报警、可视对讲、</w:t>
            </w:r>
            <w:r>
              <w:rPr>
                <w:rFonts w:hint="eastAsia" w:ascii="宋体" w:hAnsi="宋体" w:eastAsia="宋体" w:cs="宋体"/>
                <w:color w:val="auto"/>
                <w:sz w:val="24"/>
                <w:szCs w:val="32"/>
                <w:lang w:val="en-US" w:eastAsia="zh-CN"/>
              </w:rPr>
              <w:t>人像采集</w:t>
            </w:r>
          </w:p>
          <w:p w14:paraId="533075F8">
            <w:pPr>
              <w:keepNext w:val="0"/>
              <w:keepLines w:val="0"/>
              <w:suppressLineNumbers w:val="0"/>
              <w:spacing w:before="0" w:beforeAutospacing="0" w:after="0" w:afterAutospacing="0"/>
              <w:ind w:right="0"/>
              <w:rPr>
                <w:rFonts w:hint="eastAsia" w:ascii="宋体" w:hAnsi="宋体" w:eastAsia="宋体" w:cs="宋体"/>
                <w:color w:val="auto"/>
                <w:sz w:val="24"/>
                <w:szCs w:val="32"/>
              </w:rPr>
            </w:pPr>
            <w:r>
              <w:rPr>
                <w:rFonts w:hint="eastAsia" w:ascii="宋体" w:hAnsi="宋体" w:eastAsia="宋体" w:cs="宋体"/>
                <w:color w:val="auto"/>
                <w:sz w:val="24"/>
                <w:szCs w:val="32"/>
              </w:rPr>
              <w:t>信息发布(含会见通知、各类公示、重要事项等功能)</w:t>
            </w:r>
          </w:p>
        </w:tc>
      </w:tr>
    </w:tbl>
    <w:p w14:paraId="3CD07A35">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管理人员APP应用软件</w:t>
      </w:r>
      <w:r>
        <w:rPr>
          <w:rFonts w:hint="eastAsia" w:asciiTheme="minorEastAsia" w:hAnsiTheme="minorEastAsia" w:eastAsiaTheme="minorEastAsia" w:cstheme="minorEastAsia"/>
          <w:b/>
          <w:bCs/>
          <w:sz w:val="24"/>
          <w:lang w:eastAsia="zh-CN"/>
        </w:rPr>
        <w:t>：</w:t>
      </w:r>
    </w:p>
    <w:p w14:paraId="3F4F788F">
      <w:pPr>
        <w:spacing w:line="360" w:lineRule="auto"/>
        <w:ind w:left="-4" w:right="2" w:firstLine="42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员工APP应用软件涉及狱政管理、生活卫生、教育改造、劳动生产、刑罚执行、人脸采集等不同业务条线的审批管理、预约管理、</w:t>
      </w:r>
      <w:r>
        <w:rPr>
          <w:rFonts w:hint="eastAsia" w:cs="Times New Roman"/>
          <w:color w:val="auto"/>
          <w:sz w:val="24"/>
          <w:lang w:val="zh-CN" w:eastAsia="zh-CN"/>
        </w:rPr>
        <w:t>员工宿舍</w:t>
      </w:r>
      <w:r>
        <w:rPr>
          <w:rFonts w:hint="eastAsia" w:ascii="Times New Roman" w:hAnsi="Times New Roman" w:eastAsia="宋体" w:cs="Times New Roman"/>
          <w:sz w:val="24"/>
          <w:lang w:val="zh-CN" w:eastAsia="zh-CN"/>
        </w:rPr>
        <w:t>管理、信息发布等功能。</w:t>
      </w:r>
    </w:p>
    <w:p w14:paraId="4C3D4075">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人脸库建设</w:t>
      </w:r>
      <w:r>
        <w:rPr>
          <w:rFonts w:hint="eastAsia" w:asciiTheme="minorEastAsia" w:hAnsiTheme="minorEastAsia" w:eastAsiaTheme="minorEastAsia" w:cstheme="minorEastAsia"/>
          <w:b/>
          <w:bCs/>
          <w:sz w:val="24"/>
          <w:lang w:eastAsia="zh-CN"/>
        </w:rPr>
        <w:t>：</w:t>
      </w:r>
    </w:p>
    <w:p w14:paraId="74BD5D87">
      <w:pPr>
        <w:spacing w:line="360" w:lineRule="auto"/>
        <w:ind w:left="-4" w:right="2" w:firstLine="420"/>
        <w:rPr>
          <w:rFonts w:hint="eastAsia" w:ascii="Times New Roman" w:hAnsi="Times New Roman" w:eastAsia="宋体" w:cs="Times New Roman"/>
          <w:color w:val="auto"/>
          <w:sz w:val="24"/>
          <w:lang w:val="zh-CN" w:eastAsia="zh-CN"/>
        </w:rPr>
      </w:pPr>
      <w:r>
        <w:rPr>
          <w:rFonts w:hint="eastAsia" w:ascii="Times New Roman" w:hAnsi="Times New Roman" w:eastAsia="宋体" w:cs="Times New Roman"/>
          <w:sz w:val="24"/>
          <w:lang w:val="zh-CN" w:eastAsia="zh-CN"/>
        </w:rPr>
        <w:t>依托智能终端设备自带的人脸识别功能建设一套覆盖全省员工的人脸照片库和人脸特征库，为智能终端、警务通等终端设备和应用系统提供人脸识别能力，并根据智能设备端提供的人脸采集和识别的SDK或API等服务，满足采集和离线人脸识别服务的功能。</w:t>
      </w:r>
      <w:r>
        <w:rPr>
          <w:rFonts w:hint="eastAsia" w:cs="Times New Roman"/>
          <w:b/>
          <w:bCs/>
          <w:color w:val="auto"/>
          <w:sz w:val="24"/>
          <w:lang w:val="zh-CN" w:eastAsia="zh-CN"/>
        </w:rPr>
        <w:t>注：本项目包含的</w:t>
      </w:r>
      <w:r>
        <w:rPr>
          <w:rFonts w:hint="eastAsia" w:asciiTheme="minorEastAsia" w:hAnsiTheme="minorEastAsia" w:eastAsiaTheme="minorEastAsia" w:cstheme="minorEastAsia"/>
          <w:b/>
          <w:bCs/>
          <w:color w:val="auto"/>
          <w:sz w:val="24"/>
        </w:rPr>
        <w:t>人脸库</w:t>
      </w:r>
      <w:r>
        <w:rPr>
          <w:rFonts w:hint="eastAsia" w:asciiTheme="minorEastAsia" w:hAnsiTheme="minorEastAsia" w:eastAsiaTheme="minorEastAsia" w:cstheme="minorEastAsia"/>
          <w:b/>
          <w:bCs/>
          <w:color w:val="auto"/>
          <w:sz w:val="24"/>
          <w:lang w:eastAsia="zh-CN"/>
        </w:rPr>
        <w:t>（特征库）算法和相关应用授权为终身授权，不得另行收费。</w:t>
      </w:r>
    </w:p>
    <w:p w14:paraId="76D408A4">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智能终端设备</w:t>
      </w:r>
      <w:r>
        <w:rPr>
          <w:rFonts w:hint="eastAsia" w:asciiTheme="minorEastAsia" w:hAnsiTheme="minorEastAsia" w:eastAsiaTheme="minorEastAsia" w:cstheme="minorEastAsia"/>
          <w:b/>
          <w:bCs/>
          <w:sz w:val="24"/>
          <w:lang w:eastAsia="zh-CN"/>
        </w:rPr>
        <w:t>：</w:t>
      </w:r>
    </w:p>
    <w:p w14:paraId="4D821BB6">
      <w:pPr>
        <w:spacing w:line="360" w:lineRule="auto"/>
        <w:ind w:left="-4" w:right="2" w:firstLine="42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“三终端”通过终端设备将平台延伸到每个监室和值班室，让员工无需排队等待即能够实现在监仓</w:t>
      </w:r>
      <w:r>
        <w:rPr>
          <w:rFonts w:hint="eastAsia" w:ascii="Times New Roman" w:hAnsi="Times New Roman" w:eastAsia="宋体" w:cs="Times New Roman"/>
          <w:sz w:val="24"/>
          <w:lang w:val="en-US" w:eastAsia="zh-CN"/>
        </w:rPr>
        <w:t>内</w:t>
      </w:r>
      <w:r>
        <w:rPr>
          <w:rFonts w:hint="eastAsia" w:ascii="Times New Roman" w:hAnsi="Times New Roman" w:eastAsia="宋体" w:cs="Times New Roman"/>
          <w:sz w:val="24"/>
          <w:lang w:val="zh-CN" w:eastAsia="zh-CN"/>
        </w:rPr>
        <w:t>直接办理相关业务。本次采购的智能终端设备包含</w:t>
      </w:r>
      <w:r>
        <w:rPr>
          <w:rFonts w:hint="eastAsia" w:cs="Times New Roman"/>
          <w:sz w:val="24"/>
          <w:lang w:val="zh-CN" w:eastAsia="zh-CN"/>
        </w:rPr>
        <w:t>员工宿舍</w:t>
      </w:r>
      <w:r>
        <w:rPr>
          <w:rFonts w:hint="eastAsia" w:ascii="Times New Roman" w:hAnsi="Times New Roman" w:eastAsia="宋体" w:cs="Times New Roman"/>
          <w:sz w:val="24"/>
          <w:lang w:val="zh-CN" w:eastAsia="zh-CN"/>
        </w:rPr>
        <w:t>内外终端、管理人员值班室终端、指挥中心终端，智能终端设备应支持一键报警、可视对讲、人脸识别等功能，具体详细参数说明。</w:t>
      </w:r>
    </w:p>
    <w:p w14:paraId="71B7F7A1">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基础资源及应用支撑软件</w:t>
      </w:r>
      <w:r>
        <w:rPr>
          <w:rFonts w:hint="eastAsia" w:asciiTheme="minorEastAsia" w:hAnsiTheme="minorEastAsia" w:eastAsiaTheme="minorEastAsia" w:cstheme="minorEastAsia"/>
          <w:b/>
          <w:bCs/>
          <w:sz w:val="24"/>
          <w:lang w:eastAsia="zh-CN"/>
        </w:rPr>
        <w:t>：</w:t>
      </w:r>
    </w:p>
    <w:p w14:paraId="754C0ADA">
      <w:pPr>
        <w:spacing w:line="360" w:lineRule="auto"/>
        <w:ind w:left="-4" w:right="2" w:firstLine="42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基础资源包含硬件资源和应用支撑软件，硬件资源包含超融合服务器、防火墙、网闸、交换机；应用支撑软件包括操作系统、数据库软件、中间件等。搭建员工一体化交互平台的部署环境，保障平台的运行稳定、安全可靠，同时符合国产化需求。</w:t>
      </w:r>
    </w:p>
    <w:p w14:paraId="3BBD72C3">
      <w:pPr>
        <w:spacing w:line="360" w:lineRule="auto"/>
        <w:jc w:val="left"/>
        <w:outlineLvl w:val="2"/>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（三）技术服务要求</w:t>
      </w:r>
    </w:p>
    <w:p w14:paraId="1454BF46">
      <w:pPr>
        <w:spacing w:line="360" w:lineRule="auto"/>
        <w:ind w:left="-4" w:right="2" w:firstLine="420"/>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val="zh-CN" w:eastAsia="zh-CN"/>
        </w:rPr>
        <w:t>系统的设计须保证整个系统的架构</w:t>
      </w:r>
      <w:r>
        <w:rPr>
          <w:rFonts w:hint="eastAsia" w:asciiTheme="minorEastAsia" w:hAnsiTheme="minorEastAsia" w:eastAsiaTheme="minorEastAsia" w:cstheme="minorEastAsia"/>
          <w:sz w:val="24"/>
          <w:lang w:val="en-US" w:eastAsia="zh-CN"/>
        </w:rPr>
        <w:t>稳定性、规范性</w:t>
      </w:r>
      <w:r>
        <w:rPr>
          <w:rFonts w:hint="eastAsia" w:asciiTheme="minorEastAsia" w:hAnsiTheme="minorEastAsia" w:eastAsiaTheme="minorEastAsia" w:cstheme="minorEastAsia"/>
          <w:sz w:val="24"/>
          <w:lang w:val="zh-CN" w:eastAsia="zh-CN"/>
        </w:rPr>
        <w:t>、安全性、可扩展性、</w:t>
      </w:r>
      <w:r>
        <w:rPr>
          <w:rFonts w:hint="eastAsia" w:asciiTheme="minorEastAsia" w:hAnsiTheme="minorEastAsia" w:eastAsiaTheme="minorEastAsia" w:cstheme="minorEastAsia"/>
          <w:sz w:val="24"/>
          <w:lang w:val="en-US" w:eastAsia="zh-CN"/>
        </w:rPr>
        <w:t>易维护性</w:t>
      </w:r>
      <w:r>
        <w:rPr>
          <w:rFonts w:hint="eastAsia" w:asciiTheme="minorEastAsia" w:hAnsiTheme="minorEastAsia" w:eastAsiaTheme="minorEastAsia" w:cstheme="minorEastAsia"/>
          <w:sz w:val="24"/>
          <w:lang w:val="zh-CN" w:eastAsia="zh-CN"/>
        </w:rPr>
        <w:t>及跨平台性。整体采用前后端分离的B/S模式，后端应采用微服务的架构设计，将系统拆分为多个可以插拔的服务，服务之间可以复用，隔离，独立演化，实现高内聚，低耦合。</w:t>
      </w:r>
    </w:p>
    <w:p w14:paraId="16D3B772">
      <w:pPr>
        <w:spacing w:line="360" w:lineRule="auto"/>
        <w:ind w:left="-4" w:right="2" w:firstLine="420"/>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val="zh-CN" w:eastAsia="zh-CN"/>
        </w:rPr>
        <w:t>此外，系统的设计和实施要充分考虑</w:t>
      </w:r>
      <w:r>
        <w:rPr>
          <w:rFonts w:hint="eastAsia" w:asciiTheme="minorEastAsia" w:hAnsiTheme="minorEastAsia" w:eastAsiaTheme="minorEastAsia" w:cstheme="minorEastAsia"/>
          <w:sz w:val="24"/>
          <w:lang w:val="en-US" w:eastAsia="zh-CN"/>
        </w:rPr>
        <w:t>企业现有</w:t>
      </w:r>
      <w:r>
        <w:rPr>
          <w:rFonts w:hint="eastAsia" w:asciiTheme="minorEastAsia" w:hAnsiTheme="minorEastAsia" w:eastAsiaTheme="minorEastAsia" w:cstheme="minorEastAsia"/>
          <w:sz w:val="24"/>
          <w:lang w:val="zh-CN" w:eastAsia="zh-CN"/>
        </w:rPr>
        <w:t>网络、硬件的扩展需要、应用系统二次开发的需要、以及支持未来可能出现的组织调整的需要。系统应采用开放的可扩充模块结构，保证以后可以方便地升级和不断迭代新功能。</w:t>
      </w:r>
    </w:p>
    <w:p w14:paraId="380B8F6D">
      <w:pPr>
        <w:spacing w:line="360" w:lineRule="auto"/>
        <w:ind w:left="-4" w:right="2" w:firstLine="420"/>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val="zh-CN" w:eastAsia="zh-CN"/>
        </w:rPr>
        <w:t>平台部署方式</w:t>
      </w:r>
      <w:r>
        <w:rPr>
          <w:rFonts w:hint="eastAsia" w:asciiTheme="minorEastAsia" w:hAnsiTheme="minorEastAsia" w:eastAsiaTheme="minorEastAsia" w:cstheme="minorEastAsia"/>
          <w:sz w:val="24"/>
          <w:lang w:val="en-US" w:eastAsia="zh-CN"/>
        </w:rPr>
        <w:t>应支持</w:t>
      </w:r>
      <w:r>
        <w:rPr>
          <w:rFonts w:hint="eastAsia" w:asciiTheme="minorEastAsia" w:hAnsiTheme="minorEastAsia" w:eastAsiaTheme="minorEastAsia" w:cstheme="minorEastAsia"/>
          <w:sz w:val="24"/>
          <w:lang w:val="zh-CN" w:eastAsia="zh-CN"/>
        </w:rPr>
        <w:t>景弘集团和子公司两级部署，既能满足各单位对</w:t>
      </w:r>
      <w:r>
        <w:rPr>
          <w:rFonts w:hint="eastAsia" w:asciiTheme="minorEastAsia" w:hAnsiTheme="minorEastAsia" w:eastAsiaTheme="minorEastAsia" w:cstheme="minorEastAsia"/>
          <w:sz w:val="24"/>
          <w:lang w:val="en-US" w:eastAsia="zh-CN"/>
        </w:rPr>
        <w:t>智能交互终端的</w:t>
      </w:r>
      <w:r>
        <w:rPr>
          <w:rFonts w:hint="eastAsia" w:asciiTheme="minorEastAsia" w:hAnsiTheme="minorEastAsia" w:eastAsiaTheme="minorEastAsia" w:cstheme="minorEastAsia"/>
          <w:sz w:val="24"/>
          <w:lang w:val="zh-CN" w:eastAsia="zh-CN"/>
        </w:rPr>
        <w:t>管理，也可实现景弘集团对全省子公司的统一监管和整体情指工作。采用两级部署还可充分利用各子公司现有基础设施，减轻景弘集团系统节点的工作压力，降低因景弘集团与子公司网络异常引起的系统故障。在景弘集团部署统一管理平台、</w:t>
      </w:r>
      <w:r>
        <w:rPr>
          <w:rFonts w:hint="eastAsia" w:asciiTheme="minorEastAsia" w:hAnsiTheme="minorEastAsia" w:eastAsiaTheme="minorEastAsia" w:cstheme="minorEastAsia"/>
          <w:sz w:val="24"/>
          <w:lang w:val="en-US" w:eastAsia="zh-CN"/>
        </w:rPr>
        <w:t>企业管理人员移动警务APP；</w:t>
      </w:r>
      <w:r>
        <w:rPr>
          <w:rFonts w:hint="eastAsia" w:asciiTheme="minorEastAsia" w:hAnsiTheme="minorEastAsia" w:eastAsiaTheme="minorEastAsia" w:cstheme="minorEastAsia"/>
          <w:sz w:val="24"/>
          <w:lang w:val="zh-CN" w:eastAsia="zh-CN"/>
        </w:rPr>
        <w:t>在子公司部署</w:t>
      </w:r>
      <w:r>
        <w:rPr>
          <w:rFonts w:hint="eastAsia" w:asciiTheme="minorEastAsia" w:hAnsiTheme="minorEastAsia" w:eastAsiaTheme="minorEastAsia" w:cstheme="minorEastAsia"/>
          <w:sz w:val="24"/>
          <w:lang w:val="en-US" w:eastAsia="zh-CN"/>
        </w:rPr>
        <w:t>员工APP和安装智能交互终端</w:t>
      </w:r>
      <w:r>
        <w:rPr>
          <w:rFonts w:hint="eastAsia" w:asciiTheme="minorEastAsia" w:hAnsiTheme="minorEastAsia" w:eastAsiaTheme="minorEastAsia" w:cstheme="minorEastAsia"/>
          <w:sz w:val="24"/>
          <w:lang w:val="zh-CN" w:eastAsia="zh-CN"/>
        </w:rPr>
        <w:t>。</w:t>
      </w:r>
    </w:p>
    <w:p w14:paraId="38667FEC">
      <w:pPr>
        <w:spacing w:line="360" w:lineRule="auto"/>
        <w:ind w:left="-4" w:right="2" w:firstLine="42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重点突出提供解决网络和数据共享交换的实现方案，一是关于泉州升华实业有限公司的现有政务网、教育网以及互联网之间的业务互联互通解决方案；二是关于泉州升华实业实业有限公司的应用如何与景弘集团的业务系统数据及即将建设的智算中心数据中心信息资源库的数据共享交换。</w:t>
      </w:r>
    </w:p>
    <w:p w14:paraId="28F38BEB">
      <w:pPr>
        <w:spacing w:line="360" w:lineRule="auto"/>
        <w:jc w:val="left"/>
        <w:outlineLvl w:val="2"/>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（四）功能性能要求</w:t>
      </w:r>
    </w:p>
    <w:p w14:paraId="36ACFC0C">
      <w:pPr>
        <w:spacing w:line="360" w:lineRule="auto"/>
        <w:ind w:firstLine="482"/>
        <w:rPr>
          <w:sz w:val="24"/>
        </w:rPr>
      </w:pPr>
      <w:r>
        <w:rPr>
          <w:sz w:val="24"/>
        </w:rPr>
        <w:t>系统要求满足</w:t>
      </w:r>
      <w:r>
        <w:rPr>
          <w:rFonts w:hint="eastAsia"/>
          <w:sz w:val="24"/>
        </w:rPr>
        <w:t>景弘集团</w:t>
      </w:r>
      <w:r>
        <w:rPr>
          <w:sz w:val="24"/>
        </w:rPr>
        <w:t>和</w:t>
      </w:r>
      <w:r>
        <w:rPr>
          <w:rFonts w:hint="eastAsia"/>
          <w:sz w:val="24"/>
          <w:lang w:val="en-US" w:eastAsia="zh-CN"/>
        </w:rPr>
        <w:t>一家</w:t>
      </w:r>
      <w:r>
        <w:rPr>
          <w:sz w:val="24"/>
        </w:rPr>
        <w:t>试点</w:t>
      </w:r>
      <w:r>
        <w:rPr>
          <w:rFonts w:hint="eastAsia"/>
          <w:sz w:val="24"/>
        </w:rPr>
        <w:t>子公司</w:t>
      </w:r>
      <w:r>
        <w:rPr>
          <w:sz w:val="24"/>
        </w:rPr>
        <w:t>使用。具体响应指标包括以下内容：</w:t>
      </w:r>
    </w:p>
    <w:p w14:paraId="06FC939D">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基本性能指标</w:t>
      </w:r>
    </w:p>
    <w:p w14:paraId="0745D98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稳定性需求：系统在常规压力下保持稳定运行7*24小时；</w:t>
      </w:r>
    </w:p>
    <w:p w14:paraId="5EC476A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扩展能力需求：系统架构支持横向扩展能力，可随业务量的增长进行必要的节点扩展；</w:t>
      </w:r>
    </w:p>
    <w:p w14:paraId="4C0DC5B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平台架构设计需确保系统信息流转的高效、顺畅、稳定、安全、可追溯；</w:t>
      </w:r>
    </w:p>
    <w:p w14:paraId="01621B9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系统用户数量</w:t>
      </w:r>
      <w:r>
        <w:rPr>
          <w:rFonts w:hint="eastAsia" w:ascii="宋体" w:hAnsi="宋体" w:cs="宋体"/>
          <w:color w:val="auto"/>
          <w:sz w:val="24"/>
          <w:szCs w:val="24"/>
          <w:lang w:eastAsia="zh-CN"/>
        </w:rPr>
        <w:t>（不含用户的历史数量）</w:t>
      </w:r>
      <w:r>
        <w:rPr>
          <w:rFonts w:hint="eastAsia" w:ascii="宋体" w:hAnsi="宋体" w:eastAsia="宋体" w:cs="宋体"/>
          <w:sz w:val="24"/>
          <w:szCs w:val="24"/>
        </w:rPr>
        <w:t>：系统用户数量＞</w:t>
      </w:r>
      <w:r>
        <w:rPr>
          <w:rFonts w:hint="eastAsia" w:ascii="宋体" w:hAnsi="宋体" w:cs="宋体"/>
          <w:sz w:val="24"/>
          <w:szCs w:val="24"/>
          <w:lang w:val="en-US" w:eastAsia="zh-CN"/>
        </w:rPr>
        <w:t>20</w:t>
      </w:r>
      <w:r>
        <w:rPr>
          <w:rFonts w:hint="eastAsia" w:ascii="宋体" w:hAnsi="宋体" w:eastAsia="宋体" w:cs="宋体"/>
          <w:sz w:val="24"/>
          <w:szCs w:val="24"/>
        </w:rPr>
        <w:t>0000人；</w:t>
      </w:r>
    </w:p>
    <w:p w14:paraId="7874D8F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系统在线用户数量：系统瞬时在线用户数＞</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rPr>
        <w:t>000人；</w:t>
      </w:r>
    </w:p>
    <w:p w14:paraId="2829352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系统并发用户数量：系统瞬时并发用户数＞</w:t>
      </w:r>
      <w:r>
        <w:rPr>
          <w:rFonts w:hint="eastAsia" w:ascii="宋体" w:hAnsi="宋体" w:cs="宋体"/>
          <w:sz w:val="24"/>
          <w:szCs w:val="24"/>
          <w:lang w:val="en-US" w:eastAsia="zh-CN"/>
        </w:rPr>
        <w:t>3000</w:t>
      </w:r>
      <w:r>
        <w:rPr>
          <w:rFonts w:hint="eastAsia" w:ascii="宋体" w:hAnsi="宋体" w:eastAsia="宋体" w:cs="宋体"/>
          <w:sz w:val="24"/>
          <w:szCs w:val="24"/>
        </w:rPr>
        <w:t>人；</w:t>
      </w:r>
    </w:p>
    <w:p w14:paraId="441DDC4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处理能力指标</w:t>
      </w:r>
    </w:p>
    <w:p w14:paraId="04134AEC">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性能需求：业务流转稳定性达到99.9%；</w:t>
      </w:r>
    </w:p>
    <w:p w14:paraId="785B71E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可靠性：在第三方业务系统对接数据缺失情况下，支持数据校验及异常处理机制，保证系统正常运行；</w:t>
      </w:r>
    </w:p>
    <w:p w14:paraId="4951A6F2">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可维护性：支持HTTP、MQ等协议的日志调用，实现业务流程的全流程跟踪，快速定位系统流转异常；</w:t>
      </w:r>
    </w:p>
    <w:p w14:paraId="4517CE7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稳定性指标</w:t>
      </w:r>
    </w:p>
    <w:p w14:paraId="672340F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支撑大量的政务应用，需要通过主备切换、负载均衡、备份等方式保证平台服务的高可用性，系统的年可用率≥99.9%，由于偶发性故障而发生自动热启动的平均次数＜2次/年。</w:t>
      </w:r>
    </w:p>
    <w:p w14:paraId="40E0A24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系统故障响应时间：</w:t>
      </w:r>
    </w:p>
    <w:p w14:paraId="0AB1B0EC">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严重：系统宕机或影响业务开展，30分钟之内或回滚；</w:t>
      </w:r>
    </w:p>
    <w:p w14:paraId="73E07C8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高：系统问题影响部分业务开展，4小时之内；</w:t>
      </w:r>
    </w:p>
    <w:p w14:paraId="1F2862FA">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中：系统问题影响少量业务开展，24小时之内；</w:t>
      </w:r>
    </w:p>
    <w:p w14:paraId="36409A8D">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低：系统问题不影响业务办理，运维修复或下个版本解决。</w:t>
      </w:r>
    </w:p>
    <w:p w14:paraId="46A2E9D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响应时间要求</w:t>
      </w:r>
    </w:p>
    <w:p w14:paraId="4657CF5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响应时间指标包括页面响应时间和数据响应时间。页面响应时间为用户点击操作页面后的反应，页面反应时间不超过</w:t>
      </w:r>
      <w:r>
        <w:rPr>
          <w:rFonts w:hint="eastAsia" w:ascii="宋体" w:hAnsi="宋体" w:cs="宋体"/>
          <w:sz w:val="24"/>
          <w:szCs w:val="24"/>
          <w:lang w:val="en-US" w:eastAsia="zh-CN"/>
        </w:rPr>
        <w:t>1000ms</w:t>
      </w:r>
      <w:r>
        <w:rPr>
          <w:rFonts w:hint="eastAsia" w:ascii="宋体" w:hAnsi="宋体" w:eastAsia="宋体" w:cs="宋体"/>
          <w:sz w:val="24"/>
          <w:szCs w:val="24"/>
        </w:rPr>
        <w:t>。数据响应时间为用户点击后的到结果的时间，包括服务器反应和数据传输到客户端，普通页面不超过2</w:t>
      </w:r>
      <w:r>
        <w:rPr>
          <w:rFonts w:hint="eastAsia" w:ascii="宋体" w:hAnsi="宋体" w:cs="宋体"/>
          <w:sz w:val="24"/>
          <w:szCs w:val="24"/>
          <w:lang w:val="en-US" w:eastAsia="zh-CN"/>
        </w:rPr>
        <w:t>000ms</w:t>
      </w:r>
      <w:r>
        <w:rPr>
          <w:rFonts w:hint="eastAsia" w:ascii="宋体" w:hAnsi="宋体" w:eastAsia="宋体" w:cs="宋体"/>
          <w:sz w:val="24"/>
          <w:szCs w:val="24"/>
        </w:rPr>
        <w:t>，跨年历史数据最大不超过3</w:t>
      </w:r>
      <w:r>
        <w:rPr>
          <w:rFonts w:hint="eastAsia" w:ascii="宋体" w:hAnsi="宋体" w:cs="宋体"/>
          <w:sz w:val="24"/>
          <w:szCs w:val="24"/>
          <w:lang w:val="en-US" w:eastAsia="zh-CN"/>
        </w:rPr>
        <w:t>000ms</w:t>
      </w:r>
      <w:r>
        <w:rPr>
          <w:rFonts w:hint="eastAsia" w:ascii="宋体" w:hAnsi="宋体" w:eastAsia="宋体" w:cs="宋体"/>
          <w:sz w:val="24"/>
          <w:szCs w:val="24"/>
        </w:rPr>
        <w:t>。根据业务处理类型的不同，把作业划分为交互类业务、查询类业务和统计分析类业务，分别给出响应时间要求的参考值，包括峰值响应时间和平均响应时间。</w:t>
      </w:r>
    </w:p>
    <w:p w14:paraId="60CCF159">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w:t>
      </w:r>
      <w:r>
        <w:rPr>
          <w:rFonts w:hint="eastAsia" w:ascii="宋体" w:hAnsi="宋体" w:eastAsia="宋体" w:cs="宋体"/>
          <w:sz w:val="24"/>
          <w:szCs w:val="24"/>
        </w:rPr>
        <w:t>交互类业务</w:t>
      </w:r>
    </w:p>
    <w:p w14:paraId="0D71402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交互类业务是指平时工作中在系统中进行的业务处理，如录入，修改或删除一条记录等操作。</w:t>
      </w:r>
    </w:p>
    <w:p w14:paraId="275F588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平均响应时间：不超过</w:t>
      </w:r>
      <w:r>
        <w:rPr>
          <w:rFonts w:hint="eastAsia" w:ascii="宋体" w:hAnsi="宋体" w:cs="宋体"/>
          <w:sz w:val="24"/>
          <w:szCs w:val="24"/>
          <w:lang w:val="en-US" w:eastAsia="zh-CN"/>
        </w:rPr>
        <w:t>1000ms</w:t>
      </w:r>
      <w:r>
        <w:rPr>
          <w:rFonts w:hint="eastAsia" w:ascii="宋体" w:hAnsi="宋体" w:eastAsia="宋体" w:cs="宋体"/>
          <w:sz w:val="24"/>
          <w:szCs w:val="24"/>
        </w:rPr>
        <w:t>。</w:t>
      </w:r>
    </w:p>
    <w:p w14:paraId="74BE9F0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峰值响应时间：不超过</w:t>
      </w:r>
      <w:r>
        <w:rPr>
          <w:rFonts w:hint="eastAsia" w:ascii="宋体" w:hAnsi="宋体" w:cs="宋体"/>
          <w:sz w:val="24"/>
          <w:szCs w:val="24"/>
          <w:lang w:val="en-US" w:eastAsia="zh-CN"/>
        </w:rPr>
        <w:t>2000ms</w:t>
      </w:r>
      <w:r>
        <w:rPr>
          <w:rFonts w:hint="eastAsia" w:ascii="宋体" w:hAnsi="宋体" w:eastAsia="宋体" w:cs="宋体"/>
          <w:sz w:val="24"/>
          <w:szCs w:val="24"/>
        </w:rPr>
        <w:t>。</w:t>
      </w:r>
    </w:p>
    <w:p w14:paraId="28FE11EA">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w:t>
      </w:r>
      <w:r>
        <w:rPr>
          <w:rFonts w:hint="eastAsia" w:ascii="宋体" w:hAnsi="宋体" w:eastAsia="宋体" w:cs="宋体"/>
          <w:sz w:val="24"/>
          <w:szCs w:val="24"/>
        </w:rPr>
        <w:t>查询类业务</w:t>
      </w:r>
    </w:p>
    <w:p w14:paraId="403E3FD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如信息查询、统计报表生成或决策支持的信息查询等。查询业务由于受到查询的复杂程度、查询的数据量大小等因素的影响，需要根据具体情况而定，在此给出三个参考范围。</w:t>
      </w:r>
    </w:p>
    <w:p w14:paraId="7FBA779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简单查询平均响应时间：不超过</w:t>
      </w:r>
      <w:r>
        <w:rPr>
          <w:rFonts w:hint="eastAsia" w:ascii="宋体" w:hAnsi="宋体" w:cs="宋体"/>
          <w:sz w:val="24"/>
          <w:szCs w:val="24"/>
          <w:lang w:val="en-US" w:eastAsia="zh-CN"/>
        </w:rPr>
        <w:t>1000ms</w:t>
      </w:r>
      <w:r>
        <w:rPr>
          <w:rFonts w:hint="eastAsia" w:ascii="宋体" w:hAnsi="宋体" w:eastAsia="宋体" w:cs="宋体"/>
          <w:sz w:val="24"/>
          <w:szCs w:val="24"/>
        </w:rPr>
        <w:t>。</w:t>
      </w:r>
    </w:p>
    <w:p w14:paraId="45B24B8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复杂查询平均响应时间：不超过</w:t>
      </w:r>
      <w:r>
        <w:rPr>
          <w:rFonts w:hint="eastAsia" w:ascii="宋体" w:hAnsi="宋体" w:cs="宋体"/>
          <w:sz w:val="24"/>
          <w:szCs w:val="24"/>
          <w:lang w:val="en-US" w:eastAsia="zh-CN"/>
        </w:rPr>
        <w:t>3000ms</w:t>
      </w:r>
      <w:r>
        <w:rPr>
          <w:rFonts w:hint="eastAsia" w:ascii="宋体" w:hAnsi="宋体" w:eastAsia="宋体" w:cs="宋体"/>
          <w:sz w:val="24"/>
          <w:szCs w:val="24"/>
        </w:rPr>
        <w:t>。</w:t>
      </w:r>
    </w:p>
    <w:p w14:paraId="2500A41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极限数据查询时间：最大样本量时数据查询时间不超过</w:t>
      </w:r>
      <w:r>
        <w:rPr>
          <w:rFonts w:hint="eastAsia" w:ascii="宋体" w:hAnsi="宋体" w:cs="宋体"/>
          <w:sz w:val="24"/>
          <w:szCs w:val="24"/>
          <w:lang w:val="en-US" w:eastAsia="zh-CN"/>
        </w:rPr>
        <w:t>10000ms</w:t>
      </w:r>
      <w:r>
        <w:rPr>
          <w:rFonts w:hint="eastAsia" w:ascii="宋体" w:hAnsi="宋体" w:eastAsia="宋体" w:cs="宋体"/>
          <w:sz w:val="24"/>
          <w:szCs w:val="24"/>
        </w:rPr>
        <w:t>。</w:t>
      </w:r>
    </w:p>
    <w:p w14:paraId="2F7C08B1">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eastAsia="zh-CN"/>
        </w:rPr>
        <w:t>）</w:t>
      </w:r>
      <w:r>
        <w:rPr>
          <w:rFonts w:hint="eastAsia" w:ascii="宋体" w:hAnsi="宋体" w:eastAsia="宋体" w:cs="宋体"/>
          <w:sz w:val="24"/>
          <w:szCs w:val="24"/>
        </w:rPr>
        <w:t>统计分析类业务</w:t>
      </w:r>
    </w:p>
    <w:p w14:paraId="40C6B4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一般统计时间：不超过</w:t>
      </w:r>
      <w:r>
        <w:rPr>
          <w:rFonts w:hint="eastAsia" w:ascii="宋体" w:hAnsi="宋体" w:cs="宋体"/>
          <w:sz w:val="24"/>
          <w:szCs w:val="24"/>
          <w:lang w:val="en-US" w:eastAsia="zh-CN"/>
        </w:rPr>
        <w:t>1000ms</w:t>
      </w:r>
      <w:r>
        <w:rPr>
          <w:rFonts w:hint="eastAsia" w:ascii="宋体" w:hAnsi="宋体" w:eastAsia="宋体" w:cs="宋体"/>
          <w:sz w:val="24"/>
          <w:szCs w:val="24"/>
        </w:rPr>
        <w:t>。</w:t>
      </w:r>
    </w:p>
    <w:p w14:paraId="539CEC4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一般分析时间：不超过</w:t>
      </w:r>
      <w:r>
        <w:rPr>
          <w:rFonts w:hint="eastAsia" w:ascii="宋体" w:hAnsi="宋体" w:cs="宋体"/>
          <w:sz w:val="24"/>
          <w:szCs w:val="24"/>
          <w:lang w:val="en-US" w:eastAsia="zh-CN"/>
        </w:rPr>
        <w:t>3000ms</w:t>
      </w:r>
      <w:r>
        <w:rPr>
          <w:rFonts w:hint="eastAsia" w:ascii="宋体" w:hAnsi="宋体" w:eastAsia="宋体" w:cs="宋体"/>
          <w:sz w:val="24"/>
          <w:szCs w:val="24"/>
        </w:rPr>
        <w:t>。</w:t>
      </w:r>
    </w:p>
    <w:p w14:paraId="4F524CE3">
      <w:pPr>
        <w:pStyle w:val="27"/>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（4）并发指标要求</w:t>
      </w:r>
    </w:p>
    <w:p w14:paraId="797DA6AE">
      <w:pPr>
        <w:pStyle w:val="27"/>
        <w:widowControl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val="en-US" w:eastAsia="zh-CN"/>
        </w:rPr>
        <w:t>景弘集团</w:t>
      </w:r>
      <w:r>
        <w:rPr>
          <w:rFonts w:hint="eastAsia" w:ascii="宋体" w:hAnsi="宋体" w:eastAsia="宋体" w:cs="宋体"/>
          <w:sz w:val="24"/>
          <w:szCs w:val="24"/>
        </w:rPr>
        <w:t>、</w:t>
      </w:r>
      <w:r>
        <w:rPr>
          <w:rFonts w:hint="eastAsia" w:ascii="宋体" w:hAnsi="宋体" w:eastAsia="宋体" w:cs="宋体"/>
          <w:b w:val="0"/>
          <w:bCs w:val="0"/>
          <w:kern w:val="2"/>
          <w:sz w:val="24"/>
          <w:szCs w:val="24"/>
          <w:lang w:val="en-US" w:eastAsia="zh-CN" w:bidi="ar-SA"/>
        </w:rPr>
        <w:t>泉州</w:t>
      </w:r>
      <w:r>
        <w:rPr>
          <w:rFonts w:hint="eastAsia" w:ascii="宋体" w:hAnsi="宋体" w:eastAsia="宋体" w:cs="宋体"/>
          <w:sz w:val="24"/>
          <w:szCs w:val="24"/>
          <w:lang w:val="en-US" w:eastAsia="zh-CN"/>
        </w:rPr>
        <w:t>升华实业有限公司</w:t>
      </w:r>
      <w:r>
        <w:rPr>
          <w:rFonts w:hint="eastAsia" w:ascii="宋体" w:hAnsi="宋体" w:eastAsia="宋体" w:cs="宋体"/>
          <w:sz w:val="24"/>
          <w:szCs w:val="24"/>
        </w:rPr>
        <w:t>的工作人员</w:t>
      </w:r>
      <w:r>
        <w:rPr>
          <w:rFonts w:hint="eastAsia" w:ascii="宋体" w:hAnsi="宋体" w:eastAsia="宋体" w:cs="宋体"/>
          <w:sz w:val="24"/>
          <w:szCs w:val="24"/>
          <w:lang w:val="en-US" w:eastAsia="zh-CN"/>
        </w:rPr>
        <w:t>及企业员工的</w:t>
      </w:r>
      <w:r>
        <w:rPr>
          <w:rFonts w:hint="eastAsia" w:ascii="宋体" w:hAnsi="宋体" w:eastAsia="宋体" w:cs="宋体"/>
          <w:sz w:val="24"/>
          <w:szCs w:val="24"/>
        </w:rPr>
        <w:t>访问，满足并发用户数不少于</w:t>
      </w:r>
      <w:r>
        <w:rPr>
          <w:rFonts w:hint="eastAsia" w:ascii="宋体" w:hAnsi="宋体" w:eastAsia="宋体" w:cs="宋体"/>
          <w:sz w:val="24"/>
          <w:szCs w:val="24"/>
          <w:lang w:val="en-US" w:eastAsia="zh-CN"/>
        </w:rPr>
        <w:t>6</w:t>
      </w:r>
      <w:r>
        <w:rPr>
          <w:rFonts w:hint="eastAsia" w:ascii="宋体" w:hAnsi="宋体" w:eastAsia="宋体" w:cs="宋体"/>
          <w:sz w:val="24"/>
          <w:szCs w:val="24"/>
        </w:rPr>
        <w:t>000人同时访问。</w:t>
      </w:r>
    </w:p>
    <w:p w14:paraId="5A0E1A40">
      <w:pPr>
        <w:spacing w:line="360" w:lineRule="auto"/>
        <w:outlineLvl w:val="2"/>
        <w:rPr>
          <w:b/>
          <w:bCs/>
          <w:sz w:val="24"/>
        </w:rPr>
      </w:pPr>
      <w:r>
        <w:rPr>
          <w:rFonts w:hint="eastAsia"/>
          <w:b/>
          <w:bCs/>
          <w:sz w:val="24"/>
        </w:rPr>
        <w:t>（</w:t>
      </w:r>
      <w:r>
        <w:rPr>
          <w:rFonts w:hint="eastAsia"/>
          <w:b/>
          <w:bCs/>
          <w:sz w:val="24"/>
          <w:lang w:val="en-US" w:eastAsia="zh-CN"/>
        </w:rPr>
        <w:t>五</w:t>
      </w:r>
      <w:r>
        <w:rPr>
          <w:rFonts w:hint="eastAsia"/>
          <w:b/>
          <w:bCs/>
          <w:sz w:val="24"/>
        </w:rPr>
        <w:t>）</w:t>
      </w:r>
      <w:r>
        <w:rPr>
          <w:rFonts w:hint="eastAsia"/>
          <w:b/>
          <w:bCs/>
          <w:sz w:val="24"/>
          <w:lang w:val="en-US" w:eastAsia="zh-CN"/>
        </w:rPr>
        <w:t>接口</w:t>
      </w:r>
      <w:r>
        <w:rPr>
          <w:b/>
          <w:bCs/>
          <w:sz w:val="24"/>
        </w:rPr>
        <w:t>要求</w:t>
      </w:r>
    </w:p>
    <w:p w14:paraId="078904F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本次建设</w:t>
      </w:r>
      <w:r>
        <w:rPr>
          <w:rFonts w:hint="eastAsia" w:ascii="宋体" w:hAnsi="宋体" w:eastAsia="宋体" w:cs="宋体"/>
          <w:sz w:val="24"/>
          <w:szCs w:val="24"/>
          <w:lang w:val="en-US" w:eastAsia="zh-CN"/>
        </w:rPr>
        <w:t>员工一体化交互</w:t>
      </w:r>
      <w:r>
        <w:rPr>
          <w:rFonts w:hint="eastAsia" w:ascii="宋体" w:hAnsi="宋体" w:eastAsia="宋体" w:cs="宋体"/>
          <w:sz w:val="24"/>
          <w:szCs w:val="24"/>
        </w:rPr>
        <w:t>平台</w:t>
      </w:r>
      <w:r>
        <w:rPr>
          <w:rFonts w:hint="eastAsia" w:ascii="宋体" w:hAnsi="宋体" w:eastAsia="宋体" w:cs="宋体"/>
          <w:sz w:val="24"/>
          <w:szCs w:val="24"/>
          <w:lang w:val="en-US" w:eastAsia="zh-CN"/>
        </w:rPr>
        <w:t>通过景弘集团智算中心资源信息库系统的数据共享交换和业务实时交互，</w:t>
      </w:r>
      <w:r>
        <w:rPr>
          <w:rFonts w:hint="eastAsia" w:ascii="宋体" w:hAnsi="宋体" w:eastAsia="宋体" w:cs="宋体"/>
          <w:sz w:val="24"/>
          <w:szCs w:val="24"/>
        </w:rPr>
        <w:t>将</w:t>
      </w:r>
      <w:r>
        <w:rPr>
          <w:rFonts w:hint="eastAsia" w:ascii="宋体" w:hAnsi="宋体" w:eastAsia="宋体" w:cs="宋体"/>
          <w:sz w:val="24"/>
          <w:szCs w:val="24"/>
          <w:lang w:val="en-US" w:eastAsia="zh-CN"/>
        </w:rPr>
        <w:t>狱政刑执软件和数智一体化平台的</w:t>
      </w:r>
      <w:r>
        <w:rPr>
          <w:rFonts w:hint="eastAsia" w:ascii="宋体" w:hAnsi="宋体" w:eastAsia="宋体" w:cs="宋体"/>
          <w:sz w:val="24"/>
          <w:szCs w:val="24"/>
          <w:lang w:eastAsia="zh-CN"/>
        </w:rPr>
        <w:t>企业员工</w:t>
      </w:r>
      <w:r>
        <w:rPr>
          <w:rFonts w:hint="eastAsia" w:ascii="宋体" w:hAnsi="宋体" w:eastAsia="宋体" w:cs="宋体"/>
          <w:sz w:val="24"/>
          <w:szCs w:val="24"/>
          <w:lang w:val="en-US" w:eastAsia="zh-CN"/>
        </w:rPr>
        <w:t>基础数</w:t>
      </w:r>
      <w:r>
        <w:rPr>
          <w:rFonts w:hint="eastAsia" w:ascii="宋体" w:hAnsi="宋体" w:eastAsia="宋体" w:cs="宋体"/>
          <w:sz w:val="24"/>
          <w:szCs w:val="24"/>
        </w:rPr>
        <w:t>据、</w:t>
      </w:r>
      <w:r>
        <w:rPr>
          <w:rFonts w:hint="eastAsia" w:ascii="宋体" w:hAnsi="宋体" w:cs="宋体"/>
          <w:sz w:val="24"/>
          <w:szCs w:val="24"/>
          <w:lang w:eastAsia="zh-CN"/>
        </w:rPr>
        <w:t>管理人员</w:t>
      </w:r>
      <w:r>
        <w:rPr>
          <w:rFonts w:hint="eastAsia" w:ascii="宋体" w:hAnsi="宋体" w:eastAsia="宋体" w:cs="宋体"/>
          <w:sz w:val="24"/>
          <w:szCs w:val="24"/>
        </w:rPr>
        <w:t>数据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狱政管理数据、</w:t>
      </w:r>
      <w:r>
        <w:rPr>
          <w:rFonts w:hint="eastAsia" w:ascii="宋体" w:hAnsi="宋体" w:eastAsia="宋体" w:cs="宋体"/>
          <w:sz w:val="24"/>
          <w:szCs w:val="24"/>
        </w:rPr>
        <w:t>狱内侦查数据、</w:t>
      </w:r>
      <w:r>
        <w:rPr>
          <w:rFonts w:hint="eastAsia" w:ascii="宋体" w:hAnsi="宋体" w:eastAsia="宋体" w:cs="宋体"/>
          <w:sz w:val="24"/>
          <w:szCs w:val="24"/>
          <w:lang w:val="en-US" w:eastAsia="zh-CN"/>
        </w:rPr>
        <w:t>刑罚执行数据、</w:t>
      </w:r>
      <w:r>
        <w:rPr>
          <w:rFonts w:hint="eastAsia" w:ascii="宋体" w:hAnsi="宋体" w:eastAsia="宋体" w:cs="宋体"/>
          <w:sz w:val="24"/>
          <w:szCs w:val="24"/>
        </w:rPr>
        <w:t>劳动改造数据、</w:t>
      </w:r>
      <w:r>
        <w:rPr>
          <w:rFonts w:hint="eastAsia" w:ascii="宋体" w:hAnsi="宋体" w:eastAsia="宋体" w:cs="宋体"/>
          <w:sz w:val="24"/>
          <w:szCs w:val="24"/>
          <w:lang w:eastAsia="zh-CN"/>
        </w:rPr>
        <w:t>企业员工</w:t>
      </w:r>
      <w:r>
        <w:rPr>
          <w:rFonts w:hint="eastAsia" w:ascii="宋体" w:hAnsi="宋体" w:eastAsia="宋体" w:cs="宋体"/>
          <w:sz w:val="24"/>
          <w:szCs w:val="24"/>
        </w:rPr>
        <w:t>管控数据等相关的业务数据共享至</w:t>
      </w:r>
      <w:r>
        <w:rPr>
          <w:rFonts w:hint="eastAsia" w:ascii="宋体" w:hAnsi="宋体" w:eastAsia="宋体" w:cs="宋体"/>
          <w:sz w:val="24"/>
          <w:szCs w:val="24"/>
          <w:lang w:val="en-US" w:eastAsia="zh-CN"/>
        </w:rPr>
        <w:t>企业员工应用程序和</w:t>
      </w:r>
      <w:r>
        <w:rPr>
          <w:rFonts w:hint="eastAsia" w:ascii="宋体" w:hAnsi="宋体" w:cs="宋体"/>
          <w:sz w:val="24"/>
          <w:szCs w:val="24"/>
          <w:lang w:val="en-US" w:eastAsia="zh-CN"/>
        </w:rPr>
        <w:t>管理人员</w:t>
      </w:r>
      <w:r>
        <w:rPr>
          <w:rFonts w:hint="eastAsia" w:ascii="宋体" w:hAnsi="宋体" w:eastAsia="宋体" w:cs="宋体"/>
          <w:sz w:val="24"/>
          <w:szCs w:val="24"/>
          <w:lang w:val="en-US" w:eastAsia="zh-CN"/>
        </w:rPr>
        <w:t>业务办理系统中</w:t>
      </w:r>
      <w:r>
        <w:rPr>
          <w:rFonts w:hint="eastAsia" w:ascii="宋体" w:hAnsi="宋体" w:eastAsia="宋体" w:cs="宋体"/>
          <w:sz w:val="24"/>
          <w:szCs w:val="24"/>
        </w:rPr>
        <w:t>；</w:t>
      </w:r>
      <w:r>
        <w:rPr>
          <w:rFonts w:hint="eastAsia" w:ascii="宋体" w:hAnsi="宋体" w:eastAsia="宋体" w:cs="宋体"/>
          <w:sz w:val="24"/>
          <w:szCs w:val="24"/>
          <w:lang w:val="en-US" w:eastAsia="zh-CN"/>
        </w:rPr>
        <w:t>实现企业员工的日常改造业务办理和</w:t>
      </w:r>
      <w:r>
        <w:rPr>
          <w:rFonts w:hint="eastAsia" w:ascii="宋体" w:hAnsi="宋体" w:cs="宋体"/>
          <w:sz w:val="24"/>
          <w:szCs w:val="24"/>
          <w:lang w:val="en-US" w:eastAsia="zh-CN"/>
        </w:rPr>
        <w:t>管理人员</w:t>
      </w:r>
      <w:r>
        <w:rPr>
          <w:rFonts w:hint="eastAsia" w:ascii="宋体" w:hAnsi="宋体" w:eastAsia="宋体" w:cs="宋体"/>
          <w:sz w:val="24"/>
          <w:szCs w:val="24"/>
          <w:lang w:val="en-US" w:eastAsia="zh-CN"/>
        </w:rPr>
        <w:t>的日常执法执勤业务的办理</w:t>
      </w:r>
      <w:r>
        <w:rPr>
          <w:rFonts w:hint="eastAsia" w:ascii="宋体" w:hAnsi="宋体" w:eastAsia="宋体" w:cs="宋体"/>
          <w:sz w:val="24"/>
          <w:szCs w:val="24"/>
        </w:rPr>
        <w:t>。实现数据统一标准、高度共享、安全可控。</w:t>
      </w:r>
      <w:r>
        <w:rPr>
          <w:rFonts w:hint="eastAsia" w:ascii="宋体" w:hAnsi="宋体" w:eastAsia="宋体" w:cs="宋体"/>
          <w:sz w:val="24"/>
          <w:szCs w:val="24"/>
          <w:lang w:val="en-US" w:eastAsia="zh-CN"/>
        </w:rPr>
        <w:t>同时满足企业员工一体化平台中的企业员工应用程序的业务数据自动汇聚</w:t>
      </w:r>
      <w:r>
        <w:rPr>
          <w:rFonts w:hint="eastAsia" w:ascii="宋体" w:hAnsi="宋体" w:eastAsia="宋体" w:cs="宋体"/>
          <w:color w:val="auto"/>
          <w:sz w:val="24"/>
          <w:szCs w:val="24"/>
          <w:lang w:val="en-US" w:eastAsia="zh-CN"/>
        </w:rPr>
        <w:t>到景弘集团数</w:t>
      </w:r>
      <w:r>
        <w:rPr>
          <w:rFonts w:hint="eastAsia" w:ascii="宋体" w:hAnsi="宋体" w:eastAsia="宋体" w:cs="宋体"/>
          <w:sz w:val="24"/>
          <w:szCs w:val="24"/>
          <w:lang w:val="en-US" w:eastAsia="zh-CN"/>
        </w:rPr>
        <w:t>据中心。</w:t>
      </w:r>
    </w:p>
    <w:p w14:paraId="5CAAAF96">
      <w:pPr>
        <w:pStyle w:val="28"/>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系统可扩展性</w:t>
      </w:r>
    </w:p>
    <w:p w14:paraId="1F9286F0">
      <w:pPr>
        <w:pStyle w:val="28"/>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系统采用模块化的体系结构，在中间件和分层架构的基础上，支持功能模块动态插入、支持系统规模动态扩展，满足系统快速成长的基本要求。</w:t>
      </w:r>
    </w:p>
    <w:p w14:paraId="2F43FA9B">
      <w:pPr>
        <w:pStyle w:val="28"/>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系统可靠性</w:t>
      </w:r>
    </w:p>
    <w:p w14:paraId="2D2C5248">
      <w:pPr>
        <w:pStyle w:val="28"/>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平台设计保证系统运行稳定、安全可靠。平台中的各子系统应采用多种容错手段，主要设备采用双机工作方式，保证系统可靠、正常运行。</w:t>
      </w:r>
    </w:p>
    <w:p w14:paraId="603D58EC">
      <w:pPr>
        <w:pStyle w:val="28"/>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系统可移植性</w:t>
      </w:r>
    </w:p>
    <w:p w14:paraId="232B8E1D">
      <w:pPr>
        <w:pStyle w:val="28"/>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系统支持对现有系统的接入；需兼容目前市面国产化的主流关系型数据库及主流操作系统。</w:t>
      </w:r>
    </w:p>
    <w:p w14:paraId="70049F2C">
      <w:pPr>
        <w:spacing w:line="360" w:lineRule="auto"/>
        <w:outlineLvl w:val="2"/>
        <w:rPr>
          <w:b/>
          <w:bCs/>
          <w:sz w:val="24"/>
        </w:rPr>
      </w:pPr>
      <w:r>
        <w:rPr>
          <w:rFonts w:hint="eastAsia"/>
          <w:b/>
          <w:bCs/>
          <w:sz w:val="24"/>
        </w:rPr>
        <w:t>（</w:t>
      </w:r>
      <w:r>
        <w:rPr>
          <w:rFonts w:hint="eastAsia"/>
          <w:b/>
          <w:bCs/>
          <w:sz w:val="24"/>
          <w:lang w:val="en-US" w:eastAsia="zh-CN"/>
        </w:rPr>
        <w:t>六</w:t>
      </w:r>
      <w:r>
        <w:rPr>
          <w:rFonts w:hint="eastAsia"/>
          <w:b/>
          <w:bCs/>
          <w:sz w:val="24"/>
        </w:rPr>
        <w:t>）</w:t>
      </w:r>
      <w:r>
        <w:rPr>
          <w:b/>
          <w:bCs/>
          <w:sz w:val="24"/>
        </w:rPr>
        <w:t>系统培训要求</w:t>
      </w:r>
    </w:p>
    <w:p w14:paraId="0E2401C8">
      <w:pPr>
        <w:pStyle w:val="28"/>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培训阶段工作是整个项目实施工作中非常重要的工作，用户对软件的操作功能是否熟练将直接影响到后面的软件应用效果，所以中标人和用户双方要对此阶段的工作给予足够的重视。要充分认识培训的重要性和艰巨性。在项目实施之前对用户的相关人员进行系统和规范的产品培训，达到让用户对软件熟练操作，最终自己能够解决使用中的具体的问题。软件系统的培训要求如下：</w:t>
      </w:r>
    </w:p>
    <w:p w14:paraId="3D22F2D9">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ascii="Times New Roman" w:hAnsi="Times New Roman" w:cs="Times New Roman"/>
        </w:rPr>
        <w:t>中标人应提供对软件使用人员和管理人员的培训，培训内容包括软件的使用及维护培训，使受训者能够独立、熟练地完成系统运行维护与操作，实现依据本合同所规定的系统运行保障的目标。</w:t>
      </w:r>
    </w:p>
    <w:p w14:paraId="23734314">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ascii="Times New Roman" w:hAnsi="Times New Roman" w:cs="Times New Roman"/>
        </w:rPr>
        <w:t>中标人应为所有被培训人员提供培训资料，如操作手册、视频等。</w:t>
      </w:r>
    </w:p>
    <w:p w14:paraId="2AD39163">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ascii="Times New Roman" w:hAnsi="Times New Roman" w:cs="Times New Roman"/>
        </w:rPr>
        <w:t>培训时间、培训方式、培训地点应在软件开发完毕后由</w:t>
      </w:r>
      <w:r>
        <w:rPr>
          <w:rFonts w:hint="eastAsia" w:ascii="Times New Roman" w:hAnsi="Times New Roman" w:cs="Times New Roman"/>
          <w:lang w:eastAsia="zh-CN"/>
        </w:rPr>
        <w:t>招标人</w:t>
      </w:r>
      <w:r>
        <w:rPr>
          <w:rFonts w:ascii="Times New Roman" w:hAnsi="Times New Roman" w:cs="Times New Roman"/>
        </w:rPr>
        <w:t>和中标人共同商定，并提供具体的培训方案。</w:t>
      </w:r>
    </w:p>
    <w:p w14:paraId="61A0AABA">
      <w:pPr>
        <w:spacing w:line="360" w:lineRule="auto"/>
        <w:outlineLvl w:val="2"/>
        <w:rPr>
          <w:b/>
          <w:bCs/>
          <w:sz w:val="24"/>
        </w:rPr>
      </w:pPr>
      <w:r>
        <w:rPr>
          <w:rFonts w:hint="eastAsia"/>
          <w:b/>
          <w:bCs/>
          <w:sz w:val="24"/>
        </w:rPr>
        <w:t>（</w:t>
      </w:r>
      <w:r>
        <w:rPr>
          <w:rFonts w:hint="eastAsia"/>
          <w:b/>
          <w:bCs/>
          <w:sz w:val="24"/>
          <w:lang w:val="en-US" w:eastAsia="zh-CN"/>
        </w:rPr>
        <w:t>七</w:t>
      </w:r>
      <w:r>
        <w:rPr>
          <w:rFonts w:hint="eastAsia"/>
          <w:b/>
          <w:bCs/>
          <w:sz w:val="24"/>
        </w:rPr>
        <w:t>）</w:t>
      </w:r>
      <w:r>
        <w:rPr>
          <w:b/>
          <w:bCs/>
          <w:sz w:val="24"/>
        </w:rPr>
        <w:t>系统试运行要求</w:t>
      </w:r>
    </w:p>
    <w:p w14:paraId="08ADBF0F">
      <w:pPr>
        <w:pStyle w:val="11"/>
        <w:spacing w:before="0" w:beforeAutospacing="0" w:after="0" w:afterAutospacing="0" w:line="360" w:lineRule="auto"/>
        <w:ind w:firstLine="480" w:firstLineChars="200"/>
        <w:rPr>
          <w:rFonts w:ascii="Times New Roman" w:hAnsi="Times New Roman" w:cs="Times New Roman"/>
          <w:color w:val="auto"/>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ascii="Times New Roman" w:hAnsi="Times New Roman" w:cs="Times New Roman"/>
        </w:rPr>
        <w:t>此阶段的主要工作是在真实环境下，利用正式的网络及硬件设备对软件系统进行容量、性能压力等测试，试运行的目的在于确保软件系统各项功能均能正常使用，并且符合用户要求的</w:t>
      </w:r>
      <w:r>
        <w:rPr>
          <w:rFonts w:ascii="Times New Roman" w:hAnsi="Times New Roman" w:cs="Times New Roman"/>
          <w:color w:val="auto"/>
        </w:rPr>
        <w:t>功能需求描述，同时把尽可能多的潜在问题在正式运行之前发现并改正。还在于在正式运行前用户的有关人员能进一步提高操作水平，掌握操作规范，熟悉系统使用。</w:t>
      </w:r>
    </w:p>
    <w:p w14:paraId="7618C247">
      <w:pPr>
        <w:pStyle w:val="11"/>
        <w:spacing w:before="0" w:beforeAutospacing="0" w:after="0" w:afterAutospacing="0" w:line="360" w:lineRule="auto"/>
        <w:ind w:firstLine="480" w:firstLineChars="200"/>
        <w:rPr>
          <w:rFonts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w:t>
      </w:r>
      <w:r>
        <w:rPr>
          <w:rFonts w:hint="eastAsia" w:ascii="Times New Roman" w:hAnsi="Times New Roman" w:cs="Times New Roman"/>
          <w:color w:val="auto"/>
          <w:lang w:eastAsia="zh-CN"/>
        </w:rPr>
        <w:t>）</w:t>
      </w:r>
      <w:r>
        <w:rPr>
          <w:rFonts w:ascii="Times New Roman" w:hAnsi="Times New Roman" w:cs="Times New Roman"/>
          <w:color w:val="auto"/>
        </w:rPr>
        <w:t>本项目</w:t>
      </w:r>
      <w:r>
        <w:rPr>
          <w:rFonts w:hint="eastAsia" w:ascii="Times New Roman" w:hAnsi="Times New Roman" w:cs="Times New Roman"/>
          <w:color w:val="auto"/>
          <w:lang w:eastAsia="zh-CN"/>
        </w:rPr>
        <w:t>建设完成，经招标人或本项目监理单位确认后，开始进行</w:t>
      </w:r>
      <w:r>
        <w:rPr>
          <w:rFonts w:hint="eastAsia" w:ascii="Times New Roman" w:hAnsi="Times New Roman" w:cs="Times New Roman"/>
          <w:color w:val="auto"/>
          <w:lang w:val="en-US" w:eastAsia="zh-CN"/>
        </w:rPr>
        <w:t>90</w:t>
      </w:r>
      <w:r>
        <w:rPr>
          <w:rFonts w:ascii="Times New Roman" w:hAnsi="Times New Roman" w:cs="Times New Roman"/>
          <w:color w:val="auto"/>
        </w:rPr>
        <w:t>天</w:t>
      </w:r>
      <w:r>
        <w:rPr>
          <w:rFonts w:hint="eastAsia" w:ascii="Times New Roman" w:hAnsi="Times New Roman" w:cs="Times New Roman"/>
          <w:color w:val="auto"/>
          <w:lang w:eastAsia="zh-CN"/>
        </w:rPr>
        <w:t>的</w:t>
      </w:r>
      <w:r>
        <w:rPr>
          <w:rFonts w:ascii="Times New Roman" w:hAnsi="Times New Roman" w:cs="Times New Roman"/>
          <w:color w:val="auto"/>
        </w:rPr>
        <w:t>试运行期，试运行期系统运行稳定可</w:t>
      </w:r>
      <w:r>
        <w:rPr>
          <w:rFonts w:hint="eastAsia" w:ascii="Times New Roman" w:hAnsi="Times New Roman" w:cs="Times New Roman"/>
          <w:color w:val="auto"/>
          <w:lang w:eastAsia="zh-CN"/>
        </w:rPr>
        <w:t>向招标人或本项目监理单位申请</w:t>
      </w:r>
      <w:r>
        <w:rPr>
          <w:rFonts w:ascii="Times New Roman" w:hAnsi="Times New Roman" w:cs="Times New Roman"/>
          <w:color w:val="auto"/>
        </w:rPr>
        <w:t>进行项目验收。</w:t>
      </w:r>
    </w:p>
    <w:p w14:paraId="10D41AD0">
      <w:pPr>
        <w:spacing w:line="360" w:lineRule="auto"/>
        <w:outlineLvl w:val="2"/>
        <w:rPr>
          <w:rFonts w:hint="eastAsia" w:ascii="Times New Roman" w:hAnsi="Times New Roman" w:eastAsia="宋体" w:cs="Times New Roman"/>
          <w:b/>
          <w:bCs/>
          <w:color w:val="auto"/>
          <w:sz w:val="24"/>
          <w:lang w:eastAsia="zh-CN"/>
        </w:rPr>
      </w:pPr>
      <w:bookmarkStart w:id="65" w:name="_Toc105074218"/>
      <w:r>
        <w:rPr>
          <w:rFonts w:hint="eastAsia" w:ascii="Times New Roman" w:hAnsi="Times New Roman" w:cs="Times New Roman"/>
          <w:b/>
          <w:bCs/>
          <w:color w:val="auto"/>
          <w:sz w:val="24"/>
        </w:rPr>
        <w:t>（</w:t>
      </w:r>
      <w:r>
        <w:rPr>
          <w:rFonts w:hint="eastAsia" w:ascii="Times New Roman" w:hAnsi="Times New Roman" w:cs="Times New Roman"/>
          <w:b/>
          <w:bCs/>
          <w:color w:val="auto"/>
          <w:sz w:val="24"/>
          <w:lang w:val="en-US" w:eastAsia="zh-CN"/>
        </w:rPr>
        <w:t>八</w:t>
      </w:r>
      <w:r>
        <w:rPr>
          <w:rFonts w:hint="eastAsia" w:ascii="Times New Roman" w:hAnsi="Times New Roman" w:cs="Times New Roman"/>
          <w:b/>
          <w:bCs/>
          <w:color w:val="auto"/>
          <w:sz w:val="24"/>
        </w:rPr>
        <w:t>）兼容性要求</w:t>
      </w:r>
      <w:bookmarkEnd w:id="65"/>
      <w:r>
        <w:rPr>
          <w:rFonts w:hint="eastAsia" w:cs="Times New Roman"/>
          <w:b/>
          <w:bCs/>
          <w:color w:val="auto"/>
          <w:sz w:val="24"/>
          <w:lang w:eastAsia="zh-CN"/>
        </w:rPr>
        <w:t>：</w:t>
      </w:r>
    </w:p>
    <w:p w14:paraId="0777735D">
      <w:pPr>
        <w:pStyle w:val="29"/>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firstLine="480" w:firstLineChars="200"/>
        <w:textAlignment w:val="auto"/>
        <w:rPr>
          <w:rStyle w:val="30"/>
          <w:rFonts w:hint="eastAsia" w:asciiTheme="minorEastAsia" w:hAnsiTheme="minorEastAsia" w:eastAsiaTheme="minorEastAsia" w:cstheme="minorEastAsia"/>
          <w:b/>
          <w:bCs w:val="0"/>
          <w:color w:val="auto"/>
          <w:sz w:val="24"/>
          <w:szCs w:val="24"/>
          <w:u w:val="none"/>
          <w:lang w:val="en-US" w:eastAsia="zh-CN"/>
        </w:rPr>
      </w:pPr>
      <w:r>
        <w:rPr>
          <w:rStyle w:val="30"/>
          <w:rFonts w:hint="eastAsia" w:ascii="宋体" w:hAnsi="宋体" w:eastAsia="宋体" w:cs="宋体"/>
          <w:b w:val="0"/>
          <w:bCs/>
          <w:color w:val="auto"/>
          <w:sz w:val="24"/>
          <w:szCs w:val="24"/>
          <w:u w:val="none"/>
        </w:rPr>
        <w:t>（1）所有系统需适用于</w:t>
      </w:r>
      <w:r>
        <w:rPr>
          <w:rStyle w:val="30"/>
          <w:rFonts w:hint="eastAsia" w:cs="宋体"/>
          <w:b w:val="0"/>
          <w:bCs/>
          <w:color w:val="auto"/>
          <w:sz w:val="24"/>
          <w:szCs w:val="24"/>
          <w:u w:val="none"/>
          <w:lang w:eastAsia="zh-CN"/>
        </w:rPr>
        <w:t>招标人</w:t>
      </w:r>
      <w:r>
        <w:rPr>
          <w:rStyle w:val="30"/>
          <w:rFonts w:hint="eastAsia" w:ascii="宋体" w:hAnsi="宋体" w:eastAsia="宋体" w:cs="宋体"/>
          <w:b w:val="0"/>
          <w:bCs/>
          <w:color w:val="auto"/>
          <w:sz w:val="24"/>
          <w:szCs w:val="24"/>
          <w:u w:val="none"/>
        </w:rPr>
        <w:t>现有及未来国产化（国产化CPU、国产化数据库、国产服务器、国产化中间件等）环境运行，满足服务端的国产化适配要求。</w:t>
      </w:r>
      <w:r>
        <w:rPr>
          <w:rStyle w:val="30"/>
          <w:rFonts w:hint="eastAsia" w:ascii="宋体" w:hAnsi="宋体" w:eastAsia="宋体" w:cs="宋体"/>
          <w:b/>
          <w:bCs w:val="0"/>
          <w:color w:val="auto"/>
          <w:sz w:val="24"/>
          <w:szCs w:val="24"/>
          <w:u w:val="none"/>
          <w:lang w:eastAsia="zh-CN"/>
        </w:rPr>
        <w:t>【针对此项，投标人</w:t>
      </w:r>
      <w:r>
        <w:rPr>
          <w:rStyle w:val="30"/>
          <w:rFonts w:hint="eastAsia" w:ascii="宋体" w:hAnsi="宋体" w:eastAsia="宋体" w:cs="宋体"/>
          <w:b/>
          <w:bCs w:val="0"/>
          <w:color w:val="auto"/>
          <w:sz w:val="24"/>
          <w:szCs w:val="24"/>
          <w:u w:val="none"/>
        </w:rPr>
        <w:t>须</w:t>
      </w:r>
      <w:r>
        <w:rPr>
          <w:rStyle w:val="30"/>
          <w:rFonts w:hint="eastAsia" w:ascii="宋体" w:hAnsi="宋体" w:eastAsia="宋体" w:cs="宋体"/>
          <w:b/>
          <w:bCs w:val="0"/>
          <w:color w:val="auto"/>
          <w:sz w:val="24"/>
          <w:szCs w:val="24"/>
          <w:u w:val="none"/>
          <w:lang w:eastAsia="zh-CN"/>
        </w:rPr>
        <w:t>在投标文件技术商务中</w:t>
      </w:r>
      <w:r>
        <w:rPr>
          <w:rStyle w:val="30"/>
          <w:rFonts w:hint="eastAsia" w:ascii="宋体" w:hAnsi="宋体" w:eastAsia="宋体" w:cs="宋体"/>
          <w:b/>
          <w:bCs w:val="0"/>
          <w:color w:val="auto"/>
          <w:sz w:val="24"/>
          <w:szCs w:val="24"/>
          <w:u w:val="none"/>
        </w:rPr>
        <w:t>单独提供专项承诺函</w:t>
      </w:r>
      <w:r>
        <w:rPr>
          <w:rStyle w:val="30"/>
          <w:rFonts w:hint="eastAsia" w:ascii="宋体" w:hAnsi="宋体" w:eastAsia="宋体" w:cs="宋体"/>
          <w:b/>
          <w:bCs w:val="0"/>
          <w:color w:val="auto"/>
          <w:sz w:val="24"/>
          <w:szCs w:val="24"/>
          <w:u w:val="none"/>
          <w:lang w:eastAsia="zh-CN"/>
        </w:rPr>
        <w:t>（格式自拟）</w:t>
      </w:r>
      <w:r>
        <w:rPr>
          <w:rStyle w:val="30"/>
          <w:rFonts w:hint="eastAsia" w:ascii="宋体" w:hAnsi="宋体" w:eastAsia="宋体" w:cs="宋体"/>
          <w:b/>
          <w:bCs w:val="0"/>
          <w:color w:val="auto"/>
          <w:sz w:val="24"/>
          <w:szCs w:val="24"/>
          <w:u w:val="none"/>
        </w:rPr>
        <w:t>，</w:t>
      </w:r>
      <w:r>
        <w:rPr>
          <w:rStyle w:val="30"/>
          <w:rFonts w:hint="eastAsia" w:ascii="宋体" w:hAnsi="宋体" w:eastAsia="宋体" w:cs="宋体"/>
          <w:b/>
          <w:bCs w:val="0"/>
          <w:color w:val="auto"/>
          <w:sz w:val="24"/>
          <w:szCs w:val="24"/>
          <w:u w:val="none"/>
          <w:lang w:eastAsia="zh-CN"/>
        </w:rPr>
        <w:t>否则</w:t>
      </w:r>
      <w:r>
        <w:rPr>
          <w:rStyle w:val="30"/>
          <w:rFonts w:hint="eastAsia" w:ascii="宋体" w:hAnsi="宋体" w:eastAsia="宋体" w:cs="宋体"/>
          <w:b/>
          <w:bCs w:val="0"/>
          <w:color w:val="auto"/>
          <w:sz w:val="24"/>
          <w:szCs w:val="24"/>
          <w:u w:val="none"/>
        </w:rPr>
        <w:t>按无效投标处理</w:t>
      </w:r>
      <w:r>
        <w:rPr>
          <w:rStyle w:val="30"/>
          <w:rFonts w:hint="eastAsia" w:ascii="宋体" w:hAnsi="宋体" w:eastAsia="宋体" w:cs="宋体"/>
          <w:b/>
          <w:bCs w:val="0"/>
          <w:color w:val="auto"/>
          <w:sz w:val="24"/>
          <w:szCs w:val="24"/>
          <w:u w:val="none"/>
          <w:lang w:eastAsia="zh-CN"/>
        </w:rPr>
        <w:t>】</w:t>
      </w:r>
      <w:r>
        <w:rPr>
          <w:rStyle w:val="30"/>
          <w:rFonts w:hint="eastAsia" w:ascii="宋体" w:hAnsi="宋体" w:eastAsia="宋体" w:cs="宋体"/>
          <w:b/>
          <w:bCs w:val="0"/>
          <w:color w:val="auto"/>
          <w:sz w:val="24"/>
          <w:szCs w:val="24"/>
          <w:u w:val="none"/>
          <w:lang w:eastAsia="zh-CN"/>
        </w:rPr>
        <w:br w:type="textWrapping"/>
      </w:r>
      <w:r>
        <w:rPr>
          <w:rStyle w:val="30"/>
          <w:rFonts w:hint="eastAsia" w:ascii="宋体" w:hAnsi="宋体" w:eastAsia="宋体" w:cs="宋体"/>
          <w:b/>
          <w:bCs w:val="0"/>
          <w:color w:val="auto"/>
          <w:sz w:val="24"/>
          <w:szCs w:val="24"/>
          <w:u w:val="none"/>
          <w:lang w:val="en-US" w:eastAsia="zh-CN"/>
        </w:rPr>
        <w:t xml:space="preserve">    </w:t>
      </w:r>
      <w:r>
        <w:rPr>
          <w:rStyle w:val="30"/>
          <w:rFonts w:hint="eastAsia" w:ascii="宋体" w:hAnsi="宋体" w:eastAsia="宋体" w:cs="宋体"/>
          <w:b w:val="0"/>
          <w:bCs/>
          <w:color w:val="auto"/>
          <w:sz w:val="24"/>
          <w:szCs w:val="24"/>
          <w:u w:val="none"/>
        </w:rPr>
        <w:t>（2）根据招标人实际工作需要，员工一体化交互平台将会在泉州升华实业有限公司进行试点建设及运行，并在景弘集团智算中心建设完成后</w:t>
      </w:r>
      <w:r>
        <w:rPr>
          <w:rStyle w:val="30"/>
          <w:rFonts w:hint="eastAsia" w:ascii="宋体" w:hAnsi="宋体" w:eastAsia="宋体" w:cs="宋体"/>
          <w:b w:val="0"/>
          <w:bCs/>
          <w:color w:val="auto"/>
          <w:sz w:val="24"/>
          <w:szCs w:val="24"/>
          <w:u w:val="none"/>
          <w:lang w:val="en-US" w:eastAsia="zh-CN"/>
        </w:rPr>
        <w:t>由中标</w:t>
      </w:r>
      <w:r>
        <w:rPr>
          <w:rStyle w:val="30"/>
          <w:rFonts w:hint="eastAsia" w:cs="宋体"/>
          <w:b w:val="0"/>
          <w:bCs/>
          <w:color w:val="auto"/>
          <w:sz w:val="24"/>
          <w:szCs w:val="24"/>
          <w:u w:val="none"/>
          <w:lang w:val="en-US" w:eastAsia="zh-CN"/>
        </w:rPr>
        <w:t>人</w:t>
      </w:r>
      <w:r>
        <w:rPr>
          <w:rStyle w:val="30"/>
          <w:rFonts w:hint="eastAsia" w:ascii="宋体" w:hAnsi="宋体" w:eastAsia="宋体" w:cs="宋体"/>
          <w:b w:val="0"/>
          <w:bCs/>
          <w:color w:val="auto"/>
          <w:sz w:val="24"/>
          <w:szCs w:val="24"/>
          <w:u w:val="none"/>
          <w:lang w:val="en-US" w:eastAsia="zh-CN"/>
        </w:rPr>
        <w:t>负责完成</w:t>
      </w:r>
      <w:r>
        <w:rPr>
          <w:rStyle w:val="30"/>
          <w:rFonts w:hint="eastAsia" w:ascii="宋体" w:hAnsi="宋体" w:eastAsia="宋体" w:cs="宋体"/>
          <w:b w:val="0"/>
          <w:bCs/>
          <w:color w:val="auto"/>
          <w:sz w:val="24"/>
          <w:szCs w:val="24"/>
          <w:u w:val="none"/>
        </w:rPr>
        <w:t>迁移至景弘集团智算中心，供全省</w:t>
      </w:r>
      <w:r>
        <w:rPr>
          <w:rStyle w:val="30"/>
          <w:rFonts w:hint="eastAsia" w:cs="宋体"/>
          <w:b w:val="0"/>
          <w:bCs/>
          <w:color w:val="auto"/>
          <w:sz w:val="24"/>
          <w:szCs w:val="24"/>
          <w:u w:val="none"/>
          <w:lang w:val="en-US" w:eastAsia="zh-CN"/>
        </w:rPr>
        <w:t>子公司</w:t>
      </w:r>
      <w:r>
        <w:rPr>
          <w:rStyle w:val="30"/>
          <w:rFonts w:hint="eastAsia" w:ascii="宋体" w:hAnsi="宋体" w:eastAsia="宋体" w:cs="宋体"/>
          <w:b w:val="0"/>
          <w:bCs/>
          <w:color w:val="auto"/>
          <w:sz w:val="24"/>
          <w:szCs w:val="24"/>
          <w:u w:val="none"/>
        </w:rPr>
        <w:t>使用。</w:t>
      </w:r>
      <w:r>
        <w:rPr>
          <w:rStyle w:val="30"/>
          <w:rFonts w:hint="eastAsia" w:ascii="宋体" w:hAnsi="宋体" w:eastAsia="宋体" w:cs="宋体"/>
          <w:b/>
          <w:bCs w:val="0"/>
          <w:color w:val="auto"/>
          <w:sz w:val="24"/>
          <w:szCs w:val="24"/>
          <w:u w:val="none"/>
          <w:lang w:eastAsia="zh-CN"/>
        </w:rPr>
        <w:t>【针对此项，投标人</w:t>
      </w:r>
      <w:r>
        <w:rPr>
          <w:rStyle w:val="30"/>
          <w:rFonts w:hint="eastAsia" w:ascii="宋体" w:hAnsi="宋体" w:eastAsia="宋体" w:cs="宋体"/>
          <w:b/>
          <w:bCs w:val="0"/>
          <w:color w:val="auto"/>
          <w:sz w:val="24"/>
          <w:szCs w:val="24"/>
          <w:u w:val="none"/>
        </w:rPr>
        <w:t>须</w:t>
      </w:r>
      <w:r>
        <w:rPr>
          <w:rStyle w:val="30"/>
          <w:rFonts w:hint="eastAsia" w:ascii="宋体" w:hAnsi="宋体" w:eastAsia="宋体" w:cs="宋体"/>
          <w:b/>
          <w:bCs w:val="0"/>
          <w:color w:val="auto"/>
          <w:sz w:val="24"/>
          <w:szCs w:val="24"/>
          <w:u w:val="none"/>
          <w:lang w:eastAsia="zh-CN"/>
        </w:rPr>
        <w:t>在投标文件技术商务中</w:t>
      </w:r>
      <w:r>
        <w:rPr>
          <w:rStyle w:val="30"/>
          <w:rFonts w:hint="eastAsia" w:ascii="宋体" w:hAnsi="宋体" w:eastAsia="宋体" w:cs="宋体"/>
          <w:b/>
          <w:bCs w:val="0"/>
          <w:color w:val="auto"/>
          <w:sz w:val="24"/>
          <w:szCs w:val="24"/>
          <w:u w:val="none"/>
        </w:rPr>
        <w:t>单独提供专项承诺函</w:t>
      </w:r>
      <w:r>
        <w:rPr>
          <w:rStyle w:val="30"/>
          <w:rFonts w:hint="eastAsia" w:ascii="宋体" w:hAnsi="宋体" w:eastAsia="宋体" w:cs="宋体"/>
          <w:b/>
          <w:bCs w:val="0"/>
          <w:color w:val="auto"/>
          <w:sz w:val="24"/>
          <w:szCs w:val="24"/>
          <w:u w:val="none"/>
          <w:lang w:eastAsia="zh-CN"/>
        </w:rPr>
        <w:t>（格式自拟）</w:t>
      </w:r>
      <w:r>
        <w:rPr>
          <w:rStyle w:val="30"/>
          <w:rFonts w:hint="eastAsia" w:ascii="宋体" w:hAnsi="宋体" w:eastAsia="宋体" w:cs="宋体"/>
          <w:b/>
          <w:bCs w:val="0"/>
          <w:color w:val="auto"/>
          <w:sz w:val="24"/>
          <w:szCs w:val="24"/>
          <w:u w:val="none"/>
        </w:rPr>
        <w:t>，</w:t>
      </w:r>
      <w:r>
        <w:rPr>
          <w:rStyle w:val="30"/>
          <w:rFonts w:hint="eastAsia" w:ascii="宋体" w:hAnsi="宋体" w:eastAsia="宋体" w:cs="宋体"/>
          <w:b/>
          <w:bCs w:val="0"/>
          <w:color w:val="auto"/>
          <w:sz w:val="24"/>
          <w:szCs w:val="24"/>
          <w:u w:val="none"/>
          <w:lang w:eastAsia="zh-CN"/>
        </w:rPr>
        <w:t>否则</w:t>
      </w:r>
      <w:r>
        <w:rPr>
          <w:rStyle w:val="30"/>
          <w:rFonts w:hint="eastAsia" w:ascii="宋体" w:hAnsi="宋体" w:eastAsia="宋体" w:cs="宋体"/>
          <w:b/>
          <w:bCs w:val="0"/>
          <w:color w:val="auto"/>
          <w:sz w:val="24"/>
          <w:szCs w:val="24"/>
          <w:u w:val="none"/>
        </w:rPr>
        <w:t>按无效投标处理</w:t>
      </w:r>
      <w:r>
        <w:rPr>
          <w:rStyle w:val="30"/>
          <w:rFonts w:hint="eastAsia" w:ascii="宋体" w:hAnsi="宋体" w:eastAsia="宋体" w:cs="宋体"/>
          <w:b/>
          <w:bCs w:val="0"/>
          <w:color w:val="auto"/>
          <w:sz w:val="24"/>
          <w:szCs w:val="24"/>
          <w:u w:val="none"/>
          <w:lang w:eastAsia="zh-CN"/>
        </w:rPr>
        <w:t>】</w:t>
      </w:r>
      <w:r>
        <w:rPr>
          <w:rStyle w:val="30"/>
          <w:rFonts w:hint="eastAsia" w:ascii="宋体" w:hAnsi="宋体" w:eastAsia="宋体" w:cs="宋体"/>
          <w:b/>
          <w:bCs w:val="0"/>
          <w:color w:val="auto"/>
          <w:sz w:val="24"/>
          <w:szCs w:val="24"/>
          <w:u w:val="single"/>
          <w:lang w:eastAsia="zh-CN"/>
        </w:rPr>
        <w:br w:type="textWrapping"/>
      </w:r>
      <w:r>
        <w:rPr>
          <w:rStyle w:val="30"/>
          <w:rFonts w:hint="eastAsia" w:cs="宋体"/>
          <w:b w:val="0"/>
          <w:bCs/>
          <w:color w:val="auto"/>
          <w:sz w:val="24"/>
          <w:szCs w:val="24"/>
          <w:u w:val="none"/>
          <w:lang w:val="en-US" w:eastAsia="zh-CN"/>
        </w:rPr>
        <w:t xml:space="preserve">   </w:t>
      </w:r>
      <w:r>
        <w:rPr>
          <w:rStyle w:val="30"/>
          <w:rFonts w:hint="eastAsia" w:asciiTheme="minorEastAsia" w:hAnsiTheme="minorEastAsia" w:eastAsiaTheme="minorEastAsia" w:cstheme="minorEastAsia"/>
          <w:b w:val="0"/>
          <w:bCs/>
          <w:color w:val="auto"/>
          <w:sz w:val="24"/>
          <w:szCs w:val="24"/>
          <w:u w:val="none"/>
          <w:lang w:val="en-US" w:eastAsia="zh-CN"/>
        </w:rPr>
        <w:t>（3）</w:t>
      </w:r>
      <w:r>
        <w:rPr>
          <w:rStyle w:val="30"/>
          <w:rFonts w:hint="eastAsia" w:asciiTheme="minorEastAsia" w:hAnsiTheme="minorEastAsia" w:eastAsiaTheme="minorEastAsia" w:cstheme="minorEastAsia"/>
          <w:b/>
          <w:bCs w:val="0"/>
          <w:color w:val="auto"/>
          <w:sz w:val="24"/>
          <w:szCs w:val="24"/>
          <w:u w:val="none"/>
          <w:lang w:val="en-US" w:eastAsia="zh-CN"/>
        </w:rPr>
        <w:t>员工一体化平台</w:t>
      </w:r>
      <w:r>
        <w:rPr>
          <w:rStyle w:val="30"/>
          <w:rFonts w:hint="eastAsia" w:asciiTheme="minorEastAsia" w:hAnsiTheme="minorEastAsia" w:eastAsiaTheme="minorEastAsia" w:cstheme="minorEastAsia"/>
          <w:b w:val="0"/>
          <w:bCs/>
          <w:color w:val="auto"/>
          <w:sz w:val="24"/>
          <w:szCs w:val="24"/>
          <w:u w:val="none"/>
          <w:lang w:val="en-US" w:eastAsia="zh-CN"/>
        </w:rPr>
        <w:t>接入配合费：中标人应承诺无条件提供软硬件接入接口规范技术文档，并提供远程无条件技术支持，若个别单位需要委托中标人提供现场技术支撑，并代为负责解决系统接入和适配工作（包含软硬件的接入适配等）等有实际支出的服务，中标人可适当收取接入配合费，并承诺每个单位不高于5万元。</w:t>
      </w:r>
      <w:r>
        <w:rPr>
          <w:rStyle w:val="30"/>
          <w:rFonts w:hint="eastAsia" w:ascii="宋体" w:hAnsi="宋体" w:eastAsia="宋体" w:cs="宋体"/>
          <w:b/>
          <w:bCs w:val="0"/>
          <w:color w:val="auto"/>
          <w:sz w:val="24"/>
          <w:szCs w:val="24"/>
          <w:u w:val="none"/>
          <w:lang w:eastAsia="zh-CN"/>
        </w:rPr>
        <w:t>【针对此项，投标人</w:t>
      </w:r>
      <w:r>
        <w:rPr>
          <w:rStyle w:val="30"/>
          <w:rFonts w:hint="eastAsia" w:ascii="宋体" w:hAnsi="宋体" w:eastAsia="宋体" w:cs="宋体"/>
          <w:b/>
          <w:bCs w:val="0"/>
          <w:color w:val="auto"/>
          <w:sz w:val="24"/>
          <w:szCs w:val="24"/>
          <w:u w:val="none"/>
        </w:rPr>
        <w:t>须</w:t>
      </w:r>
      <w:r>
        <w:rPr>
          <w:rStyle w:val="30"/>
          <w:rFonts w:hint="eastAsia" w:ascii="宋体" w:hAnsi="宋体" w:eastAsia="宋体" w:cs="宋体"/>
          <w:b/>
          <w:bCs w:val="0"/>
          <w:color w:val="auto"/>
          <w:sz w:val="24"/>
          <w:szCs w:val="24"/>
          <w:u w:val="none"/>
          <w:lang w:eastAsia="zh-CN"/>
        </w:rPr>
        <w:t>在投标文件技术商务中</w:t>
      </w:r>
      <w:r>
        <w:rPr>
          <w:rStyle w:val="30"/>
          <w:rFonts w:hint="eastAsia" w:ascii="宋体" w:hAnsi="宋体" w:eastAsia="宋体" w:cs="宋体"/>
          <w:b/>
          <w:bCs w:val="0"/>
          <w:color w:val="auto"/>
          <w:sz w:val="24"/>
          <w:szCs w:val="24"/>
          <w:u w:val="none"/>
        </w:rPr>
        <w:t>单独提供专项承诺函</w:t>
      </w:r>
      <w:r>
        <w:rPr>
          <w:rStyle w:val="30"/>
          <w:rFonts w:hint="eastAsia" w:ascii="宋体" w:hAnsi="宋体" w:eastAsia="宋体" w:cs="宋体"/>
          <w:b/>
          <w:bCs w:val="0"/>
          <w:color w:val="auto"/>
          <w:sz w:val="24"/>
          <w:szCs w:val="24"/>
          <w:u w:val="none"/>
          <w:lang w:eastAsia="zh-CN"/>
        </w:rPr>
        <w:t>（格式自拟）</w:t>
      </w:r>
      <w:r>
        <w:rPr>
          <w:rStyle w:val="30"/>
          <w:rFonts w:hint="eastAsia" w:ascii="宋体" w:hAnsi="宋体" w:eastAsia="宋体" w:cs="宋体"/>
          <w:b/>
          <w:bCs w:val="0"/>
          <w:color w:val="auto"/>
          <w:sz w:val="24"/>
          <w:szCs w:val="24"/>
          <w:u w:val="none"/>
        </w:rPr>
        <w:t>，</w:t>
      </w:r>
      <w:r>
        <w:rPr>
          <w:rStyle w:val="30"/>
          <w:rFonts w:hint="eastAsia" w:ascii="宋体" w:hAnsi="宋体" w:eastAsia="宋体" w:cs="宋体"/>
          <w:b/>
          <w:bCs w:val="0"/>
          <w:color w:val="auto"/>
          <w:sz w:val="24"/>
          <w:szCs w:val="24"/>
          <w:u w:val="none"/>
          <w:lang w:eastAsia="zh-CN"/>
        </w:rPr>
        <w:t>否则</w:t>
      </w:r>
      <w:r>
        <w:rPr>
          <w:rStyle w:val="30"/>
          <w:rFonts w:hint="eastAsia" w:ascii="宋体" w:hAnsi="宋体" w:eastAsia="宋体" w:cs="宋体"/>
          <w:b/>
          <w:bCs w:val="0"/>
          <w:color w:val="auto"/>
          <w:sz w:val="24"/>
          <w:szCs w:val="24"/>
          <w:u w:val="none"/>
        </w:rPr>
        <w:t>按无效投标处理</w:t>
      </w:r>
      <w:r>
        <w:rPr>
          <w:rStyle w:val="30"/>
          <w:rFonts w:hint="eastAsia" w:ascii="宋体" w:hAnsi="宋体" w:eastAsia="宋体" w:cs="宋体"/>
          <w:b/>
          <w:bCs w:val="0"/>
          <w:color w:val="auto"/>
          <w:sz w:val="24"/>
          <w:szCs w:val="24"/>
          <w:u w:val="none"/>
          <w:lang w:eastAsia="zh-CN"/>
        </w:rPr>
        <w:t>】</w:t>
      </w:r>
    </w:p>
    <w:p w14:paraId="733BB6BC">
      <w:pPr>
        <w:spacing w:line="360" w:lineRule="auto"/>
        <w:outlineLvl w:val="2"/>
        <w:rPr>
          <w:rFonts w:hint="eastAsia" w:ascii="Times New Roman" w:hAnsi="Times New Roman" w:eastAsia="宋体" w:cs="Times New Roman"/>
          <w:b/>
          <w:bCs/>
          <w:sz w:val="24"/>
        </w:rPr>
      </w:pPr>
      <w:r>
        <w:rPr>
          <w:rFonts w:hint="eastAsia" w:ascii="Times New Roman" w:hAnsi="Times New Roman" w:eastAsia="宋体" w:cs="Times New Roman"/>
          <w:b/>
          <w:bCs/>
          <w:sz w:val="24"/>
        </w:rPr>
        <w:t>（</w:t>
      </w:r>
      <w:r>
        <w:rPr>
          <w:rFonts w:hint="eastAsia" w:ascii="Times New Roman" w:hAnsi="Times New Roman" w:eastAsia="宋体" w:cs="Times New Roman"/>
          <w:b/>
          <w:bCs/>
          <w:sz w:val="24"/>
          <w:lang w:val="en-US" w:eastAsia="zh-CN"/>
        </w:rPr>
        <w:t>九</w:t>
      </w:r>
      <w:r>
        <w:rPr>
          <w:rFonts w:hint="eastAsia" w:ascii="Times New Roman" w:hAnsi="Times New Roman" w:eastAsia="宋体" w:cs="Times New Roman"/>
          <w:b/>
          <w:bCs/>
          <w:sz w:val="24"/>
        </w:rPr>
        <w:t>）技术对接要求</w:t>
      </w:r>
    </w:p>
    <w:p w14:paraId="141A9C1C">
      <w:pPr>
        <w:pStyle w:val="11"/>
        <w:spacing w:before="0" w:beforeAutospacing="0" w:after="0" w:afterAutospacing="0" w:line="360" w:lineRule="auto"/>
        <w:outlineLvl w:val="3"/>
        <w:rPr>
          <w:rFonts w:ascii="Times New Roman" w:hAnsi="Times New Roman" w:cs="Times New Roman"/>
          <w:b/>
          <w:bCs/>
        </w:rPr>
      </w:pPr>
      <w:r>
        <w:rPr>
          <w:rFonts w:hint="eastAsia" w:ascii="Times New Roman" w:hAnsi="Times New Roman" w:cs="Times New Roman"/>
          <w:b/>
          <w:bCs/>
          <w:lang w:val="en-US" w:eastAsia="zh-CN"/>
        </w:rPr>
        <w:t>（1）</w:t>
      </w:r>
      <w:r>
        <w:rPr>
          <w:rFonts w:ascii="Times New Roman" w:hAnsi="Times New Roman" w:cs="Times New Roman"/>
          <w:b/>
          <w:bCs/>
        </w:rPr>
        <w:t>硬件</w:t>
      </w:r>
      <w:r>
        <w:rPr>
          <w:rFonts w:hint="eastAsia" w:ascii="Times New Roman" w:hAnsi="Times New Roman" w:cs="Times New Roman"/>
          <w:b/>
          <w:bCs/>
          <w:lang w:val="en-US" w:eastAsia="zh-CN"/>
        </w:rPr>
        <w:t>设备模块</w:t>
      </w:r>
      <w:r>
        <w:rPr>
          <w:rFonts w:ascii="Times New Roman" w:hAnsi="Times New Roman" w:cs="Times New Roman"/>
          <w:b/>
          <w:bCs/>
        </w:rPr>
        <w:t>对接要求</w:t>
      </w:r>
    </w:p>
    <w:tbl>
      <w:tblPr>
        <w:tblStyle w:val="14"/>
        <w:tblW w:w="4996" w:type="pct"/>
        <w:tblInd w:w="0" w:type="dxa"/>
        <w:tblLayout w:type="fixed"/>
        <w:tblCellMar>
          <w:top w:w="0" w:type="dxa"/>
          <w:left w:w="108" w:type="dxa"/>
          <w:bottom w:w="0" w:type="dxa"/>
          <w:right w:w="108" w:type="dxa"/>
        </w:tblCellMar>
      </w:tblPr>
      <w:tblGrid>
        <w:gridCol w:w="792"/>
        <w:gridCol w:w="1733"/>
        <w:gridCol w:w="7549"/>
      </w:tblGrid>
      <w:tr w14:paraId="6C9844E9">
        <w:tblPrEx>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vAlign w:val="center"/>
          </w:tcPr>
          <w:p w14:paraId="297D9B6C">
            <w:pPr>
              <w:widowControl/>
              <w:spacing w:before="48" w:beforeLines="20" w:line="288"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733" w:type="dxa"/>
            <w:tcBorders>
              <w:top w:val="single" w:color="000000" w:sz="4" w:space="0"/>
              <w:left w:val="single" w:color="000000" w:sz="4" w:space="0"/>
              <w:bottom w:val="single" w:color="000000" w:sz="4" w:space="0"/>
              <w:right w:val="single" w:color="000000" w:sz="4" w:space="0"/>
            </w:tcBorders>
            <w:vAlign w:val="center"/>
          </w:tcPr>
          <w:p w14:paraId="08E3BA0D">
            <w:pPr>
              <w:widowControl/>
              <w:spacing w:before="48" w:beforeLines="20" w:line="288" w:lineRule="auto"/>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设备模块</w:t>
            </w:r>
          </w:p>
        </w:tc>
        <w:tc>
          <w:tcPr>
            <w:tcW w:w="7549" w:type="dxa"/>
            <w:tcBorders>
              <w:top w:val="single" w:color="000000" w:sz="4" w:space="0"/>
              <w:left w:val="single" w:color="000000" w:sz="4" w:space="0"/>
              <w:bottom w:val="single" w:color="000000" w:sz="4" w:space="0"/>
              <w:right w:val="single" w:color="000000" w:sz="4" w:space="0"/>
            </w:tcBorders>
            <w:vAlign w:val="center"/>
          </w:tcPr>
          <w:p w14:paraId="73F492C8">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集成对接要求（由中标人负责对接</w:t>
            </w:r>
            <w:r>
              <w:rPr>
                <w:rFonts w:hint="eastAsia" w:ascii="宋体" w:hAnsi="宋体" w:cs="宋体"/>
                <w:color w:val="000000"/>
                <w:kern w:val="0"/>
                <w:sz w:val="22"/>
                <w:szCs w:val="22"/>
                <w:lang w:val="en-US" w:eastAsia="zh-CN" w:bidi="ar"/>
              </w:rPr>
              <w:t>智能终端设备的投标人</w:t>
            </w:r>
            <w:r>
              <w:rPr>
                <w:rFonts w:hint="eastAsia" w:ascii="宋体" w:hAnsi="宋体" w:eastAsia="宋体" w:cs="宋体"/>
                <w:color w:val="000000"/>
                <w:kern w:val="0"/>
                <w:sz w:val="22"/>
                <w:szCs w:val="22"/>
                <w:lang w:bidi="ar"/>
              </w:rPr>
              <w:t>，可通过</w:t>
            </w:r>
            <w:r>
              <w:rPr>
                <w:rFonts w:hint="eastAsia" w:ascii="宋体" w:hAnsi="宋体" w:cs="宋体"/>
                <w:color w:val="000000"/>
                <w:kern w:val="0"/>
                <w:sz w:val="22"/>
                <w:szCs w:val="22"/>
                <w:lang w:val="en-US" w:eastAsia="zh-CN" w:bidi="ar"/>
              </w:rPr>
              <w:t>设备投标人</w:t>
            </w:r>
            <w:r>
              <w:rPr>
                <w:rFonts w:hint="eastAsia" w:ascii="宋体" w:hAnsi="宋体" w:eastAsia="宋体" w:cs="宋体"/>
                <w:color w:val="000000"/>
                <w:kern w:val="0"/>
                <w:sz w:val="22"/>
                <w:szCs w:val="22"/>
                <w:lang w:bidi="ar"/>
              </w:rPr>
              <w:t>提供的sdk进行开发以实现对接）</w:t>
            </w:r>
          </w:p>
        </w:tc>
      </w:tr>
      <w:tr w14:paraId="6E18672C">
        <w:tblPrEx>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vAlign w:val="center"/>
          </w:tcPr>
          <w:p w14:paraId="7A3F0DD0">
            <w:pPr>
              <w:widowControl/>
              <w:spacing w:before="48" w:beforeLines="20" w:line="288" w:lineRule="auto"/>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vAlign w:val="center"/>
          </w:tcPr>
          <w:p w14:paraId="0BEBEE54">
            <w:pPr>
              <w:widowControl/>
              <w:spacing w:before="48" w:beforeLines="20" w:line="288" w:lineRule="auto"/>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一键</w:t>
            </w:r>
            <w:r>
              <w:rPr>
                <w:rFonts w:hint="eastAsia" w:ascii="宋体" w:hAnsi="宋体" w:eastAsia="宋体" w:cs="宋体"/>
                <w:color w:val="000000"/>
                <w:kern w:val="0"/>
                <w:sz w:val="22"/>
                <w:szCs w:val="22"/>
                <w:lang w:val="en-US" w:eastAsia="zh-CN" w:bidi="ar"/>
              </w:rPr>
              <w:t>报警</w:t>
            </w:r>
            <w:r>
              <w:rPr>
                <w:rFonts w:hint="eastAsia" w:ascii="宋体" w:hAnsi="宋体" w:cs="宋体"/>
                <w:color w:val="000000"/>
                <w:kern w:val="0"/>
                <w:sz w:val="22"/>
                <w:szCs w:val="22"/>
                <w:lang w:val="en-US" w:eastAsia="zh-CN" w:bidi="ar"/>
              </w:rPr>
              <w:t>模块</w:t>
            </w:r>
          </w:p>
        </w:tc>
        <w:tc>
          <w:tcPr>
            <w:tcW w:w="7549" w:type="dxa"/>
            <w:tcBorders>
              <w:top w:val="single" w:color="000000" w:sz="4" w:space="0"/>
              <w:left w:val="single" w:color="000000" w:sz="4" w:space="0"/>
              <w:bottom w:val="single" w:color="000000" w:sz="4" w:space="0"/>
              <w:right w:val="single" w:color="000000" w:sz="4" w:space="0"/>
            </w:tcBorders>
            <w:vAlign w:val="center"/>
          </w:tcPr>
          <w:p w14:paraId="4FBA24A6">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eastAsia="宋体" w:cs="宋体"/>
                <w:color w:val="000000"/>
                <w:kern w:val="0"/>
                <w:sz w:val="22"/>
                <w:szCs w:val="22"/>
                <w:lang w:val="en-US" w:eastAsia="zh-CN" w:bidi="ar"/>
              </w:rPr>
              <w:t>智能交互终端</w:t>
            </w:r>
            <w:r>
              <w:rPr>
                <w:rFonts w:hint="eastAsia" w:ascii="宋体" w:hAnsi="宋体" w:eastAsia="宋体" w:cs="宋体"/>
                <w:color w:val="000000"/>
                <w:kern w:val="0"/>
                <w:sz w:val="22"/>
                <w:szCs w:val="22"/>
                <w:lang w:bidi="ar"/>
              </w:rPr>
              <w:t>厂家提供SDK二次开发包、SDK使用说明及SDK调用Demo实例，实时监测</w:t>
            </w:r>
            <w:r>
              <w:rPr>
                <w:rFonts w:hint="eastAsia" w:ascii="宋体" w:hAnsi="宋体" w:eastAsia="宋体" w:cs="宋体"/>
                <w:color w:val="000000"/>
                <w:kern w:val="0"/>
                <w:sz w:val="22"/>
                <w:szCs w:val="22"/>
                <w:lang w:val="en-US" w:eastAsia="zh-CN" w:bidi="ar"/>
              </w:rPr>
              <w:t>设备应急</w:t>
            </w:r>
            <w:r>
              <w:rPr>
                <w:rFonts w:hint="eastAsia" w:ascii="宋体" w:hAnsi="宋体" w:eastAsia="宋体" w:cs="宋体"/>
                <w:color w:val="000000"/>
                <w:kern w:val="0"/>
                <w:sz w:val="22"/>
                <w:szCs w:val="22"/>
                <w:lang w:bidi="ar"/>
              </w:rPr>
              <w:t>报警信号的数据。支持与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实现对接、共享、联动。</w:t>
            </w:r>
          </w:p>
        </w:tc>
      </w:tr>
      <w:tr w14:paraId="7D3C6410">
        <w:tblPrEx>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vAlign w:val="center"/>
          </w:tcPr>
          <w:p w14:paraId="7715F3D3">
            <w:pPr>
              <w:widowControl/>
              <w:spacing w:before="48" w:beforeLines="20" w:line="288" w:lineRule="auto"/>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vAlign w:val="center"/>
          </w:tcPr>
          <w:p w14:paraId="15568677">
            <w:pPr>
              <w:widowControl/>
              <w:spacing w:before="48" w:beforeLines="20" w:line="288" w:lineRule="auto"/>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可视对讲</w:t>
            </w:r>
            <w:r>
              <w:rPr>
                <w:rFonts w:hint="eastAsia" w:ascii="宋体" w:hAnsi="宋体" w:cs="宋体"/>
                <w:color w:val="000000"/>
                <w:kern w:val="0"/>
                <w:sz w:val="22"/>
                <w:szCs w:val="22"/>
                <w:lang w:val="en-US" w:eastAsia="zh-CN" w:bidi="ar"/>
              </w:rPr>
              <w:t>模块</w:t>
            </w:r>
          </w:p>
        </w:tc>
        <w:tc>
          <w:tcPr>
            <w:tcW w:w="7549" w:type="dxa"/>
            <w:tcBorders>
              <w:top w:val="single" w:color="000000" w:sz="4" w:space="0"/>
              <w:left w:val="single" w:color="000000" w:sz="4" w:space="0"/>
              <w:bottom w:val="single" w:color="000000" w:sz="4" w:space="0"/>
              <w:right w:val="single" w:color="000000" w:sz="4" w:space="0"/>
            </w:tcBorders>
            <w:vAlign w:val="center"/>
          </w:tcPr>
          <w:p w14:paraId="44F98789">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eastAsia="宋体" w:cs="宋体"/>
                <w:color w:val="000000"/>
                <w:kern w:val="0"/>
                <w:sz w:val="22"/>
                <w:szCs w:val="22"/>
                <w:lang w:val="en-US" w:eastAsia="zh-CN" w:bidi="ar"/>
              </w:rPr>
              <w:t>智能交互终端</w:t>
            </w:r>
            <w:r>
              <w:rPr>
                <w:rFonts w:hint="eastAsia" w:ascii="宋体" w:hAnsi="宋体" w:eastAsia="宋体" w:cs="宋体"/>
                <w:color w:val="000000"/>
                <w:kern w:val="0"/>
                <w:sz w:val="22"/>
                <w:szCs w:val="22"/>
                <w:lang w:bidi="ar"/>
              </w:rPr>
              <w:t>设备提供商公开发布的SDK接口，使用VC++、DELPHI、C#、JAVA等开发环境进行二次开发。支持对讲消息、报警消息实时推送以及对讲呼叫、监听功能，支持与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实现对接、共享、联动。</w:t>
            </w:r>
          </w:p>
        </w:tc>
      </w:tr>
      <w:tr w14:paraId="6CBF8C68">
        <w:tblPrEx>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vAlign w:val="center"/>
          </w:tcPr>
          <w:p w14:paraId="1A77A3B5">
            <w:pPr>
              <w:widowControl/>
              <w:spacing w:before="48" w:beforeLines="20" w:line="288" w:lineRule="auto"/>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vAlign w:val="center"/>
          </w:tcPr>
          <w:p w14:paraId="18D1165D">
            <w:pPr>
              <w:widowControl/>
              <w:spacing w:before="48" w:beforeLines="20" w:line="288" w:lineRule="auto"/>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广播</w:t>
            </w:r>
            <w:r>
              <w:rPr>
                <w:rFonts w:hint="eastAsia" w:ascii="宋体" w:hAnsi="宋体" w:cs="宋体"/>
                <w:color w:val="000000"/>
                <w:kern w:val="0"/>
                <w:sz w:val="22"/>
                <w:szCs w:val="22"/>
                <w:lang w:val="en-US" w:eastAsia="zh-CN" w:bidi="ar"/>
              </w:rPr>
              <w:t>模块</w:t>
            </w:r>
          </w:p>
        </w:tc>
        <w:tc>
          <w:tcPr>
            <w:tcW w:w="7549" w:type="dxa"/>
            <w:tcBorders>
              <w:top w:val="single" w:color="000000" w:sz="4" w:space="0"/>
              <w:left w:val="single" w:color="000000" w:sz="4" w:space="0"/>
              <w:bottom w:val="single" w:color="000000" w:sz="4" w:space="0"/>
              <w:right w:val="single" w:color="000000" w:sz="4" w:space="0"/>
            </w:tcBorders>
            <w:vAlign w:val="center"/>
          </w:tcPr>
          <w:p w14:paraId="7A0F33A0">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cs="宋体"/>
                <w:color w:val="000000"/>
                <w:kern w:val="0"/>
                <w:sz w:val="22"/>
                <w:szCs w:val="22"/>
                <w:lang w:val="en-US" w:eastAsia="zh-CN" w:bidi="ar"/>
              </w:rPr>
              <w:t>设备投标人</w:t>
            </w:r>
            <w:r>
              <w:rPr>
                <w:rFonts w:hint="eastAsia" w:ascii="宋体" w:hAnsi="宋体" w:eastAsia="宋体" w:cs="宋体"/>
                <w:color w:val="000000"/>
                <w:kern w:val="0"/>
                <w:sz w:val="22"/>
                <w:szCs w:val="22"/>
                <w:lang w:bidi="ar"/>
              </w:rPr>
              <w:t>提供SDK二次开发包、SDK使用说明及SDK调用Demo实例，实现多级、分区广播，支持实时喊话及文本转语音，支持与与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实现对接、共享、联动。</w:t>
            </w:r>
          </w:p>
        </w:tc>
      </w:tr>
      <w:tr w14:paraId="71C3B747">
        <w:tblPrEx>
          <w:tblCellMar>
            <w:top w:w="0" w:type="dxa"/>
            <w:left w:w="108" w:type="dxa"/>
            <w:bottom w:w="0" w:type="dxa"/>
            <w:right w:w="108" w:type="dxa"/>
          </w:tblCellMar>
        </w:tblPrEx>
        <w:trPr>
          <w:trHeight w:val="90" w:hRule="atLeast"/>
        </w:trPr>
        <w:tc>
          <w:tcPr>
            <w:tcW w:w="792" w:type="dxa"/>
            <w:tcBorders>
              <w:top w:val="single" w:color="000000" w:sz="4" w:space="0"/>
              <w:left w:val="single" w:color="000000" w:sz="4" w:space="0"/>
              <w:bottom w:val="single" w:color="000000" w:sz="4" w:space="0"/>
              <w:right w:val="single" w:color="000000" w:sz="4" w:space="0"/>
            </w:tcBorders>
            <w:vAlign w:val="center"/>
          </w:tcPr>
          <w:p w14:paraId="07BA0AB7">
            <w:pPr>
              <w:widowControl/>
              <w:spacing w:before="48" w:beforeLines="20" w:line="288" w:lineRule="auto"/>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vAlign w:val="center"/>
          </w:tcPr>
          <w:p w14:paraId="1936C9AB">
            <w:pPr>
              <w:widowControl/>
              <w:spacing w:before="48" w:beforeLines="20" w:line="288" w:lineRule="auto"/>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人脸识别</w:t>
            </w:r>
            <w:r>
              <w:rPr>
                <w:rFonts w:hint="eastAsia" w:ascii="宋体" w:hAnsi="宋体" w:cs="宋体"/>
                <w:color w:val="000000"/>
                <w:kern w:val="0"/>
                <w:sz w:val="22"/>
                <w:szCs w:val="22"/>
                <w:lang w:val="en-US" w:eastAsia="zh-CN" w:bidi="ar"/>
              </w:rPr>
              <w:t>模块</w:t>
            </w:r>
          </w:p>
        </w:tc>
        <w:tc>
          <w:tcPr>
            <w:tcW w:w="7549" w:type="dxa"/>
            <w:tcBorders>
              <w:top w:val="single" w:color="000000" w:sz="4" w:space="0"/>
              <w:left w:val="single" w:color="000000" w:sz="4" w:space="0"/>
              <w:bottom w:val="single" w:color="000000" w:sz="4" w:space="0"/>
              <w:right w:val="single" w:color="000000" w:sz="4" w:space="0"/>
            </w:tcBorders>
            <w:vAlign w:val="center"/>
          </w:tcPr>
          <w:p w14:paraId="2375247D">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eastAsia="宋体" w:cs="宋体"/>
                <w:color w:val="000000"/>
                <w:kern w:val="0"/>
                <w:sz w:val="22"/>
                <w:szCs w:val="22"/>
                <w:lang w:val="en-US" w:eastAsia="zh-CN" w:bidi="ar"/>
              </w:rPr>
              <w:t>智能交互终端</w:t>
            </w:r>
            <w:r>
              <w:rPr>
                <w:rFonts w:hint="eastAsia" w:ascii="宋体" w:hAnsi="宋体" w:cs="宋体"/>
                <w:color w:val="000000"/>
                <w:kern w:val="0"/>
                <w:sz w:val="22"/>
                <w:szCs w:val="22"/>
                <w:lang w:val="en-US" w:eastAsia="zh-CN" w:bidi="ar"/>
              </w:rPr>
              <w:t>设备投标人</w:t>
            </w:r>
            <w:r>
              <w:rPr>
                <w:rFonts w:hint="eastAsia" w:ascii="宋体" w:hAnsi="宋体" w:eastAsia="宋体" w:cs="宋体"/>
                <w:color w:val="000000"/>
                <w:kern w:val="0"/>
                <w:sz w:val="22"/>
                <w:szCs w:val="22"/>
                <w:lang w:bidi="ar"/>
              </w:rPr>
              <w:t>提供SDK二次开发包、SDK使用说明及SDK调用Demo实例，支持</w:t>
            </w:r>
            <w:r>
              <w:rPr>
                <w:rFonts w:hint="eastAsia" w:ascii="宋体" w:hAnsi="宋体" w:cs="宋体"/>
                <w:color w:val="000000"/>
                <w:kern w:val="0"/>
                <w:sz w:val="22"/>
                <w:szCs w:val="22"/>
                <w:lang w:eastAsia="zh-CN" w:bidi="ar"/>
              </w:rPr>
              <w:t>使用人员的身份识别和权限管控</w:t>
            </w:r>
            <w:r>
              <w:rPr>
                <w:rFonts w:hint="eastAsia" w:ascii="宋体" w:hAnsi="宋体" w:eastAsia="宋体" w:cs="宋体"/>
                <w:color w:val="000000"/>
                <w:kern w:val="0"/>
                <w:sz w:val="22"/>
                <w:szCs w:val="22"/>
                <w:lang w:bidi="ar"/>
              </w:rPr>
              <w:t>，支持与与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实现对接、共享、联动。</w:t>
            </w:r>
          </w:p>
        </w:tc>
      </w:tr>
      <w:tr w14:paraId="5BC3D063">
        <w:tblPrEx>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vAlign w:val="center"/>
          </w:tcPr>
          <w:p w14:paraId="70A563E2">
            <w:pPr>
              <w:widowControl/>
              <w:spacing w:before="48" w:beforeLines="20" w:line="288" w:lineRule="auto"/>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vAlign w:val="center"/>
          </w:tcPr>
          <w:p w14:paraId="22B64C3E">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语音</w:t>
            </w:r>
            <w:r>
              <w:rPr>
                <w:rFonts w:hint="eastAsia" w:ascii="宋体" w:hAnsi="宋体" w:cs="宋体"/>
                <w:color w:val="000000"/>
                <w:kern w:val="0"/>
                <w:sz w:val="22"/>
                <w:szCs w:val="22"/>
                <w:lang w:val="en-US" w:eastAsia="zh-CN" w:bidi="ar"/>
              </w:rPr>
              <w:t>识别</w:t>
            </w:r>
            <w:r>
              <w:rPr>
                <w:rFonts w:hint="eastAsia" w:ascii="宋体" w:hAnsi="宋体" w:eastAsia="宋体" w:cs="宋体"/>
                <w:color w:val="000000"/>
                <w:kern w:val="0"/>
                <w:sz w:val="22"/>
                <w:szCs w:val="22"/>
                <w:lang w:bidi="ar"/>
              </w:rPr>
              <w:t>系统</w:t>
            </w:r>
          </w:p>
        </w:tc>
        <w:tc>
          <w:tcPr>
            <w:tcW w:w="7549" w:type="dxa"/>
            <w:tcBorders>
              <w:top w:val="single" w:color="000000" w:sz="4" w:space="0"/>
              <w:left w:val="single" w:color="000000" w:sz="4" w:space="0"/>
              <w:bottom w:val="single" w:color="000000" w:sz="4" w:space="0"/>
              <w:right w:val="single" w:color="000000" w:sz="4" w:space="0"/>
            </w:tcBorders>
            <w:vAlign w:val="center"/>
          </w:tcPr>
          <w:p w14:paraId="5E3A9178">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cs="宋体"/>
                <w:color w:val="000000"/>
                <w:kern w:val="0"/>
                <w:sz w:val="22"/>
                <w:szCs w:val="22"/>
                <w:lang w:val="en-US" w:eastAsia="zh-CN" w:bidi="ar"/>
              </w:rPr>
              <w:t>景弘集团语音识别</w:t>
            </w:r>
            <w:r>
              <w:rPr>
                <w:rFonts w:hint="eastAsia" w:ascii="宋体" w:hAnsi="宋体" w:eastAsia="宋体" w:cs="宋体"/>
                <w:color w:val="000000"/>
                <w:kern w:val="0"/>
                <w:sz w:val="22"/>
                <w:szCs w:val="22"/>
                <w:lang w:bidi="ar"/>
              </w:rPr>
              <w:t>提供SDK二次开发包、SDK使用说明及SDK调用Demo实例，语音指令查询功能，支持语音转文字。支持与与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实现对接、共享、联动。</w:t>
            </w:r>
          </w:p>
        </w:tc>
      </w:tr>
      <w:tr w14:paraId="4C3DAEA8">
        <w:tblPrEx>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vAlign w:val="center"/>
          </w:tcPr>
          <w:p w14:paraId="5E1B0C59">
            <w:pPr>
              <w:widowControl/>
              <w:spacing w:before="48" w:beforeLines="20" w:line="288"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w:t>
            </w:r>
          </w:p>
        </w:tc>
        <w:tc>
          <w:tcPr>
            <w:tcW w:w="1733" w:type="dxa"/>
            <w:tcBorders>
              <w:top w:val="single" w:color="000000" w:sz="4" w:space="0"/>
              <w:left w:val="single" w:color="000000" w:sz="4" w:space="0"/>
              <w:bottom w:val="single" w:color="000000" w:sz="4" w:space="0"/>
              <w:right w:val="single" w:color="000000" w:sz="4" w:space="0"/>
            </w:tcBorders>
            <w:vAlign w:val="center"/>
          </w:tcPr>
          <w:p w14:paraId="17F48FE4">
            <w:pPr>
              <w:widowControl/>
              <w:spacing w:before="48" w:beforeLines="20" w:line="288"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智能</w:t>
            </w:r>
            <w:r>
              <w:rPr>
                <w:rFonts w:hint="eastAsia" w:ascii="宋体" w:hAnsi="宋体" w:cs="宋体"/>
                <w:color w:val="000000"/>
                <w:kern w:val="0"/>
                <w:sz w:val="22"/>
                <w:szCs w:val="22"/>
                <w:lang w:val="en-US" w:eastAsia="zh-CN" w:bidi="ar"/>
              </w:rPr>
              <w:t>终端</w:t>
            </w:r>
            <w:r>
              <w:rPr>
                <w:rFonts w:hint="eastAsia" w:ascii="宋体" w:hAnsi="宋体" w:eastAsia="宋体" w:cs="宋体"/>
                <w:color w:val="000000"/>
                <w:kern w:val="0"/>
                <w:sz w:val="22"/>
                <w:szCs w:val="22"/>
                <w:lang w:val="en-US" w:eastAsia="zh-CN" w:bidi="ar"/>
              </w:rPr>
              <w:t>设备</w:t>
            </w:r>
          </w:p>
        </w:tc>
        <w:tc>
          <w:tcPr>
            <w:tcW w:w="7549" w:type="dxa"/>
            <w:tcBorders>
              <w:top w:val="single" w:color="000000" w:sz="4" w:space="0"/>
              <w:left w:val="single" w:color="000000" w:sz="4" w:space="0"/>
              <w:bottom w:val="single" w:color="000000" w:sz="4" w:space="0"/>
              <w:right w:val="single" w:color="000000" w:sz="4" w:space="0"/>
            </w:tcBorders>
            <w:vAlign w:val="center"/>
          </w:tcPr>
          <w:p w14:paraId="221895EC">
            <w:pPr>
              <w:widowControl/>
              <w:spacing w:before="48" w:beforeLines="20" w:line="288" w:lineRule="auto"/>
              <w:jc w:val="left"/>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eastAsia="宋体" w:cs="宋体"/>
                <w:color w:val="000000"/>
                <w:kern w:val="0"/>
                <w:sz w:val="22"/>
                <w:szCs w:val="22"/>
                <w:lang w:val="en-US" w:eastAsia="zh-CN" w:bidi="ar"/>
              </w:rPr>
              <w:t>智能交互终端</w:t>
            </w:r>
            <w:r>
              <w:rPr>
                <w:rFonts w:hint="eastAsia" w:ascii="宋体" w:hAnsi="宋体" w:cs="宋体"/>
                <w:color w:val="000000"/>
                <w:kern w:val="0"/>
                <w:sz w:val="22"/>
                <w:szCs w:val="22"/>
                <w:lang w:val="en-US" w:eastAsia="zh-CN" w:bidi="ar"/>
              </w:rPr>
              <w:t>设备投标人</w:t>
            </w:r>
            <w:r>
              <w:rPr>
                <w:rFonts w:hint="eastAsia" w:ascii="宋体" w:hAnsi="宋体" w:eastAsia="宋体" w:cs="宋体"/>
                <w:color w:val="000000"/>
                <w:kern w:val="0"/>
                <w:sz w:val="22"/>
                <w:szCs w:val="22"/>
                <w:lang w:bidi="ar"/>
              </w:rPr>
              <w:t>提供SDK二次开发包、SDK使用说明及SDK调用Demo实例，实时监测</w:t>
            </w:r>
            <w:r>
              <w:rPr>
                <w:rFonts w:hint="eastAsia" w:ascii="宋体" w:hAnsi="宋体" w:eastAsia="宋体" w:cs="宋体"/>
                <w:color w:val="000000"/>
                <w:kern w:val="0"/>
                <w:sz w:val="22"/>
                <w:szCs w:val="22"/>
                <w:lang w:val="en-US" w:eastAsia="zh-CN" w:bidi="ar"/>
              </w:rPr>
              <w:t>设备状态</w:t>
            </w:r>
            <w:r>
              <w:rPr>
                <w:rFonts w:hint="eastAsia" w:ascii="宋体" w:hAnsi="宋体" w:eastAsia="宋体" w:cs="宋体"/>
                <w:color w:val="000000"/>
                <w:kern w:val="0"/>
                <w:sz w:val="22"/>
                <w:szCs w:val="22"/>
                <w:lang w:bidi="ar"/>
              </w:rPr>
              <w:t>的数据。支持与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w:t>
            </w:r>
            <w:r>
              <w:rPr>
                <w:rFonts w:hint="eastAsia" w:ascii="宋体" w:hAnsi="宋体" w:eastAsia="宋体" w:cs="宋体"/>
                <w:color w:val="000000"/>
                <w:kern w:val="0"/>
                <w:sz w:val="22"/>
                <w:szCs w:val="22"/>
                <w:lang w:val="en-US" w:eastAsia="zh-CN" w:bidi="ar"/>
              </w:rPr>
              <w:t>集成</w:t>
            </w:r>
            <w:r>
              <w:rPr>
                <w:rFonts w:hint="eastAsia" w:ascii="宋体" w:hAnsi="宋体" w:eastAsia="宋体" w:cs="宋体"/>
                <w:color w:val="000000"/>
                <w:kern w:val="0"/>
                <w:sz w:val="22"/>
                <w:szCs w:val="22"/>
                <w:lang w:bidi="ar"/>
              </w:rPr>
              <w:t>对接</w:t>
            </w:r>
            <w:r>
              <w:rPr>
                <w:rFonts w:hint="eastAsia" w:ascii="宋体" w:hAnsi="宋体" w:eastAsia="宋体" w:cs="宋体"/>
                <w:color w:val="000000"/>
                <w:kern w:val="0"/>
                <w:sz w:val="22"/>
                <w:szCs w:val="22"/>
                <w:lang w:val="en-US" w:eastAsia="zh-CN" w:bidi="ar"/>
              </w:rPr>
              <w:t>完成设备的接入控制</w:t>
            </w:r>
            <w:r>
              <w:rPr>
                <w:rFonts w:hint="eastAsia" w:ascii="宋体" w:hAnsi="宋体" w:eastAsia="宋体" w:cs="宋体"/>
                <w:color w:val="000000"/>
                <w:kern w:val="0"/>
                <w:sz w:val="22"/>
                <w:szCs w:val="22"/>
                <w:lang w:bidi="ar"/>
              </w:rPr>
              <w:t>。</w:t>
            </w:r>
          </w:p>
        </w:tc>
      </w:tr>
    </w:tbl>
    <w:p w14:paraId="2E4B76CD">
      <w:pPr>
        <w:pStyle w:val="11"/>
        <w:spacing w:before="0" w:beforeAutospacing="0" w:after="0" w:afterAutospacing="0" w:line="360" w:lineRule="auto"/>
        <w:outlineLvl w:val="3"/>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（2）软件系统对接要求</w:t>
      </w:r>
    </w:p>
    <w:tbl>
      <w:tblPr>
        <w:tblStyle w:val="14"/>
        <w:tblW w:w="4996" w:type="pct"/>
        <w:tblInd w:w="0" w:type="dxa"/>
        <w:tblLayout w:type="fixed"/>
        <w:tblCellMar>
          <w:top w:w="0" w:type="dxa"/>
          <w:left w:w="108" w:type="dxa"/>
          <w:bottom w:w="0" w:type="dxa"/>
          <w:right w:w="108" w:type="dxa"/>
        </w:tblCellMar>
      </w:tblPr>
      <w:tblGrid>
        <w:gridCol w:w="762"/>
        <w:gridCol w:w="1762"/>
        <w:gridCol w:w="7550"/>
      </w:tblGrid>
      <w:tr w14:paraId="5494C11C">
        <w:tblPrEx>
          <w:tblCellMar>
            <w:top w:w="0" w:type="dxa"/>
            <w:left w:w="108" w:type="dxa"/>
            <w:bottom w:w="0" w:type="dxa"/>
            <w:right w:w="108" w:type="dxa"/>
          </w:tblCellMar>
        </w:tblPrEx>
        <w:trPr>
          <w:trHeight w:val="580" w:hRule="atLeast"/>
        </w:trPr>
        <w:tc>
          <w:tcPr>
            <w:tcW w:w="762" w:type="dxa"/>
            <w:tcBorders>
              <w:top w:val="single" w:color="000000" w:sz="4" w:space="0"/>
              <w:left w:val="single" w:color="000000" w:sz="4" w:space="0"/>
              <w:bottom w:val="single" w:color="000000" w:sz="4" w:space="0"/>
              <w:right w:val="single" w:color="000000" w:sz="4" w:space="0"/>
            </w:tcBorders>
            <w:vAlign w:val="center"/>
          </w:tcPr>
          <w:p w14:paraId="07983013">
            <w:pPr>
              <w:widowControl/>
              <w:spacing w:before="48" w:beforeLines="20" w:line="288"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762" w:type="dxa"/>
            <w:tcBorders>
              <w:top w:val="single" w:color="000000" w:sz="4" w:space="0"/>
              <w:left w:val="single" w:color="000000" w:sz="4" w:space="0"/>
              <w:bottom w:val="single" w:color="000000" w:sz="4" w:space="0"/>
              <w:right w:val="single" w:color="000000" w:sz="4" w:space="0"/>
            </w:tcBorders>
            <w:vAlign w:val="center"/>
          </w:tcPr>
          <w:p w14:paraId="00717F62">
            <w:pPr>
              <w:widowControl/>
              <w:spacing w:before="48" w:beforeLines="2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系统名称</w:t>
            </w:r>
          </w:p>
        </w:tc>
        <w:tc>
          <w:tcPr>
            <w:tcW w:w="7550" w:type="dxa"/>
            <w:tcBorders>
              <w:top w:val="single" w:color="000000" w:sz="4" w:space="0"/>
              <w:left w:val="single" w:color="000000" w:sz="4" w:space="0"/>
              <w:bottom w:val="single" w:color="000000" w:sz="4" w:space="0"/>
              <w:right w:val="single" w:color="000000" w:sz="4" w:space="0"/>
            </w:tcBorders>
            <w:vAlign w:val="center"/>
          </w:tcPr>
          <w:p w14:paraId="3F3E1577">
            <w:pPr>
              <w:widowControl/>
              <w:spacing w:before="48" w:beforeLines="2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集成对接要求</w:t>
            </w:r>
          </w:p>
        </w:tc>
      </w:tr>
      <w:tr w14:paraId="0144F1C2">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vAlign w:val="center"/>
          </w:tcPr>
          <w:p w14:paraId="355C748B">
            <w:pPr>
              <w:widowControl/>
              <w:spacing w:before="48" w:beforeLines="20" w:line="288"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p>
        </w:tc>
        <w:tc>
          <w:tcPr>
            <w:tcW w:w="1762" w:type="dxa"/>
            <w:tcBorders>
              <w:top w:val="single" w:color="000000" w:sz="4" w:space="0"/>
              <w:left w:val="single" w:color="000000" w:sz="4" w:space="0"/>
              <w:bottom w:val="single" w:color="000000" w:sz="4" w:space="0"/>
              <w:right w:val="single" w:color="000000" w:sz="4" w:space="0"/>
            </w:tcBorders>
            <w:vAlign w:val="center"/>
          </w:tcPr>
          <w:p w14:paraId="0E081D18">
            <w:pPr>
              <w:widowControl/>
              <w:spacing w:before="48" w:beforeLines="20" w:line="288"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狱政刑执</w:t>
            </w:r>
          </w:p>
          <w:p w14:paraId="77A7051B">
            <w:pPr>
              <w:widowControl/>
              <w:spacing w:before="48" w:beforeLines="20" w:line="288"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管理软件</w:t>
            </w:r>
          </w:p>
        </w:tc>
        <w:tc>
          <w:tcPr>
            <w:tcW w:w="7550" w:type="dxa"/>
            <w:tcBorders>
              <w:top w:val="single" w:color="000000" w:sz="4" w:space="0"/>
              <w:left w:val="single" w:color="000000" w:sz="4" w:space="0"/>
              <w:bottom w:val="single" w:color="000000" w:sz="4" w:space="0"/>
              <w:right w:val="single" w:color="000000" w:sz="4" w:space="0"/>
            </w:tcBorders>
            <w:vAlign w:val="center"/>
          </w:tcPr>
          <w:p w14:paraId="51AB40DB">
            <w:pPr>
              <w:widowControl/>
              <w:spacing w:before="48" w:beforeLines="20" w:line="288" w:lineRule="auto"/>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平台应具备与</w:t>
            </w:r>
            <w:r>
              <w:rPr>
                <w:rFonts w:hint="eastAsia" w:ascii="宋体" w:hAnsi="宋体" w:cs="宋体"/>
                <w:color w:val="auto"/>
                <w:kern w:val="0"/>
                <w:sz w:val="22"/>
                <w:szCs w:val="22"/>
                <w:lang w:val="en-US" w:eastAsia="zh-CN" w:bidi="ar"/>
              </w:rPr>
              <w:t>景弘集团</w:t>
            </w:r>
            <w:r>
              <w:rPr>
                <w:rFonts w:hint="eastAsia" w:ascii="宋体" w:hAnsi="宋体" w:eastAsia="宋体" w:cs="宋体"/>
                <w:color w:val="auto"/>
                <w:kern w:val="0"/>
                <w:sz w:val="22"/>
                <w:szCs w:val="22"/>
                <w:lang w:val="en-US" w:eastAsia="zh-CN" w:bidi="ar"/>
              </w:rPr>
              <w:t>狱政刑执管理系统对接的能力；依据平台功能业务需求接入该系统FX人员狱政管理、刑罚执行相关数据；</w:t>
            </w:r>
          </w:p>
        </w:tc>
      </w:tr>
      <w:tr w14:paraId="544AEBBA">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vAlign w:val="center"/>
          </w:tcPr>
          <w:p w14:paraId="0FC14113">
            <w:pPr>
              <w:widowControl/>
              <w:spacing w:before="48" w:beforeLines="20" w:line="288"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1762" w:type="dxa"/>
            <w:tcBorders>
              <w:top w:val="single" w:color="000000" w:sz="4" w:space="0"/>
              <w:left w:val="single" w:color="000000" w:sz="4" w:space="0"/>
              <w:bottom w:val="single" w:color="000000" w:sz="4" w:space="0"/>
              <w:right w:val="single" w:color="000000" w:sz="4" w:space="0"/>
            </w:tcBorders>
            <w:vAlign w:val="center"/>
          </w:tcPr>
          <w:p w14:paraId="7BE86C49">
            <w:pPr>
              <w:widowControl/>
              <w:spacing w:before="48" w:beforeLines="20" w:line="288"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生产管理系统</w:t>
            </w:r>
          </w:p>
        </w:tc>
        <w:tc>
          <w:tcPr>
            <w:tcW w:w="7550" w:type="dxa"/>
            <w:tcBorders>
              <w:top w:val="single" w:color="000000" w:sz="4" w:space="0"/>
              <w:left w:val="single" w:color="000000" w:sz="4" w:space="0"/>
              <w:bottom w:val="single" w:color="000000" w:sz="4" w:space="0"/>
              <w:right w:val="single" w:color="000000" w:sz="4" w:space="0"/>
            </w:tcBorders>
            <w:vAlign w:val="center"/>
          </w:tcPr>
          <w:p w14:paraId="7DBE3F76">
            <w:pPr>
              <w:widowControl/>
              <w:spacing w:before="48" w:beforeLines="20" w:line="288" w:lineRule="auto"/>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平台应具备与</w:t>
            </w:r>
            <w:r>
              <w:rPr>
                <w:rFonts w:hint="eastAsia" w:ascii="宋体" w:hAnsi="宋体" w:cs="宋体"/>
                <w:color w:val="auto"/>
                <w:kern w:val="0"/>
                <w:sz w:val="22"/>
                <w:szCs w:val="22"/>
                <w:lang w:val="en-US" w:eastAsia="zh-CN" w:bidi="ar"/>
              </w:rPr>
              <w:t>景弘集团</w:t>
            </w:r>
            <w:r>
              <w:rPr>
                <w:rFonts w:hint="eastAsia" w:ascii="宋体" w:hAnsi="宋体" w:eastAsia="宋体" w:cs="宋体"/>
                <w:color w:val="auto"/>
                <w:kern w:val="0"/>
                <w:sz w:val="22"/>
                <w:szCs w:val="22"/>
                <w:lang w:val="en-US" w:eastAsia="zh-CN" w:bidi="ar"/>
              </w:rPr>
              <w:t>生产管理系统对接的能力；依据平台功能业务需求接入该系统FX人员教育改造、生活卫生、劳动改造</w:t>
            </w:r>
            <w:r>
              <w:rPr>
                <w:rFonts w:hint="eastAsia" w:ascii="宋体" w:hAnsi="宋体" w:cs="宋体"/>
                <w:color w:val="auto"/>
                <w:kern w:val="0"/>
                <w:sz w:val="22"/>
                <w:szCs w:val="22"/>
                <w:lang w:val="en-US" w:eastAsia="zh-CN" w:bidi="ar"/>
              </w:rPr>
              <w:t>、狱务公开</w:t>
            </w:r>
            <w:r>
              <w:rPr>
                <w:rFonts w:hint="eastAsia" w:ascii="宋体" w:hAnsi="宋体" w:eastAsia="宋体" w:cs="宋体"/>
                <w:color w:val="auto"/>
                <w:kern w:val="0"/>
                <w:sz w:val="22"/>
                <w:szCs w:val="22"/>
                <w:lang w:val="en-US" w:eastAsia="zh-CN" w:bidi="ar"/>
              </w:rPr>
              <w:t>等相关数据；。</w:t>
            </w:r>
          </w:p>
        </w:tc>
      </w:tr>
      <w:tr w14:paraId="3C4106C5">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vAlign w:val="center"/>
          </w:tcPr>
          <w:p w14:paraId="52FCFCC1">
            <w:pPr>
              <w:widowControl/>
              <w:spacing w:before="48" w:beforeLines="20" w:line="288"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w:t>
            </w:r>
          </w:p>
        </w:tc>
        <w:tc>
          <w:tcPr>
            <w:tcW w:w="1762" w:type="dxa"/>
            <w:tcBorders>
              <w:top w:val="single" w:color="000000" w:sz="4" w:space="0"/>
              <w:left w:val="single" w:color="000000" w:sz="4" w:space="0"/>
              <w:bottom w:val="single" w:color="000000" w:sz="4" w:space="0"/>
              <w:right w:val="single" w:color="000000" w:sz="4" w:space="0"/>
            </w:tcBorders>
            <w:vAlign w:val="center"/>
          </w:tcPr>
          <w:p w14:paraId="690AA8B3">
            <w:pPr>
              <w:widowControl/>
              <w:spacing w:before="48" w:beforeLines="20" w:line="288"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闽狱通</w:t>
            </w:r>
          </w:p>
        </w:tc>
        <w:tc>
          <w:tcPr>
            <w:tcW w:w="7550" w:type="dxa"/>
            <w:tcBorders>
              <w:top w:val="single" w:color="000000" w:sz="4" w:space="0"/>
              <w:left w:val="single" w:color="000000" w:sz="4" w:space="0"/>
              <w:bottom w:val="single" w:color="000000" w:sz="4" w:space="0"/>
              <w:right w:val="single" w:color="000000" w:sz="4" w:space="0"/>
            </w:tcBorders>
            <w:vAlign w:val="center"/>
          </w:tcPr>
          <w:p w14:paraId="26CA43CE">
            <w:pPr>
              <w:widowControl/>
              <w:spacing w:before="48" w:beforeLines="20" w:line="288" w:lineRule="auto"/>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平台应具备与</w:t>
            </w:r>
            <w:r>
              <w:rPr>
                <w:rFonts w:hint="eastAsia" w:ascii="宋体" w:hAnsi="宋体" w:cs="宋体"/>
                <w:color w:val="auto"/>
                <w:kern w:val="0"/>
                <w:sz w:val="22"/>
                <w:szCs w:val="22"/>
                <w:lang w:val="en-US" w:eastAsia="zh-CN" w:bidi="ar"/>
              </w:rPr>
              <w:t>景弘集团</w:t>
            </w:r>
            <w:r>
              <w:rPr>
                <w:rFonts w:hint="eastAsia" w:ascii="宋体" w:hAnsi="宋体" w:eastAsia="宋体" w:cs="宋体"/>
                <w:color w:val="auto"/>
                <w:kern w:val="0"/>
                <w:sz w:val="22"/>
                <w:szCs w:val="22"/>
                <w:lang w:val="en-US" w:eastAsia="zh-CN" w:bidi="ar"/>
              </w:rPr>
              <w:t>即时通讯系统（闽狱通）对接的能力；支持以不同岗位职责的工作事务、工作消息推送至闽狱通。</w:t>
            </w:r>
          </w:p>
        </w:tc>
      </w:tr>
      <w:tr w14:paraId="64D97BF3">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vAlign w:val="center"/>
          </w:tcPr>
          <w:p w14:paraId="0A991CF2">
            <w:pPr>
              <w:widowControl/>
              <w:spacing w:before="48" w:beforeLines="20" w:line="288"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1762" w:type="dxa"/>
            <w:tcBorders>
              <w:top w:val="single" w:color="000000" w:sz="4" w:space="0"/>
              <w:left w:val="single" w:color="000000" w:sz="4" w:space="0"/>
              <w:bottom w:val="single" w:color="000000" w:sz="4" w:space="0"/>
              <w:right w:val="single" w:color="000000" w:sz="4" w:space="0"/>
            </w:tcBorders>
            <w:vAlign w:val="center"/>
          </w:tcPr>
          <w:p w14:paraId="029A4C4D">
            <w:pPr>
              <w:widowControl/>
              <w:spacing w:before="48" w:beforeLines="20" w:line="288"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统一管理平台</w:t>
            </w:r>
          </w:p>
        </w:tc>
        <w:tc>
          <w:tcPr>
            <w:tcW w:w="7550" w:type="dxa"/>
            <w:tcBorders>
              <w:top w:val="single" w:color="000000" w:sz="4" w:space="0"/>
              <w:left w:val="single" w:color="000000" w:sz="4" w:space="0"/>
              <w:bottom w:val="single" w:color="000000" w:sz="4" w:space="0"/>
              <w:right w:val="single" w:color="000000" w:sz="4" w:space="0"/>
            </w:tcBorders>
            <w:vAlign w:val="center"/>
          </w:tcPr>
          <w:p w14:paraId="3BC0F7A0">
            <w:pPr>
              <w:widowControl/>
              <w:spacing w:before="48" w:beforeLines="20" w:line="288" w:lineRule="auto"/>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平台应具备与</w:t>
            </w:r>
            <w:r>
              <w:rPr>
                <w:rFonts w:hint="eastAsia" w:ascii="宋体" w:hAnsi="宋体" w:cs="宋体"/>
                <w:color w:val="auto"/>
                <w:kern w:val="0"/>
                <w:sz w:val="22"/>
                <w:szCs w:val="22"/>
                <w:lang w:val="en-US" w:eastAsia="zh-CN" w:bidi="ar"/>
              </w:rPr>
              <w:t>景弘集团</w:t>
            </w:r>
            <w:r>
              <w:rPr>
                <w:rFonts w:hint="eastAsia" w:ascii="宋体" w:hAnsi="宋体" w:eastAsia="宋体" w:cs="宋体"/>
                <w:color w:val="auto"/>
                <w:kern w:val="0"/>
                <w:sz w:val="22"/>
                <w:szCs w:val="22"/>
                <w:lang w:val="en-US" w:eastAsia="zh-CN" w:bidi="ar"/>
              </w:rPr>
              <w:t>统一管理平台对接的能力；依据平台功能业务需求接入该系统用户、组织等相关数据；</w:t>
            </w:r>
          </w:p>
        </w:tc>
      </w:tr>
    </w:tbl>
    <w:p w14:paraId="2F9094B3">
      <w:pPr>
        <w:spacing w:line="360" w:lineRule="auto"/>
        <w:outlineLvl w:val="2"/>
        <w:rPr>
          <w:rFonts w:hint="eastAsia" w:ascii="Times New Roman" w:hAnsi="Times New Roman" w:eastAsia="宋体" w:cs="Times New Roman"/>
          <w:b/>
          <w:bCs/>
          <w:sz w:val="24"/>
        </w:rPr>
      </w:pPr>
      <w:r>
        <w:rPr>
          <w:rFonts w:hint="eastAsia" w:ascii="Times New Roman" w:hAnsi="Times New Roman" w:eastAsia="宋体" w:cs="Times New Roman"/>
          <w:b/>
          <w:bCs/>
          <w:sz w:val="24"/>
        </w:rPr>
        <w:t>（</w:t>
      </w:r>
      <w:r>
        <w:rPr>
          <w:rFonts w:hint="eastAsia" w:ascii="Times New Roman" w:hAnsi="Times New Roman" w:eastAsia="宋体" w:cs="Times New Roman"/>
          <w:b/>
          <w:bCs/>
          <w:sz w:val="24"/>
          <w:lang w:val="en-US" w:eastAsia="zh-CN"/>
        </w:rPr>
        <w:t>十</w:t>
      </w:r>
      <w:r>
        <w:rPr>
          <w:rFonts w:hint="eastAsia" w:ascii="Times New Roman" w:hAnsi="Times New Roman" w:eastAsia="宋体" w:cs="Times New Roman"/>
          <w:b/>
          <w:bCs/>
          <w:sz w:val="24"/>
        </w:rPr>
        <w:t>）服务要求</w:t>
      </w:r>
    </w:p>
    <w:p w14:paraId="4FE5BFB2">
      <w:pPr>
        <w:spacing w:line="360" w:lineRule="auto"/>
        <w:outlineLvl w:val="3"/>
        <w:rPr>
          <w:rFonts w:hint="eastAsia" w:eastAsia="宋体"/>
          <w:b/>
          <w:bCs/>
          <w:sz w:val="24"/>
          <w:lang w:eastAsia="zh-CN"/>
        </w:rPr>
      </w:pPr>
      <w:r>
        <w:rPr>
          <w:rFonts w:hint="eastAsia"/>
          <w:b/>
          <w:bCs/>
          <w:sz w:val="24"/>
          <w:lang w:eastAsia="zh-CN"/>
        </w:rPr>
        <w:t>（</w:t>
      </w:r>
      <w:r>
        <w:rPr>
          <w:rFonts w:hint="eastAsia"/>
          <w:b/>
          <w:bCs/>
          <w:sz w:val="24"/>
          <w:lang w:val="en-US" w:eastAsia="zh-CN"/>
        </w:rPr>
        <w:t>1</w:t>
      </w:r>
      <w:r>
        <w:rPr>
          <w:rFonts w:hint="eastAsia"/>
          <w:b/>
          <w:bCs/>
          <w:sz w:val="24"/>
          <w:lang w:eastAsia="zh-CN"/>
        </w:rPr>
        <w:t>）</w:t>
      </w:r>
      <w:r>
        <w:rPr>
          <w:rFonts w:hint="eastAsia"/>
          <w:b/>
          <w:bCs/>
          <w:sz w:val="24"/>
        </w:rPr>
        <w:t>项目团队</w:t>
      </w:r>
      <w:r>
        <w:rPr>
          <w:rFonts w:hint="eastAsia"/>
          <w:b/>
          <w:bCs/>
          <w:sz w:val="24"/>
          <w:lang w:eastAsia="zh-CN"/>
        </w:rPr>
        <w:t>基础要求：</w:t>
      </w:r>
    </w:p>
    <w:p w14:paraId="189B3CBC">
      <w:pPr>
        <w:spacing w:line="360" w:lineRule="auto"/>
        <w:ind w:firstLine="480" w:firstLineChars="200"/>
        <w:rPr>
          <w:rFonts w:hint="eastAsia"/>
          <w:color w:val="auto"/>
          <w:sz w:val="24"/>
        </w:rPr>
      </w:pPr>
      <w:r>
        <w:rPr>
          <w:rFonts w:hint="eastAsia"/>
          <w:color w:val="auto"/>
          <w:sz w:val="24"/>
          <w:lang w:eastAsia="zh-CN"/>
        </w:rPr>
        <w:t>针对</w:t>
      </w:r>
      <w:r>
        <w:rPr>
          <w:color w:val="auto"/>
          <w:sz w:val="24"/>
        </w:rPr>
        <w:t>本项目配置</w:t>
      </w:r>
      <w:r>
        <w:rPr>
          <w:rFonts w:hint="eastAsia"/>
          <w:color w:val="auto"/>
          <w:sz w:val="24"/>
          <w:lang w:eastAsia="zh-CN"/>
        </w:rPr>
        <w:t>的驻场</w:t>
      </w:r>
      <w:r>
        <w:rPr>
          <w:color w:val="auto"/>
          <w:sz w:val="24"/>
        </w:rPr>
        <w:t>团队</w:t>
      </w:r>
      <w:r>
        <w:rPr>
          <w:rFonts w:hint="eastAsia"/>
          <w:color w:val="auto"/>
          <w:sz w:val="24"/>
          <w:lang w:eastAsia="zh-CN"/>
        </w:rPr>
        <w:t>最低要求：①</w:t>
      </w:r>
      <w:r>
        <w:rPr>
          <w:rFonts w:hint="eastAsia"/>
          <w:color w:val="auto"/>
          <w:sz w:val="24"/>
          <w:lang w:val="en-US" w:eastAsia="zh-CN"/>
        </w:rPr>
        <w:t>项目建设期间</w:t>
      </w:r>
      <w:r>
        <w:rPr>
          <w:color w:val="auto"/>
          <w:sz w:val="24"/>
        </w:rPr>
        <w:t>项目</w:t>
      </w:r>
      <w:r>
        <w:rPr>
          <w:rFonts w:hint="eastAsia"/>
          <w:color w:val="auto"/>
          <w:sz w:val="24"/>
          <w:lang w:eastAsia="zh-CN"/>
        </w:rPr>
        <w:t>驻场</w:t>
      </w:r>
      <w:r>
        <w:rPr>
          <w:color w:val="auto"/>
          <w:sz w:val="24"/>
        </w:rPr>
        <w:t>团队应</w:t>
      </w:r>
      <w:r>
        <w:rPr>
          <w:rFonts w:hint="eastAsia"/>
          <w:color w:val="auto"/>
          <w:sz w:val="24"/>
        </w:rPr>
        <w:t>至少</w:t>
      </w:r>
      <w:r>
        <w:rPr>
          <w:color w:val="auto"/>
          <w:sz w:val="24"/>
        </w:rPr>
        <w:t>包含</w:t>
      </w:r>
      <w:r>
        <w:rPr>
          <w:rFonts w:hint="eastAsia"/>
          <w:color w:val="auto"/>
          <w:sz w:val="24"/>
          <w:lang w:eastAsia="zh-CN"/>
        </w:rPr>
        <w:t>项目经理</w:t>
      </w:r>
      <w:r>
        <w:rPr>
          <w:color w:val="auto"/>
          <w:sz w:val="24"/>
        </w:rPr>
        <w:t>1名</w:t>
      </w:r>
      <w:r>
        <w:rPr>
          <w:rFonts w:hint="eastAsia"/>
          <w:color w:val="auto"/>
          <w:sz w:val="24"/>
        </w:rPr>
        <w:t>、</w:t>
      </w:r>
      <w:r>
        <w:rPr>
          <w:color w:val="auto"/>
          <w:sz w:val="24"/>
        </w:rPr>
        <w:t>测试1名、前端开发</w:t>
      </w:r>
      <w:r>
        <w:rPr>
          <w:rFonts w:hint="eastAsia"/>
          <w:color w:val="auto"/>
          <w:sz w:val="24"/>
          <w:lang w:val="en-US" w:eastAsia="zh-CN"/>
        </w:rPr>
        <w:t>3</w:t>
      </w:r>
      <w:r>
        <w:rPr>
          <w:color w:val="auto"/>
          <w:sz w:val="24"/>
        </w:rPr>
        <w:t>名、后端开发</w:t>
      </w:r>
      <w:r>
        <w:rPr>
          <w:rFonts w:hint="eastAsia"/>
          <w:color w:val="auto"/>
          <w:sz w:val="24"/>
          <w:lang w:val="en-US" w:eastAsia="zh-CN"/>
        </w:rPr>
        <w:t>3</w:t>
      </w:r>
      <w:r>
        <w:rPr>
          <w:color w:val="auto"/>
          <w:sz w:val="24"/>
        </w:rPr>
        <w:t>名、硬件对接工程师1名。</w:t>
      </w:r>
      <w:r>
        <w:rPr>
          <w:rFonts w:hint="eastAsia"/>
          <w:color w:val="auto"/>
          <w:sz w:val="24"/>
        </w:rPr>
        <w:t>项目团队应</w:t>
      </w:r>
      <w:r>
        <w:rPr>
          <w:color w:val="auto"/>
          <w:sz w:val="24"/>
        </w:rPr>
        <w:t>入驻</w:t>
      </w:r>
      <w:r>
        <w:rPr>
          <w:rFonts w:hint="eastAsia"/>
          <w:color w:val="auto"/>
          <w:sz w:val="24"/>
          <w:lang w:eastAsia="zh-CN"/>
        </w:rPr>
        <w:t>招标人</w:t>
      </w:r>
      <w:r>
        <w:rPr>
          <w:color w:val="auto"/>
          <w:sz w:val="24"/>
        </w:rPr>
        <w:t>单位，</w:t>
      </w:r>
      <w:r>
        <w:rPr>
          <w:rFonts w:hint="eastAsia"/>
          <w:color w:val="auto"/>
          <w:sz w:val="24"/>
          <w:lang w:eastAsia="zh-CN"/>
        </w:rPr>
        <w:t>且工作</w:t>
      </w:r>
      <w:r>
        <w:rPr>
          <w:color w:val="auto"/>
          <w:sz w:val="24"/>
        </w:rPr>
        <w:t>上下班</w:t>
      </w:r>
      <w:r>
        <w:rPr>
          <w:rFonts w:hint="eastAsia"/>
          <w:color w:val="auto"/>
          <w:sz w:val="24"/>
          <w:lang w:eastAsia="zh-CN"/>
        </w:rPr>
        <w:t>时间</w:t>
      </w:r>
      <w:r>
        <w:rPr>
          <w:color w:val="auto"/>
          <w:sz w:val="24"/>
        </w:rPr>
        <w:t>与</w:t>
      </w:r>
      <w:r>
        <w:rPr>
          <w:rFonts w:hint="eastAsia"/>
          <w:color w:val="auto"/>
          <w:sz w:val="24"/>
          <w:lang w:eastAsia="zh-CN"/>
        </w:rPr>
        <w:t>招标人</w:t>
      </w:r>
      <w:r>
        <w:rPr>
          <w:color w:val="auto"/>
          <w:sz w:val="24"/>
        </w:rPr>
        <w:t>单位同步</w:t>
      </w:r>
      <w:r>
        <w:rPr>
          <w:rFonts w:hint="eastAsia"/>
          <w:color w:val="auto"/>
          <w:sz w:val="24"/>
        </w:rPr>
        <w:t>。</w:t>
      </w:r>
      <w:r>
        <w:rPr>
          <w:rFonts w:hint="eastAsia"/>
          <w:color w:val="auto"/>
          <w:sz w:val="24"/>
          <w:lang w:eastAsia="zh-CN"/>
        </w:rPr>
        <w:t>②在</w:t>
      </w:r>
      <w:r>
        <w:rPr>
          <w:rFonts w:hint="eastAsia"/>
          <w:color w:val="auto"/>
          <w:sz w:val="24"/>
          <w:lang w:val="en-US" w:eastAsia="zh-CN"/>
        </w:rPr>
        <w:t>质量保修期内中标人</w:t>
      </w:r>
      <w:r>
        <w:rPr>
          <w:rFonts w:hint="eastAsia"/>
          <w:color w:val="auto"/>
          <w:sz w:val="24"/>
          <w:lang w:eastAsia="zh-CN"/>
        </w:rPr>
        <w:t>应派遣</w:t>
      </w:r>
      <w:r>
        <w:rPr>
          <w:rFonts w:hint="eastAsia"/>
          <w:color w:val="auto"/>
          <w:sz w:val="24"/>
          <w:lang w:val="en-US" w:eastAsia="zh-CN"/>
        </w:rPr>
        <w:t>3</w:t>
      </w:r>
      <w:r>
        <w:rPr>
          <w:color w:val="auto"/>
          <w:sz w:val="24"/>
        </w:rPr>
        <w:t>名运维人员</w:t>
      </w:r>
      <w:r>
        <w:rPr>
          <w:rFonts w:hint="eastAsia"/>
          <w:color w:val="auto"/>
          <w:sz w:val="24"/>
          <w:lang w:eastAsia="zh-CN"/>
        </w:rPr>
        <w:t>，</w:t>
      </w:r>
      <w:r>
        <w:rPr>
          <w:rFonts w:hint="eastAsia"/>
          <w:color w:val="auto"/>
          <w:sz w:val="24"/>
          <w:lang w:val="en-US" w:eastAsia="zh-CN"/>
        </w:rPr>
        <w:t>提供服务（服务内容包括但不限于景弘集团及子公司的上门对接服务）且接到招标人的任务后2小时内响应，并根据情况派运维人员24小时内到达</w:t>
      </w:r>
      <w:r>
        <w:rPr>
          <w:color w:val="auto"/>
          <w:sz w:val="24"/>
        </w:rPr>
        <w:t>。</w:t>
      </w:r>
      <w:r>
        <w:rPr>
          <w:rStyle w:val="30"/>
          <w:rFonts w:hint="eastAsia" w:ascii="宋体" w:hAnsi="宋体" w:eastAsia="宋体" w:cs="宋体"/>
          <w:b/>
          <w:bCs w:val="0"/>
          <w:color w:val="auto"/>
          <w:sz w:val="24"/>
          <w:szCs w:val="24"/>
          <w:u w:val="single"/>
          <w:lang w:eastAsia="zh-CN"/>
        </w:rPr>
        <w:t>【针对此项，投标人</w:t>
      </w:r>
      <w:r>
        <w:rPr>
          <w:rStyle w:val="30"/>
          <w:rFonts w:hint="eastAsia" w:ascii="宋体" w:hAnsi="宋体" w:eastAsia="宋体" w:cs="宋体"/>
          <w:b/>
          <w:bCs w:val="0"/>
          <w:color w:val="auto"/>
          <w:sz w:val="24"/>
          <w:szCs w:val="24"/>
          <w:u w:val="single"/>
        </w:rPr>
        <w:t>须</w:t>
      </w:r>
      <w:r>
        <w:rPr>
          <w:rStyle w:val="30"/>
          <w:rFonts w:hint="eastAsia" w:ascii="宋体" w:hAnsi="宋体" w:eastAsia="宋体" w:cs="宋体"/>
          <w:b/>
          <w:bCs w:val="0"/>
          <w:color w:val="auto"/>
          <w:sz w:val="24"/>
          <w:szCs w:val="24"/>
          <w:u w:val="single"/>
          <w:lang w:eastAsia="zh-CN"/>
        </w:rPr>
        <w:t>在投标文件技术商务中</w:t>
      </w:r>
      <w:r>
        <w:rPr>
          <w:rStyle w:val="30"/>
          <w:rFonts w:hint="eastAsia" w:ascii="宋体" w:hAnsi="宋体" w:eastAsia="宋体" w:cs="宋体"/>
          <w:b/>
          <w:bCs w:val="0"/>
          <w:color w:val="auto"/>
          <w:sz w:val="24"/>
          <w:szCs w:val="24"/>
          <w:u w:val="single"/>
        </w:rPr>
        <w:t>单独提供专项承诺函</w:t>
      </w:r>
      <w:r>
        <w:rPr>
          <w:rStyle w:val="30"/>
          <w:rFonts w:hint="eastAsia" w:ascii="宋体" w:hAnsi="宋体" w:eastAsia="宋体" w:cs="宋体"/>
          <w:b/>
          <w:bCs w:val="0"/>
          <w:color w:val="auto"/>
          <w:sz w:val="24"/>
          <w:szCs w:val="24"/>
          <w:u w:val="single"/>
          <w:lang w:eastAsia="zh-CN"/>
        </w:rPr>
        <w:t>（格式自拟）</w:t>
      </w:r>
      <w:r>
        <w:rPr>
          <w:rStyle w:val="30"/>
          <w:rFonts w:hint="eastAsia" w:ascii="宋体" w:hAnsi="宋体" w:eastAsia="宋体" w:cs="宋体"/>
          <w:b/>
          <w:bCs w:val="0"/>
          <w:color w:val="auto"/>
          <w:sz w:val="24"/>
          <w:szCs w:val="24"/>
          <w:u w:val="single"/>
        </w:rPr>
        <w:t>，</w:t>
      </w:r>
      <w:r>
        <w:rPr>
          <w:rStyle w:val="30"/>
          <w:rFonts w:hint="eastAsia" w:ascii="宋体" w:hAnsi="宋体" w:eastAsia="宋体" w:cs="宋体"/>
          <w:b/>
          <w:bCs w:val="0"/>
          <w:color w:val="auto"/>
          <w:sz w:val="24"/>
          <w:szCs w:val="24"/>
          <w:u w:val="single"/>
          <w:lang w:eastAsia="zh-CN"/>
        </w:rPr>
        <w:t>否则</w:t>
      </w:r>
      <w:r>
        <w:rPr>
          <w:rStyle w:val="30"/>
          <w:rFonts w:hint="eastAsia" w:ascii="宋体" w:hAnsi="宋体" w:eastAsia="宋体" w:cs="宋体"/>
          <w:b/>
          <w:bCs w:val="0"/>
          <w:color w:val="auto"/>
          <w:sz w:val="24"/>
          <w:szCs w:val="24"/>
          <w:u w:val="single"/>
        </w:rPr>
        <w:t>按无效投标处理</w:t>
      </w:r>
      <w:r>
        <w:rPr>
          <w:rStyle w:val="30"/>
          <w:rFonts w:hint="eastAsia" w:ascii="宋体" w:hAnsi="宋体" w:eastAsia="宋体" w:cs="宋体"/>
          <w:b/>
          <w:bCs w:val="0"/>
          <w:color w:val="auto"/>
          <w:sz w:val="24"/>
          <w:szCs w:val="24"/>
          <w:u w:val="single"/>
          <w:lang w:eastAsia="zh-CN"/>
        </w:rPr>
        <w:t>】</w:t>
      </w:r>
    </w:p>
    <w:p w14:paraId="1DD8099F">
      <w:pPr>
        <w:spacing w:line="360" w:lineRule="auto"/>
        <w:outlineLvl w:val="3"/>
        <w:rPr>
          <w:rFonts w:hint="eastAsia" w:ascii="Times New Roman" w:hAnsi="Times New Roman" w:eastAsia="宋体" w:cs="Times New Roman"/>
          <w:b/>
          <w:bCs/>
          <w:color w:val="auto"/>
          <w:sz w:val="24"/>
          <w:lang w:eastAsia="zh-CN"/>
        </w:rPr>
      </w:pPr>
      <w:r>
        <w:rPr>
          <w:rFonts w:hint="eastAsia" w:ascii="Times New Roman" w:hAnsi="Times New Roman" w:eastAsia="宋体" w:cs="Times New Roman"/>
          <w:b/>
          <w:bCs/>
          <w:color w:val="auto"/>
          <w:sz w:val="24"/>
          <w:lang w:val="en-US" w:eastAsia="zh-CN"/>
        </w:rPr>
        <w:t>（2）</w:t>
      </w:r>
      <w:r>
        <w:rPr>
          <w:rFonts w:hint="eastAsia" w:ascii="Times New Roman" w:hAnsi="Times New Roman" w:eastAsia="宋体" w:cs="Times New Roman"/>
          <w:b/>
          <w:bCs/>
          <w:color w:val="auto"/>
          <w:sz w:val="24"/>
          <w:lang w:eastAsia="zh-CN"/>
        </w:rPr>
        <w:t>数据对接</w:t>
      </w:r>
    </w:p>
    <w:p w14:paraId="66932047">
      <w:pPr>
        <w:spacing w:line="360" w:lineRule="auto"/>
        <w:ind w:firstLine="482"/>
        <w:rPr>
          <w:b w:val="0"/>
          <w:bCs w:val="0"/>
          <w:color w:val="auto"/>
          <w:sz w:val="24"/>
          <w:u w:val="none"/>
        </w:rPr>
      </w:pPr>
      <w:r>
        <w:rPr>
          <w:b w:val="0"/>
          <w:bCs w:val="0"/>
          <w:color w:val="auto"/>
          <w:sz w:val="24"/>
          <w:u w:val="none"/>
        </w:rPr>
        <w:t>中标人所提供的</w:t>
      </w:r>
      <w:r>
        <w:rPr>
          <w:rFonts w:hint="eastAsia"/>
          <w:b w:val="0"/>
          <w:bCs w:val="0"/>
          <w:color w:val="auto"/>
          <w:sz w:val="24"/>
          <w:u w:val="none"/>
          <w:lang w:val="en-US" w:eastAsia="zh-CN"/>
        </w:rPr>
        <w:t>员工一体化交互平台</w:t>
      </w:r>
      <w:r>
        <w:rPr>
          <w:b w:val="0"/>
          <w:bCs w:val="0"/>
          <w:color w:val="auto"/>
          <w:sz w:val="24"/>
          <w:u w:val="none"/>
        </w:rPr>
        <w:t>软件及设备能够实现与景弘集团的各子系统数据平台的对接，提供实时获取基础数据，对接</w:t>
      </w:r>
      <w:r>
        <w:rPr>
          <w:rFonts w:hint="eastAsia"/>
          <w:b w:val="0"/>
          <w:bCs w:val="0"/>
          <w:color w:val="auto"/>
          <w:sz w:val="24"/>
          <w:u w:val="none"/>
        </w:rPr>
        <w:t>景弘集团</w:t>
      </w:r>
      <w:r>
        <w:rPr>
          <w:b w:val="0"/>
          <w:bCs w:val="0"/>
          <w:color w:val="auto"/>
          <w:sz w:val="24"/>
          <w:u w:val="none"/>
        </w:rPr>
        <w:t>、</w:t>
      </w:r>
      <w:r>
        <w:rPr>
          <w:rFonts w:hint="eastAsia"/>
          <w:b w:val="0"/>
          <w:bCs w:val="0"/>
          <w:color w:val="auto"/>
          <w:sz w:val="24"/>
          <w:u w:val="none"/>
        </w:rPr>
        <w:t>子公司</w:t>
      </w:r>
      <w:r>
        <w:rPr>
          <w:rFonts w:hint="eastAsia"/>
          <w:b w:val="0"/>
          <w:bCs w:val="0"/>
          <w:color w:val="auto"/>
          <w:sz w:val="24"/>
          <w:u w:val="none"/>
          <w:lang w:val="en-US" w:eastAsia="zh-CN"/>
        </w:rPr>
        <w:t>的相关子系统</w:t>
      </w:r>
      <w:r>
        <w:rPr>
          <w:b w:val="0"/>
          <w:bCs w:val="0"/>
          <w:color w:val="auto"/>
          <w:sz w:val="24"/>
          <w:u w:val="none"/>
        </w:rPr>
        <w:t>实现统一管控的功能。</w:t>
      </w:r>
    </w:p>
    <w:p w14:paraId="3C2D6570">
      <w:pPr>
        <w:spacing w:line="360" w:lineRule="auto"/>
        <w:ind w:firstLine="482"/>
        <w:rPr>
          <w:rFonts w:hint="eastAsia"/>
          <w:b w:val="0"/>
          <w:bCs w:val="0"/>
          <w:color w:val="auto"/>
          <w:sz w:val="24"/>
          <w:u w:val="none"/>
        </w:rPr>
      </w:pPr>
      <w:r>
        <w:rPr>
          <w:rFonts w:hint="eastAsia"/>
          <w:b w:val="0"/>
          <w:bCs w:val="0"/>
          <w:color w:val="auto"/>
          <w:sz w:val="24"/>
          <w:u w:val="none"/>
          <w:lang w:val="en-US" w:eastAsia="zh-CN"/>
        </w:rPr>
        <w:t>A.员工一体化交互平台在泉州升华实业有限公司试点成功后，中标人需无条件负责把员工一体化交互平台所有相关业务迁移至景弘集团数据中心，可能产生的迁移费用均由中标人承担。</w:t>
      </w:r>
    </w:p>
    <w:p w14:paraId="0B832637">
      <w:pPr>
        <w:spacing w:line="360" w:lineRule="auto"/>
        <w:ind w:firstLine="482"/>
        <w:rPr>
          <w:rFonts w:hint="eastAsia"/>
          <w:b w:val="0"/>
          <w:bCs w:val="0"/>
          <w:color w:val="auto"/>
          <w:sz w:val="24"/>
          <w:u w:val="none"/>
        </w:rPr>
      </w:pPr>
      <w:r>
        <w:rPr>
          <w:rFonts w:hint="eastAsia"/>
          <w:b w:val="0"/>
          <w:bCs w:val="0"/>
          <w:color w:val="auto"/>
          <w:sz w:val="24"/>
          <w:u w:val="none"/>
          <w:lang w:val="en-US" w:eastAsia="zh-CN"/>
        </w:rPr>
        <w:t>B.</w:t>
      </w:r>
      <w:r>
        <w:rPr>
          <w:rFonts w:hint="eastAsia"/>
          <w:b w:val="0"/>
          <w:bCs w:val="0"/>
          <w:color w:val="auto"/>
          <w:sz w:val="24"/>
          <w:u w:val="none"/>
        </w:rPr>
        <w:t>由于本次员工一体化交互平台项目建设横跨政务网外网、景弘集团生产网、互联网等三个网络，中标</w:t>
      </w:r>
      <w:r>
        <w:rPr>
          <w:rFonts w:hint="eastAsia"/>
          <w:b w:val="0"/>
          <w:bCs w:val="0"/>
          <w:color w:val="auto"/>
          <w:sz w:val="24"/>
          <w:u w:val="none"/>
          <w:lang w:eastAsia="zh-CN"/>
        </w:rPr>
        <w:t>人</w:t>
      </w:r>
      <w:r>
        <w:rPr>
          <w:rFonts w:hint="eastAsia"/>
          <w:b w:val="0"/>
          <w:bCs w:val="0"/>
          <w:color w:val="auto"/>
          <w:sz w:val="24"/>
          <w:u w:val="none"/>
        </w:rPr>
        <w:t>需承诺数据、网络安全责任保障。</w:t>
      </w:r>
    </w:p>
    <w:p w14:paraId="0AD3F787">
      <w:pPr>
        <w:spacing w:line="360" w:lineRule="auto"/>
        <w:ind w:firstLine="482"/>
        <w:rPr>
          <w:rFonts w:hint="eastAsia"/>
          <w:b w:val="0"/>
          <w:bCs w:val="0"/>
          <w:color w:val="auto"/>
          <w:sz w:val="24"/>
          <w:u w:val="none"/>
        </w:rPr>
      </w:pPr>
      <w:r>
        <w:rPr>
          <w:rFonts w:hint="eastAsia"/>
          <w:b w:val="0"/>
          <w:bCs w:val="0"/>
          <w:color w:val="auto"/>
          <w:sz w:val="24"/>
          <w:u w:val="none"/>
          <w:lang w:val="en-US" w:eastAsia="zh-CN"/>
        </w:rPr>
        <w:t>C.</w:t>
      </w:r>
      <w:r>
        <w:rPr>
          <w:rFonts w:hint="eastAsia"/>
          <w:b w:val="0"/>
          <w:bCs w:val="0"/>
          <w:color w:val="auto"/>
          <w:sz w:val="24"/>
          <w:u w:val="none"/>
        </w:rPr>
        <w:t>本次具体功能需求仅为</w:t>
      </w:r>
      <w:r>
        <w:rPr>
          <w:rFonts w:hint="eastAsia"/>
          <w:b w:val="0"/>
          <w:bCs w:val="0"/>
          <w:color w:val="auto"/>
          <w:sz w:val="24"/>
          <w:u w:val="none"/>
          <w:lang w:eastAsia="zh-CN"/>
        </w:rPr>
        <w:t>基础</w:t>
      </w:r>
      <w:r>
        <w:rPr>
          <w:rFonts w:hint="eastAsia"/>
          <w:b w:val="0"/>
          <w:bCs w:val="0"/>
          <w:color w:val="auto"/>
          <w:sz w:val="24"/>
          <w:u w:val="none"/>
        </w:rPr>
        <w:t>需求，在项目建设过程中或维保期内，如遇到政策调整、业务变更</w:t>
      </w:r>
      <w:r>
        <w:rPr>
          <w:rFonts w:hint="eastAsia"/>
          <w:b w:val="0"/>
          <w:bCs w:val="0"/>
          <w:color w:val="auto"/>
          <w:sz w:val="24"/>
          <w:u w:val="none"/>
          <w:lang w:eastAsia="zh-CN"/>
        </w:rPr>
        <w:t>、需求变更</w:t>
      </w:r>
      <w:r>
        <w:rPr>
          <w:rFonts w:hint="eastAsia"/>
          <w:b w:val="0"/>
          <w:bCs w:val="0"/>
          <w:color w:val="auto"/>
          <w:sz w:val="24"/>
          <w:u w:val="none"/>
        </w:rPr>
        <w:t>等因素，具体实施细节以业务部门真实需求为准，中标</w:t>
      </w:r>
      <w:r>
        <w:rPr>
          <w:rFonts w:hint="eastAsia"/>
          <w:b w:val="0"/>
          <w:bCs w:val="0"/>
          <w:color w:val="auto"/>
          <w:sz w:val="24"/>
          <w:u w:val="none"/>
          <w:lang w:eastAsia="zh-CN"/>
        </w:rPr>
        <w:t>人</w:t>
      </w:r>
      <w:r>
        <w:rPr>
          <w:rFonts w:hint="eastAsia"/>
          <w:b w:val="0"/>
          <w:bCs w:val="0"/>
          <w:color w:val="auto"/>
          <w:sz w:val="24"/>
          <w:u w:val="none"/>
        </w:rPr>
        <w:t>应承诺无条件配合，不另行增加费用。</w:t>
      </w:r>
    </w:p>
    <w:p w14:paraId="40CEADA6">
      <w:pPr>
        <w:spacing w:line="360" w:lineRule="auto"/>
        <w:ind w:firstLine="482"/>
        <w:rPr>
          <w:b w:val="0"/>
          <w:bCs w:val="0"/>
          <w:color w:val="FF0000"/>
          <w:sz w:val="24"/>
          <w:highlight w:val="none"/>
          <w:u w:val="none"/>
        </w:rPr>
      </w:pPr>
      <w:r>
        <w:rPr>
          <w:rFonts w:hint="eastAsia"/>
          <w:b w:val="0"/>
          <w:bCs w:val="0"/>
          <w:color w:val="auto"/>
          <w:sz w:val="24"/>
          <w:highlight w:val="none"/>
          <w:u w:val="none"/>
          <w:lang w:eastAsia="zh-CN"/>
        </w:rPr>
        <w:t>注：</w:t>
      </w:r>
      <w:r>
        <w:rPr>
          <w:rStyle w:val="30"/>
          <w:rFonts w:hint="eastAsia" w:ascii="宋体" w:hAnsi="宋体" w:eastAsia="宋体" w:cs="宋体"/>
          <w:b/>
          <w:bCs w:val="0"/>
          <w:sz w:val="24"/>
          <w:szCs w:val="24"/>
          <w:highlight w:val="none"/>
          <w:u w:val="single"/>
          <w:lang w:eastAsia="zh-CN"/>
        </w:rPr>
        <w:t>针对</w:t>
      </w:r>
      <w:r>
        <w:rPr>
          <w:rStyle w:val="30"/>
          <w:rFonts w:hint="eastAsia" w:ascii="宋体" w:hAnsi="宋体" w:cs="宋体"/>
          <w:b/>
          <w:bCs w:val="0"/>
          <w:sz w:val="24"/>
          <w:szCs w:val="24"/>
          <w:highlight w:val="none"/>
          <w:u w:val="single"/>
          <w:lang w:eastAsia="zh-CN"/>
        </w:rPr>
        <w:t>“</w:t>
      </w:r>
      <w:r>
        <w:rPr>
          <w:rStyle w:val="30"/>
          <w:rFonts w:hint="eastAsia" w:ascii="宋体" w:hAnsi="宋体" w:eastAsia="宋体" w:cs="宋体"/>
          <w:b/>
          <w:bCs w:val="0"/>
          <w:sz w:val="24"/>
          <w:szCs w:val="24"/>
          <w:highlight w:val="none"/>
          <w:u w:val="single"/>
          <w:lang w:val="en-US" w:eastAsia="zh-CN"/>
        </w:rPr>
        <w:t>（2）</w:t>
      </w:r>
      <w:r>
        <w:rPr>
          <w:rStyle w:val="30"/>
          <w:rFonts w:hint="eastAsia" w:ascii="宋体" w:hAnsi="宋体" w:eastAsia="宋体" w:cs="宋体"/>
          <w:b/>
          <w:bCs w:val="0"/>
          <w:sz w:val="24"/>
          <w:szCs w:val="24"/>
          <w:highlight w:val="none"/>
          <w:u w:val="single"/>
          <w:lang w:eastAsia="zh-CN"/>
        </w:rPr>
        <w:t>数据对接</w:t>
      </w:r>
      <w:r>
        <w:rPr>
          <w:rStyle w:val="30"/>
          <w:rFonts w:hint="eastAsia" w:ascii="宋体" w:hAnsi="宋体" w:cs="宋体"/>
          <w:b/>
          <w:bCs w:val="0"/>
          <w:sz w:val="24"/>
          <w:szCs w:val="24"/>
          <w:highlight w:val="none"/>
          <w:u w:val="single"/>
          <w:lang w:eastAsia="zh-CN"/>
        </w:rPr>
        <w:t>”中</w:t>
      </w:r>
      <w:r>
        <w:rPr>
          <w:rStyle w:val="30"/>
          <w:rFonts w:hint="eastAsia" w:ascii="宋体" w:hAnsi="宋体" w:cs="宋体"/>
          <w:b/>
          <w:bCs w:val="0"/>
          <w:sz w:val="24"/>
          <w:szCs w:val="24"/>
          <w:highlight w:val="none"/>
          <w:u w:val="single"/>
          <w:lang w:val="en-US" w:eastAsia="zh-CN"/>
        </w:rPr>
        <w:t>A、B、C三项</w:t>
      </w:r>
      <w:r>
        <w:rPr>
          <w:rStyle w:val="30"/>
          <w:rFonts w:hint="eastAsia" w:ascii="宋体" w:hAnsi="宋体" w:eastAsia="宋体" w:cs="宋体"/>
          <w:b/>
          <w:bCs w:val="0"/>
          <w:sz w:val="24"/>
          <w:szCs w:val="24"/>
          <w:highlight w:val="none"/>
          <w:u w:val="single"/>
          <w:lang w:eastAsia="zh-CN"/>
        </w:rPr>
        <w:t>，投标人</w:t>
      </w:r>
      <w:r>
        <w:rPr>
          <w:rStyle w:val="30"/>
          <w:rFonts w:hint="eastAsia" w:ascii="宋体" w:hAnsi="宋体" w:eastAsia="宋体" w:cs="宋体"/>
          <w:b/>
          <w:bCs w:val="0"/>
          <w:sz w:val="24"/>
          <w:szCs w:val="24"/>
          <w:highlight w:val="none"/>
          <w:u w:val="single"/>
        </w:rPr>
        <w:t>须</w:t>
      </w:r>
      <w:r>
        <w:rPr>
          <w:rStyle w:val="30"/>
          <w:rFonts w:hint="eastAsia" w:ascii="宋体" w:hAnsi="宋体" w:eastAsia="宋体" w:cs="宋体"/>
          <w:b/>
          <w:bCs w:val="0"/>
          <w:sz w:val="24"/>
          <w:szCs w:val="24"/>
          <w:highlight w:val="none"/>
          <w:u w:val="single"/>
          <w:lang w:eastAsia="zh-CN"/>
        </w:rPr>
        <w:t>在投标文件技术商务中</w:t>
      </w:r>
      <w:r>
        <w:rPr>
          <w:rStyle w:val="30"/>
          <w:rFonts w:hint="eastAsia" w:ascii="宋体" w:hAnsi="宋体" w:eastAsia="宋体" w:cs="宋体"/>
          <w:b/>
          <w:bCs w:val="0"/>
          <w:sz w:val="24"/>
          <w:szCs w:val="24"/>
          <w:highlight w:val="none"/>
          <w:u w:val="single"/>
        </w:rPr>
        <w:t>单独提供专项承诺函</w:t>
      </w:r>
      <w:r>
        <w:rPr>
          <w:rStyle w:val="30"/>
          <w:rFonts w:hint="eastAsia" w:ascii="宋体" w:hAnsi="宋体" w:eastAsia="宋体" w:cs="宋体"/>
          <w:b/>
          <w:bCs w:val="0"/>
          <w:sz w:val="24"/>
          <w:szCs w:val="24"/>
          <w:highlight w:val="none"/>
          <w:u w:val="single"/>
          <w:lang w:eastAsia="zh-CN"/>
        </w:rPr>
        <w:t>（格式自拟）</w:t>
      </w:r>
      <w:r>
        <w:rPr>
          <w:rStyle w:val="30"/>
          <w:rFonts w:hint="eastAsia" w:ascii="宋体" w:hAnsi="宋体" w:eastAsia="宋体" w:cs="宋体"/>
          <w:b/>
          <w:bCs w:val="0"/>
          <w:sz w:val="24"/>
          <w:szCs w:val="24"/>
          <w:highlight w:val="none"/>
          <w:u w:val="single"/>
        </w:rPr>
        <w:t>，</w:t>
      </w:r>
      <w:r>
        <w:rPr>
          <w:rStyle w:val="30"/>
          <w:rFonts w:hint="eastAsia" w:ascii="宋体" w:hAnsi="宋体" w:eastAsia="宋体" w:cs="宋体"/>
          <w:b/>
          <w:bCs w:val="0"/>
          <w:sz w:val="24"/>
          <w:szCs w:val="24"/>
          <w:highlight w:val="none"/>
          <w:u w:val="single"/>
          <w:lang w:eastAsia="zh-CN"/>
        </w:rPr>
        <w:t>否则</w:t>
      </w:r>
      <w:r>
        <w:rPr>
          <w:rStyle w:val="30"/>
          <w:rFonts w:hint="eastAsia" w:ascii="宋体" w:hAnsi="宋体" w:eastAsia="宋体" w:cs="宋体"/>
          <w:b/>
          <w:bCs w:val="0"/>
          <w:sz w:val="24"/>
          <w:szCs w:val="24"/>
          <w:highlight w:val="none"/>
          <w:u w:val="single"/>
        </w:rPr>
        <w:t>按无效投标处理</w:t>
      </w:r>
    </w:p>
    <w:p w14:paraId="572A5E87">
      <w:pPr>
        <w:spacing w:line="360" w:lineRule="auto"/>
        <w:outlineLvl w:val="3"/>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（3）数据接口开放</w:t>
      </w:r>
    </w:p>
    <w:p w14:paraId="557F4394">
      <w:pPr>
        <w:spacing w:line="360" w:lineRule="auto"/>
        <w:ind w:firstLine="456" w:firstLineChars="200"/>
        <w:rPr>
          <w:rFonts w:hint="eastAsia"/>
          <w:sz w:val="24"/>
        </w:rPr>
      </w:pPr>
      <w:r>
        <w:rPr>
          <w:rFonts w:hint="eastAsia"/>
          <w:b w:val="0"/>
          <w:bCs w:val="0"/>
          <w:spacing w:val="-6"/>
          <w:sz w:val="24"/>
          <w:u w:val="none"/>
        </w:rPr>
        <w:t>1</w:t>
      </w:r>
      <w:r>
        <w:rPr>
          <w:rFonts w:hint="eastAsia"/>
          <w:b w:val="0"/>
          <w:bCs w:val="0"/>
          <w:spacing w:val="-6"/>
          <w:sz w:val="24"/>
          <w:u w:val="none"/>
          <w:lang w:eastAsia="zh-CN"/>
        </w:rPr>
        <w:t>）</w:t>
      </w:r>
      <w:r>
        <w:rPr>
          <w:b w:val="0"/>
          <w:bCs w:val="0"/>
          <w:spacing w:val="-6"/>
          <w:sz w:val="24"/>
          <w:u w:val="none"/>
        </w:rPr>
        <w:t>中标人应永久免费开放本系统数据接口，提供接口说明文档，便于与其他信息系统数据对接，并免费提供技术支持，便于本系统接入其他系统中。</w:t>
      </w:r>
      <w:r>
        <w:rPr>
          <w:rStyle w:val="30"/>
          <w:rFonts w:hint="eastAsia" w:ascii="宋体" w:hAnsi="宋体" w:eastAsia="宋体" w:cs="宋体"/>
          <w:b/>
          <w:bCs w:val="0"/>
          <w:sz w:val="24"/>
          <w:szCs w:val="24"/>
          <w:u w:val="single"/>
          <w:lang w:eastAsia="zh-CN"/>
        </w:rPr>
        <w:t>【针对此项，投标人</w:t>
      </w:r>
      <w:r>
        <w:rPr>
          <w:rStyle w:val="30"/>
          <w:rFonts w:hint="eastAsia" w:ascii="宋体" w:hAnsi="宋体" w:eastAsia="宋体" w:cs="宋体"/>
          <w:b/>
          <w:bCs w:val="0"/>
          <w:sz w:val="24"/>
          <w:szCs w:val="24"/>
          <w:u w:val="single"/>
        </w:rPr>
        <w:t>须</w:t>
      </w:r>
      <w:r>
        <w:rPr>
          <w:rStyle w:val="30"/>
          <w:rFonts w:hint="eastAsia" w:ascii="宋体" w:hAnsi="宋体" w:eastAsia="宋体" w:cs="宋体"/>
          <w:b/>
          <w:bCs w:val="0"/>
          <w:sz w:val="24"/>
          <w:szCs w:val="24"/>
          <w:u w:val="single"/>
          <w:lang w:eastAsia="zh-CN"/>
        </w:rPr>
        <w:t>在投标文件技术商务中</w:t>
      </w:r>
      <w:r>
        <w:rPr>
          <w:rStyle w:val="30"/>
          <w:rFonts w:hint="eastAsia" w:ascii="宋体" w:hAnsi="宋体" w:eastAsia="宋体" w:cs="宋体"/>
          <w:b/>
          <w:bCs w:val="0"/>
          <w:sz w:val="24"/>
          <w:szCs w:val="24"/>
          <w:u w:val="single"/>
        </w:rPr>
        <w:t>单独提供专项承诺函</w:t>
      </w:r>
      <w:r>
        <w:rPr>
          <w:rStyle w:val="30"/>
          <w:rFonts w:hint="eastAsia" w:ascii="宋体" w:hAnsi="宋体" w:eastAsia="宋体" w:cs="宋体"/>
          <w:b/>
          <w:bCs w:val="0"/>
          <w:sz w:val="24"/>
          <w:szCs w:val="24"/>
          <w:u w:val="single"/>
          <w:lang w:eastAsia="zh-CN"/>
        </w:rPr>
        <w:t>（格式自拟）</w:t>
      </w:r>
      <w:r>
        <w:rPr>
          <w:rStyle w:val="30"/>
          <w:rFonts w:hint="eastAsia" w:ascii="宋体" w:hAnsi="宋体" w:eastAsia="宋体" w:cs="宋体"/>
          <w:b/>
          <w:bCs w:val="0"/>
          <w:sz w:val="24"/>
          <w:szCs w:val="24"/>
          <w:u w:val="single"/>
        </w:rPr>
        <w:t>，</w:t>
      </w:r>
      <w:r>
        <w:rPr>
          <w:rStyle w:val="30"/>
          <w:rFonts w:hint="eastAsia" w:ascii="宋体" w:hAnsi="宋体" w:eastAsia="宋体" w:cs="宋体"/>
          <w:b/>
          <w:bCs w:val="0"/>
          <w:sz w:val="24"/>
          <w:szCs w:val="24"/>
          <w:u w:val="single"/>
          <w:lang w:eastAsia="zh-CN"/>
        </w:rPr>
        <w:t>否则</w:t>
      </w:r>
      <w:r>
        <w:rPr>
          <w:rStyle w:val="30"/>
          <w:rFonts w:hint="eastAsia" w:ascii="宋体" w:hAnsi="宋体" w:eastAsia="宋体" w:cs="宋体"/>
          <w:b/>
          <w:bCs w:val="0"/>
          <w:sz w:val="24"/>
          <w:szCs w:val="24"/>
          <w:u w:val="single"/>
        </w:rPr>
        <w:t>按无效投标处理</w:t>
      </w:r>
      <w:r>
        <w:rPr>
          <w:rStyle w:val="30"/>
          <w:rFonts w:hint="eastAsia" w:ascii="宋体" w:hAnsi="宋体" w:eastAsia="宋体" w:cs="宋体"/>
          <w:b/>
          <w:bCs w:val="0"/>
          <w:sz w:val="24"/>
          <w:szCs w:val="24"/>
          <w:u w:val="single"/>
          <w:lang w:eastAsia="zh-CN"/>
        </w:rPr>
        <w:t>】</w:t>
      </w:r>
    </w:p>
    <w:p w14:paraId="6E92EFD0">
      <w:pPr>
        <w:spacing w:line="360" w:lineRule="auto"/>
        <w:ind w:firstLine="456" w:firstLineChars="200"/>
        <w:rPr>
          <w:rFonts w:hint="eastAsia" w:ascii="Times New Roman" w:hAnsi="Times New Roman" w:eastAsia="宋体" w:cs="Times New Roman"/>
          <w:b w:val="0"/>
          <w:bCs w:val="0"/>
          <w:spacing w:val="-6"/>
          <w:sz w:val="24"/>
          <w:u w:val="none"/>
        </w:rPr>
      </w:pPr>
      <w:r>
        <w:rPr>
          <w:rFonts w:hint="eastAsia" w:ascii="Times New Roman" w:hAnsi="Times New Roman" w:eastAsia="宋体" w:cs="Times New Roman"/>
          <w:b w:val="0"/>
          <w:bCs w:val="0"/>
          <w:spacing w:val="-6"/>
          <w:sz w:val="24"/>
          <w:u w:val="none"/>
          <w:lang w:val="en-US" w:eastAsia="zh-CN"/>
        </w:rPr>
        <w:t>2</w:t>
      </w:r>
      <w:r>
        <w:rPr>
          <w:rFonts w:hint="eastAsia" w:cs="Times New Roman"/>
          <w:b w:val="0"/>
          <w:bCs w:val="0"/>
          <w:spacing w:val="-6"/>
          <w:sz w:val="24"/>
          <w:u w:val="none"/>
          <w:lang w:val="en-US" w:eastAsia="zh-CN"/>
        </w:rPr>
        <w:t>）</w:t>
      </w:r>
      <w:r>
        <w:rPr>
          <w:rFonts w:hint="eastAsia" w:ascii="Times New Roman" w:hAnsi="Times New Roman" w:eastAsia="宋体" w:cs="Times New Roman"/>
          <w:b w:val="0"/>
          <w:bCs w:val="0"/>
          <w:spacing w:val="-6"/>
          <w:sz w:val="24"/>
          <w:u w:val="none"/>
        </w:rPr>
        <w:t>数据其他要求</w:t>
      </w:r>
    </w:p>
    <w:p w14:paraId="005FC884">
      <w:pPr>
        <w:spacing w:line="360" w:lineRule="auto"/>
        <w:ind w:firstLine="456" w:firstLineChars="200"/>
        <w:rPr>
          <w:b w:val="0"/>
          <w:bCs w:val="0"/>
          <w:spacing w:val="-6"/>
          <w:sz w:val="24"/>
          <w:u w:val="none"/>
        </w:rPr>
      </w:pPr>
      <w:r>
        <w:rPr>
          <w:rFonts w:hint="eastAsia"/>
          <w:b w:val="0"/>
          <w:bCs w:val="0"/>
          <w:spacing w:val="-6"/>
          <w:sz w:val="24"/>
          <w:u w:val="none"/>
          <w:lang w:val="en-US" w:eastAsia="zh-CN"/>
        </w:rPr>
        <w:t>a</w:t>
      </w:r>
      <w:r>
        <w:rPr>
          <w:rFonts w:hint="eastAsia"/>
          <w:b w:val="0"/>
          <w:bCs w:val="0"/>
          <w:spacing w:val="-6"/>
          <w:sz w:val="24"/>
          <w:u w:val="none"/>
        </w:rPr>
        <w:t>、</w:t>
      </w:r>
      <w:r>
        <w:rPr>
          <w:b w:val="0"/>
          <w:bCs w:val="0"/>
          <w:spacing w:val="-6"/>
          <w:sz w:val="24"/>
          <w:u w:val="none"/>
        </w:rPr>
        <w:t>中标人对系统产生的数据承担保密义务，系统开发、运行过程中的数据产权的归</w:t>
      </w:r>
      <w:r>
        <w:rPr>
          <w:rFonts w:hint="eastAsia"/>
          <w:b w:val="0"/>
          <w:bCs w:val="0"/>
          <w:spacing w:val="-6"/>
          <w:sz w:val="24"/>
          <w:u w:val="none"/>
          <w:lang w:eastAsia="zh-CN"/>
        </w:rPr>
        <w:t>招标人</w:t>
      </w:r>
      <w:r>
        <w:rPr>
          <w:b w:val="0"/>
          <w:bCs w:val="0"/>
          <w:spacing w:val="-6"/>
          <w:sz w:val="24"/>
          <w:u w:val="none"/>
        </w:rPr>
        <w:t>所有，未经</w:t>
      </w:r>
      <w:r>
        <w:rPr>
          <w:rFonts w:hint="eastAsia"/>
          <w:b w:val="0"/>
          <w:bCs w:val="0"/>
          <w:spacing w:val="-6"/>
          <w:sz w:val="24"/>
          <w:u w:val="none"/>
          <w:lang w:eastAsia="zh-CN"/>
        </w:rPr>
        <w:t>招标人</w:t>
      </w:r>
      <w:r>
        <w:rPr>
          <w:b w:val="0"/>
          <w:bCs w:val="0"/>
          <w:spacing w:val="-6"/>
          <w:sz w:val="24"/>
          <w:u w:val="none"/>
        </w:rPr>
        <w:t>同意，不得截取、复制系统产生的数据，不得将数据提供给其他单位或个人。该保密义务在本合同期满、解除和终止后仍有效。若</w:t>
      </w:r>
      <w:r>
        <w:rPr>
          <w:rFonts w:hint="eastAsia"/>
          <w:b w:val="0"/>
          <w:bCs w:val="0"/>
          <w:spacing w:val="-6"/>
          <w:sz w:val="24"/>
          <w:u w:val="none"/>
          <w:lang w:eastAsia="zh-CN"/>
        </w:rPr>
        <w:t>招标人</w:t>
      </w:r>
      <w:r>
        <w:rPr>
          <w:b w:val="0"/>
          <w:bCs w:val="0"/>
          <w:spacing w:val="-6"/>
          <w:sz w:val="24"/>
          <w:u w:val="none"/>
        </w:rPr>
        <w:t>与中标人终止合作，则中标人应无条件将数据在</w:t>
      </w:r>
      <w:r>
        <w:rPr>
          <w:rFonts w:hint="eastAsia"/>
          <w:b w:val="0"/>
          <w:bCs w:val="0"/>
          <w:spacing w:val="-6"/>
          <w:sz w:val="24"/>
          <w:u w:val="none"/>
          <w:lang w:eastAsia="zh-CN"/>
        </w:rPr>
        <w:t>招标人</w:t>
      </w:r>
      <w:r>
        <w:rPr>
          <w:b w:val="0"/>
          <w:bCs w:val="0"/>
          <w:spacing w:val="-6"/>
          <w:sz w:val="24"/>
          <w:u w:val="none"/>
        </w:rPr>
        <w:t>要求的时间内完整且无缺失移交给</w:t>
      </w:r>
      <w:r>
        <w:rPr>
          <w:rFonts w:hint="eastAsia"/>
          <w:b w:val="0"/>
          <w:bCs w:val="0"/>
          <w:spacing w:val="-6"/>
          <w:sz w:val="24"/>
          <w:u w:val="none"/>
          <w:lang w:eastAsia="zh-CN"/>
        </w:rPr>
        <w:t>招标人</w:t>
      </w:r>
      <w:r>
        <w:rPr>
          <w:b w:val="0"/>
          <w:bCs w:val="0"/>
          <w:spacing w:val="-6"/>
          <w:sz w:val="24"/>
          <w:u w:val="none"/>
        </w:rPr>
        <w:t>，并配合</w:t>
      </w:r>
      <w:r>
        <w:rPr>
          <w:rFonts w:hint="eastAsia"/>
          <w:b w:val="0"/>
          <w:bCs w:val="0"/>
          <w:spacing w:val="-6"/>
          <w:sz w:val="24"/>
          <w:u w:val="none"/>
          <w:lang w:eastAsia="zh-CN"/>
        </w:rPr>
        <w:t>招标人</w:t>
      </w:r>
      <w:r>
        <w:rPr>
          <w:b w:val="0"/>
          <w:bCs w:val="0"/>
          <w:spacing w:val="-6"/>
          <w:sz w:val="24"/>
          <w:u w:val="none"/>
        </w:rPr>
        <w:t>转移、整理相关数据，且</w:t>
      </w:r>
      <w:r>
        <w:rPr>
          <w:rFonts w:hint="eastAsia"/>
          <w:b w:val="0"/>
          <w:bCs w:val="0"/>
          <w:spacing w:val="-6"/>
          <w:sz w:val="24"/>
          <w:u w:val="none"/>
          <w:lang w:eastAsia="zh-CN"/>
        </w:rPr>
        <w:t>招标人</w:t>
      </w:r>
      <w:r>
        <w:rPr>
          <w:b w:val="0"/>
          <w:bCs w:val="0"/>
          <w:spacing w:val="-6"/>
          <w:sz w:val="24"/>
          <w:u w:val="none"/>
        </w:rPr>
        <w:t>无须支付其他任何费用，中标人不得锁定系统，不得删除系统开发、运行过程中的数据。</w:t>
      </w:r>
      <w:r>
        <w:rPr>
          <w:b w:val="0"/>
          <w:bCs w:val="0"/>
          <w:sz w:val="24"/>
          <w:u w:val="none"/>
        </w:rPr>
        <w:t>合同维保期到期后，中标人需向景弘集团有限公司提供所有数据、数据库字段定义字典、操作使用说明书、帮助文档、软件源代码。</w:t>
      </w:r>
      <w:r>
        <w:rPr>
          <w:rFonts w:hint="eastAsia"/>
          <w:b w:val="0"/>
          <w:bCs w:val="0"/>
          <w:sz w:val="24"/>
          <w:u w:val="none"/>
        </w:rPr>
        <w:t>中</w:t>
      </w:r>
      <w:r>
        <w:rPr>
          <w:b w:val="0"/>
          <w:bCs w:val="0"/>
          <w:sz w:val="24"/>
          <w:u w:val="none"/>
        </w:rPr>
        <w:t>标人有责任对数据进行保密，</w:t>
      </w:r>
      <w:r>
        <w:rPr>
          <w:rFonts w:hint="eastAsia"/>
          <w:b w:val="0"/>
          <w:bCs w:val="0"/>
          <w:sz w:val="24"/>
          <w:u w:val="none"/>
        </w:rPr>
        <w:t>中</w:t>
      </w:r>
      <w:r>
        <w:rPr>
          <w:b w:val="0"/>
          <w:bCs w:val="0"/>
          <w:sz w:val="24"/>
          <w:u w:val="none"/>
        </w:rPr>
        <w:t>标人未经景弘集团有限公司同意不得利用</w:t>
      </w:r>
      <w:r>
        <w:rPr>
          <w:rFonts w:hint="eastAsia"/>
          <w:b w:val="0"/>
          <w:bCs w:val="0"/>
          <w:sz w:val="24"/>
          <w:u w:val="none"/>
          <w:lang w:eastAsia="zh-CN"/>
        </w:rPr>
        <w:t>平台</w:t>
      </w:r>
      <w:r>
        <w:rPr>
          <w:b w:val="0"/>
          <w:bCs w:val="0"/>
          <w:sz w:val="24"/>
          <w:u w:val="none"/>
        </w:rPr>
        <w:t>数据进行商业活动。</w:t>
      </w:r>
      <w:r>
        <w:rPr>
          <w:rStyle w:val="30"/>
          <w:rFonts w:hint="eastAsia" w:ascii="宋体" w:hAnsi="宋体" w:eastAsia="宋体" w:cs="宋体"/>
          <w:b/>
          <w:bCs w:val="0"/>
          <w:sz w:val="24"/>
          <w:szCs w:val="24"/>
          <w:u w:val="single"/>
          <w:lang w:eastAsia="zh-CN"/>
        </w:rPr>
        <w:t>【针对此项，投标人</w:t>
      </w:r>
      <w:r>
        <w:rPr>
          <w:rStyle w:val="30"/>
          <w:rFonts w:hint="eastAsia" w:ascii="宋体" w:hAnsi="宋体" w:eastAsia="宋体" w:cs="宋体"/>
          <w:b/>
          <w:bCs w:val="0"/>
          <w:sz w:val="24"/>
          <w:szCs w:val="24"/>
          <w:u w:val="single"/>
        </w:rPr>
        <w:t>须</w:t>
      </w:r>
      <w:r>
        <w:rPr>
          <w:rStyle w:val="30"/>
          <w:rFonts w:hint="eastAsia" w:ascii="宋体" w:hAnsi="宋体" w:eastAsia="宋体" w:cs="宋体"/>
          <w:b/>
          <w:bCs w:val="0"/>
          <w:sz w:val="24"/>
          <w:szCs w:val="24"/>
          <w:u w:val="single"/>
          <w:lang w:eastAsia="zh-CN"/>
        </w:rPr>
        <w:t>在投标文件技术商务中</w:t>
      </w:r>
      <w:r>
        <w:rPr>
          <w:rStyle w:val="30"/>
          <w:rFonts w:hint="eastAsia" w:ascii="宋体" w:hAnsi="宋体" w:eastAsia="宋体" w:cs="宋体"/>
          <w:b/>
          <w:bCs w:val="0"/>
          <w:sz w:val="24"/>
          <w:szCs w:val="24"/>
          <w:u w:val="single"/>
        </w:rPr>
        <w:t>单独提供专项承诺函</w:t>
      </w:r>
      <w:r>
        <w:rPr>
          <w:rStyle w:val="30"/>
          <w:rFonts w:hint="eastAsia" w:ascii="宋体" w:hAnsi="宋体" w:eastAsia="宋体" w:cs="宋体"/>
          <w:b/>
          <w:bCs w:val="0"/>
          <w:sz w:val="24"/>
          <w:szCs w:val="24"/>
          <w:u w:val="single"/>
          <w:lang w:eastAsia="zh-CN"/>
        </w:rPr>
        <w:t>（格式自拟）</w:t>
      </w:r>
      <w:r>
        <w:rPr>
          <w:rStyle w:val="30"/>
          <w:rFonts w:hint="eastAsia" w:ascii="宋体" w:hAnsi="宋体" w:eastAsia="宋体" w:cs="宋体"/>
          <w:b/>
          <w:bCs w:val="0"/>
          <w:sz w:val="24"/>
          <w:szCs w:val="24"/>
          <w:u w:val="single"/>
        </w:rPr>
        <w:t>，</w:t>
      </w:r>
      <w:r>
        <w:rPr>
          <w:rStyle w:val="30"/>
          <w:rFonts w:hint="eastAsia" w:ascii="宋体" w:hAnsi="宋体" w:eastAsia="宋体" w:cs="宋体"/>
          <w:b/>
          <w:bCs w:val="0"/>
          <w:sz w:val="24"/>
          <w:szCs w:val="24"/>
          <w:u w:val="single"/>
          <w:lang w:eastAsia="zh-CN"/>
        </w:rPr>
        <w:t>否则</w:t>
      </w:r>
      <w:r>
        <w:rPr>
          <w:rStyle w:val="30"/>
          <w:rFonts w:hint="eastAsia" w:ascii="宋体" w:hAnsi="宋体" w:eastAsia="宋体" w:cs="宋体"/>
          <w:b/>
          <w:bCs w:val="0"/>
          <w:sz w:val="24"/>
          <w:szCs w:val="24"/>
          <w:u w:val="single"/>
        </w:rPr>
        <w:t>按无效投标处理</w:t>
      </w:r>
      <w:r>
        <w:rPr>
          <w:rStyle w:val="30"/>
          <w:rFonts w:hint="eastAsia" w:ascii="宋体" w:hAnsi="宋体" w:eastAsia="宋体" w:cs="宋体"/>
          <w:b/>
          <w:bCs w:val="0"/>
          <w:sz w:val="24"/>
          <w:szCs w:val="24"/>
          <w:u w:val="single"/>
          <w:lang w:eastAsia="zh-CN"/>
        </w:rPr>
        <w:t>】</w:t>
      </w:r>
    </w:p>
    <w:p w14:paraId="42D7AD3D">
      <w:pPr>
        <w:spacing w:line="360" w:lineRule="auto"/>
        <w:ind w:firstLine="456" w:firstLineChars="200"/>
        <w:rPr>
          <w:spacing w:val="-6"/>
          <w:sz w:val="24"/>
        </w:rPr>
      </w:pPr>
      <w:r>
        <w:rPr>
          <w:rFonts w:hint="eastAsia"/>
          <w:spacing w:val="-6"/>
          <w:sz w:val="24"/>
          <w:lang w:val="en-US" w:eastAsia="zh-CN"/>
        </w:rPr>
        <w:t>b</w:t>
      </w:r>
      <w:r>
        <w:rPr>
          <w:rFonts w:hint="eastAsia"/>
          <w:spacing w:val="-6"/>
          <w:sz w:val="24"/>
        </w:rPr>
        <w:t>、中标人</w:t>
      </w:r>
      <w:r>
        <w:rPr>
          <w:spacing w:val="-6"/>
          <w:sz w:val="24"/>
        </w:rPr>
        <w:t>须提供本项目正常运转所必须的全部系统软件、中间件、插件等，确保系统按时、正常运行。产品中采用的第三方软件由</w:t>
      </w:r>
      <w:r>
        <w:rPr>
          <w:rFonts w:hint="eastAsia"/>
          <w:spacing w:val="-6"/>
          <w:sz w:val="24"/>
        </w:rPr>
        <w:t>中标人</w:t>
      </w:r>
      <w:r>
        <w:rPr>
          <w:spacing w:val="-6"/>
          <w:sz w:val="24"/>
        </w:rPr>
        <w:t>自行购买安装，如出现软件侵权行为，由</w:t>
      </w:r>
      <w:r>
        <w:rPr>
          <w:rFonts w:hint="eastAsia"/>
          <w:spacing w:val="-6"/>
          <w:sz w:val="24"/>
        </w:rPr>
        <w:t>中标人</w:t>
      </w:r>
      <w:r>
        <w:rPr>
          <w:spacing w:val="-6"/>
          <w:sz w:val="24"/>
        </w:rPr>
        <w:t>负责，与</w:t>
      </w:r>
      <w:r>
        <w:rPr>
          <w:rFonts w:hint="eastAsia"/>
          <w:spacing w:val="-6"/>
          <w:sz w:val="24"/>
          <w:lang w:eastAsia="zh-CN"/>
        </w:rPr>
        <w:t>招标人</w:t>
      </w:r>
      <w:r>
        <w:rPr>
          <w:spacing w:val="-6"/>
          <w:sz w:val="24"/>
        </w:rPr>
        <w:t>无关。</w:t>
      </w:r>
    </w:p>
    <w:p w14:paraId="3BF731C5">
      <w:pPr>
        <w:pStyle w:val="11"/>
        <w:spacing w:before="0" w:beforeAutospacing="0" w:after="0" w:afterAutospacing="0" w:line="360" w:lineRule="auto"/>
        <w:outlineLvl w:val="3"/>
        <w:rPr>
          <w:rFonts w:ascii="Times New Roman" w:hAnsi="Times New Roman" w:cs="Times New Roman"/>
          <w:b/>
          <w:bCs/>
          <w:spacing w:val="-6"/>
          <w:kern w:val="2"/>
        </w:rPr>
      </w:pPr>
      <w:r>
        <w:rPr>
          <w:rFonts w:hint="eastAsia" w:ascii="Times New Roman" w:hAnsi="Times New Roman" w:cs="Times New Roman"/>
          <w:b/>
          <w:bCs/>
          <w:spacing w:val="-6"/>
          <w:kern w:val="2"/>
          <w:lang w:eastAsia="zh-CN"/>
        </w:rPr>
        <w:t>（</w:t>
      </w:r>
      <w:r>
        <w:rPr>
          <w:rFonts w:hint="eastAsia" w:ascii="Times New Roman" w:hAnsi="Times New Roman" w:cs="Times New Roman"/>
          <w:b/>
          <w:bCs/>
          <w:spacing w:val="-6"/>
          <w:kern w:val="2"/>
          <w:lang w:val="en-US" w:eastAsia="zh-CN"/>
        </w:rPr>
        <w:t>4</w:t>
      </w:r>
      <w:r>
        <w:rPr>
          <w:rFonts w:hint="eastAsia" w:ascii="Times New Roman" w:hAnsi="Times New Roman" w:cs="Times New Roman"/>
          <w:b/>
          <w:bCs/>
          <w:spacing w:val="-6"/>
          <w:kern w:val="2"/>
          <w:lang w:eastAsia="zh-CN"/>
        </w:rPr>
        <w:t>）</w:t>
      </w:r>
      <w:r>
        <w:rPr>
          <w:rFonts w:ascii="Times New Roman" w:hAnsi="Times New Roman" w:cs="Times New Roman"/>
          <w:b/>
          <w:bCs/>
          <w:spacing w:val="-6"/>
          <w:kern w:val="2"/>
        </w:rPr>
        <w:t>系统安全保障</w:t>
      </w:r>
    </w:p>
    <w:p w14:paraId="74699D00">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val="en-US" w:eastAsia="zh-CN"/>
        </w:rPr>
        <w:t>a</w:t>
      </w:r>
      <w:r>
        <w:rPr>
          <w:rFonts w:hint="eastAsia" w:ascii="Times New Roman" w:hAnsi="Times New Roman" w:cs="Times New Roman"/>
        </w:rPr>
        <w:t>、</w:t>
      </w:r>
      <w:r>
        <w:rPr>
          <w:rFonts w:ascii="Times New Roman" w:hAnsi="Times New Roman" w:cs="Times New Roman"/>
        </w:rPr>
        <w:t>认证授权：保证</w:t>
      </w:r>
      <w:r>
        <w:rPr>
          <w:rFonts w:hint="eastAsia" w:ascii="Times New Roman" w:hAnsi="Times New Roman" w:cs="Times New Roman"/>
          <w:lang w:eastAsia="zh-CN"/>
        </w:rPr>
        <w:t>招标人</w:t>
      </w:r>
      <w:r>
        <w:rPr>
          <w:rFonts w:ascii="Times New Roman" w:hAnsi="Times New Roman" w:cs="Times New Roman"/>
        </w:rPr>
        <w:t>的合法性和用户使用信息资源的权力，避免内部敏感信息泄漏和服务所提供的信息资源被非法访问，造成严重的安全事件。</w:t>
      </w:r>
    </w:p>
    <w:p w14:paraId="427E7AAE">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val="en-US" w:eastAsia="zh-CN"/>
        </w:rPr>
        <w:t>b</w:t>
      </w:r>
      <w:r>
        <w:rPr>
          <w:rFonts w:hint="eastAsia" w:ascii="Times New Roman" w:hAnsi="Times New Roman" w:cs="Times New Roman"/>
        </w:rPr>
        <w:t>、</w:t>
      </w:r>
      <w:r>
        <w:rPr>
          <w:rFonts w:ascii="Times New Roman" w:hAnsi="Times New Roman" w:cs="Times New Roman"/>
        </w:rPr>
        <w:t>信息保密：</w:t>
      </w:r>
      <w:r>
        <w:rPr>
          <w:rFonts w:ascii="Times New Roman" w:hAnsi="Times New Roman" w:cs="Times New Roman"/>
          <w:spacing w:val="-6"/>
        </w:rPr>
        <w:t>充分利用密码技术，对于需要保密的信息，采用密码技术进行加解密处理，防止信息的非授权泄漏，确保涉密信息在产生.存储.传递和处理过程中的保密。中标人须在签订合同时，与</w:t>
      </w:r>
      <w:r>
        <w:rPr>
          <w:rFonts w:hint="eastAsia" w:ascii="Times New Roman" w:hAnsi="Times New Roman" w:cs="Times New Roman"/>
          <w:spacing w:val="-6"/>
          <w:lang w:eastAsia="zh-CN"/>
        </w:rPr>
        <w:t>招标人</w:t>
      </w:r>
      <w:r>
        <w:rPr>
          <w:rFonts w:ascii="Times New Roman" w:hAnsi="Times New Roman" w:cs="Times New Roman"/>
          <w:spacing w:val="-6"/>
        </w:rPr>
        <w:t>签订保密协议，并作为合同附件。</w:t>
      </w:r>
    </w:p>
    <w:p w14:paraId="417C0A34">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val="en-US" w:eastAsia="zh-CN"/>
        </w:rPr>
        <w:t>c</w:t>
      </w:r>
      <w:r>
        <w:rPr>
          <w:rFonts w:hint="eastAsia" w:ascii="Times New Roman" w:hAnsi="Times New Roman" w:cs="Times New Roman"/>
        </w:rPr>
        <w:t>、</w:t>
      </w:r>
      <w:r>
        <w:rPr>
          <w:rFonts w:ascii="Times New Roman" w:hAnsi="Times New Roman" w:cs="Times New Roman"/>
        </w:rPr>
        <w:t>数据完整性：建立数据完整性检验机制，保证收发双方数据的一致性，防止信息被非授权修改。</w:t>
      </w:r>
    </w:p>
    <w:p w14:paraId="513B8E65">
      <w:pPr>
        <w:pStyle w:val="11"/>
        <w:spacing w:before="0" w:beforeAutospacing="0" w:after="0" w:afterAutospacing="0" w:line="360" w:lineRule="auto"/>
        <w:ind w:firstLine="480" w:firstLineChars="200"/>
        <w:rPr>
          <w:rFonts w:ascii="Times New Roman" w:hAnsi="Times New Roman" w:cs="Times New Roman"/>
          <w:color w:val="auto"/>
        </w:rPr>
      </w:pPr>
      <w:r>
        <w:rPr>
          <w:rFonts w:hint="eastAsia" w:ascii="Times New Roman" w:hAnsi="Times New Roman" w:cs="Times New Roman"/>
          <w:lang w:val="en-US" w:eastAsia="zh-CN"/>
        </w:rPr>
        <w:t>d</w:t>
      </w:r>
      <w:r>
        <w:rPr>
          <w:rFonts w:hint="eastAsia" w:ascii="Times New Roman" w:hAnsi="Times New Roman" w:cs="Times New Roman"/>
        </w:rPr>
        <w:t>、</w:t>
      </w:r>
      <w:r>
        <w:rPr>
          <w:rFonts w:ascii="Times New Roman" w:hAnsi="Times New Roman" w:cs="Times New Roman"/>
          <w:color w:val="auto"/>
        </w:rPr>
        <w:t>数据迁移：若中标人合同服务期满后无再次续签的，中标人应将平台内所有数据导出，完整交付</w:t>
      </w:r>
      <w:r>
        <w:rPr>
          <w:rFonts w:hint="eastAsia" w:ascii="Times New Roman" w:hAnsi="Times New Roman" w:cs="Times New Roman"/>
          <w:color w:val="auto"/>
          <w:lang w:eastAsia="zh-CN"/>
        </w:rPr>
        <w:t>招标人</w:t>
      </w:r>
      <w:r>
        <w:rPr>
          <w:rFonts w:ascii="Times New Roman" w:hAnsi="Times New Roman" w:cs="Times New Roman"/>
          <w:color w:val="auto"/>
        </w:rPr>
        <w:t>。交付确认后，于平台内删除所有</w:t>
      </w:r>
      <w:r>
        <w:rPr>
          <w:rFonts w:hint="eastAsia" w:ascii="Times New Roman" w:hAnsi="Times New Roman" w:cs="Times New Roman"/>
          <w:color w:val="auto"/>
          <w:lang w:eastAsia="zh-CN"/>
        </w:rPr>
        <w:t>招标人</w:t>
      </w:r>
      <w:r>
        <w:rPr>
          <w:rFonts w:ascii="Times New Roman" w:hAnsi="Times New Roman" w:cs="Times New Roman"/>
          <w:color w:val="auto"/>
        </w:rPr>
        <w:t>单位的数据信息。</w:t>
      </w:r>
    </w:p>
    <w:p w14:paraId="0F7F483B">
      <w:pPr>
        <w:widowControl/>
        <w:spacing w:line="360" w:lineRule="auto"/>
        <w:ind w:firstLine="420"/>
        <w:jc w:val="left"/>
        <w:rPr>
          <w:rFonts w:ascii="Times New Roman" w:hAnsi="Times New Roman"/>
          <w:spacing w:val="-6"/>
          <w:sz w:val="24"/>
          <w:szCs w:val="24"/>
        </w:rPr>
      </w:pPr>
      <w:r>
        <w:rPr>
          <w:rFonts w:hint="eastAsia"/>
          <w:b w:val="0"/>
          <w:bCs w:val="0"/>
          <w:color w:val="auto"/>
          <w:kern w:val="0"/>
          <w:sz w:val="24"/>
          <w:u w:val="none"/>
          <w:lang w:val="en-US" w:eastAsia="zh-CN"/>
        </w:rPr>
        <w:t>e</w:t>
      </w:r>
      <w:r>
        <w:rPr>
          <w:rFonts w:hint="eastAsia"/>
          <w:b w:val="0"/>
          <w:bCs w:val="0"/>
          <w:color w:val="auto"/>
          <w:kern w:val="0"/>
          <w:sz w:val="24"/>
          <w:u w:val="none"/>
        </w:rPr>
        <w:t>、</w:t>
      </w:r>
      <w:r>
        <w:rPr>
          <w:b w:val="0"/>
          <w:bCs w:val="0"/>
          <w:color w:val="auto"/>
          <w:spacing w:val="-6"/>
          <w:sz w:val="24"/>
          <w:u w:val="none"/>
        </w:rPr>
        <w:t>中标人必须无条件配合</w:t>
      </w:r>
      <w:r>
        <w:rPr>
          <w:rFonts w:hint="eastAsia"/>
          <w:b w:val="0"/>
          <w:bCs w:val="0"/>
          <w:color w:val="auto"/>
          <w:spacing w:val="-6"/>
          <w:sz w:val="24"/>
          <w:u w:val="none"/>
          <w:lang w:eastAsia="zh-CN"/>
        </w:rPr>
        <w:t>招标人</w:t>
      </w:r>
      <w:r>
        <w:rPr>
          <w:b w:val="0"/>
          <w:bCs w:val="0"/>
          <w:color w:val="auto"/>
          <w:spacing w:val="-6"/>
          <w:sz w:val="24"/>
          <w:u w:val="none"/>
        </w:rPr>
        <w:t>的安全等保工作</w:t>
      </w:r>
      <w:r>
        <w:rPr>
          <w:rFonts w:hint="eastAsia"/>
          <w:b w:val="0"/>
          <w:bCs w:val="0"/>
          <w:color w:val="auto"/>
          <w:spacing w:val="-6"/>
          <w:sz w:val="24"/>
          <w:u w:val="none"/>
          <w:lang w:eastAsia="zh-CN"/>
        </w:rPr>
        <w:t>，建设的员工一体化交互平台必须符合国家规定的二级等级保护级别</w:t>
      </w:r>
      <w:r>
        <w:rPr>
          <w:b w:val="0"/>
          <w:bCs w:val="0"/>
          <w:color w:val="auto"/>
          <w:spacing w:val="-6"/>
          <w:sz w:val="24"/>
          <w:u w:val="none"/>
        </w:rPr>
        <w:t>，</w:t>
      </w:r>
      <w:r>
        <w:rPr>
          <w:rFonts w:hint="eastAsia"/>
          <w:b w:val="0"/>
          <w:bCs w:val="0"/>
          <w:color w:val="auto"/>
          <w:spacing w:val="-6"/>
          <w:sz w:val="24"/>
          <w:u w:val="none"/>
          <w:lang w:eastAsia="zh-CN"/>
        </w:rPr>
        <w:t>否则</w:t>
      </w:r>
      <w:r>
        <w:rPr>
          <w:b w:val="0"/>
          <w:bCs w:val="0"/>
          <w:color w:val="auto"/>
          <w:spacing w:val="-6"/>
          <w:sz w:val="24"/>
          <w:u w:val="none"/>
        </w:rPr>
        <w:t>按照安全公司的要求进行整改，不得相互推诿影响</w:t>
      </w:r>
      <w:r>
        <w:rPr>
          <w:rFonts w:hint="eastAsia"/>
          <w:b w:val="0"/>
          <w:bCs w:val="0"/>
          <w:color w:val="auto"/>
          <w:spacing w:val="-6"/>
          <w:sz w:val="24"/>
          <w:u w:val="none"/>
          <w:lang w:eastAsia="zh-CN"/>
        </w:rPr>
        <w:t>招标人</w:t>
      </w:r>
      <w:r>
        <w:rPr>
          <w:b w:val="0"/>
          <w:bCs w:val="0"/>
          <w:color w:val="auto"/>
          <w:spacing w:val="-6"/>
          <w:sz w:val="24"/>
          <w:u w:val="none"/>
        </w:rPr>
        <w:t>网络安全与等级保护工作</w:t>
      </w:r>
      <w:r>
        <w:rPr>
          <w:rFonts w:hint="eastAsia"/>
          <w:b w:val="0"/>
          <w:bCs w:val="0"/>
          <w:color w:val="auto"/>
          <w:spacing w:val="-6"/>
          <w:sz w:val="24"/>
          <w:u w:val="none"/>
          <w:lang w:eastAsia="zh-CN"/>
        </w:rPr>
        <w:t>，整改产生的费用由中标人自行承担，投标人应充分考虑本项报价因素</w:t>
      </w:r>
      <w:r>
        <w:rPr>
          <w:rFonts w:hint="eastAsia"/>
          <w:b w:val="0"/>
          <w:bCs w:val="0"/>
          <w:color w:val="auto"/>
          <w:spacing w:val="-6"/>
          <w:sz w:val="24"/>
          <w:u w:val="none"/>
        </w:rPr>
        <w:t>。</w:t>
      </w:r>
      <w:r>
        <w:rPr>
          <w:rFonts w:hint="eastAsia" w:ascii="Times New Roman" w:hAnsi="Times New Roman"/>
          <w:color w:val="auto"/>
          <w:spacing w:val="-6"/>
          <w:sz w:val="24"/>
          <w:szCs w:val="24"/>
        </w:rPr>
        <w:t xml:space="preserve"> </w:t>
      </w:r>
    </w:p>
    <w:p w14:paraId="28BF0C46">
      <w:pPr>
        <w:pStyle w:val="11"/>
        <w:spacing w:before="0" w:beforeAutospacing="0" w:after="0" w:afterAutospacing="0" w:line="360" w:lineRule="auto"/>
        <w:outlineLvl w:val="3"/>
        <w:rPr>
          <w:rFonts w:hint="eastAsia" w:ascii="Times New Roman" w:hAnsi="Times New Roman" w:cs="Times New Roman"/>
          <w:b/>
          <w:bCs/>
          <w:spacing w:val="-6"/>
          <w:kern w:val="2"/>
        </w:rPr>
      </w:pPr>
      <w:r>
        <w:rPr>
          <w:rFonts w:hint="eastAsia" w:ascii="Times New Roman" w:hAnsi="Times New Roman" w:cs="Times New Roman"/>
          <w:b/>
          <w:bCs/>
          <w:spacing w:val="-6"/>
          <w:kern w:val="2"/>
          <w:lang w:eastAsia="zh-CN"/>
        </w:rPr>
        <w:t>（</w:t>
      </w:r>
      <w:r>
        <w:rPr>
          <w:rFonts w:hint="eastAsia" w:ascii="Times New Roman" w:hAnsi="Times New Roman" w:cs="Times New Roman"/>
          <w:b/>
          <w:bCs/>
          <w:spacing w:val="-6"/>
          <w:kern w:val="2"/>
          <w:lang w:val="en-US" w:eastAsia="zh-CN"/>
        </w:rPr>
        <w:t>5</w:t>
      </w:r>
      <w:r>
        <w:rPr>
          <w:rFonts w:hint="eastAsia" w:ascii="Times New Roman" w:hAnsi="Times New Roman" w:cs="Times New Roman"/>
          <w:b/>
          <w:bCs/>
          <w:spacing w:val="-6"/>
          <w:kern w:val="2"/>
          <w:lang w:eastAsia="zh-CN"/>
        </w:rPr>
        <w:t>）</w:t>
      </w:r>
      <w:r>
        <w:rPr>
          <w:rFonts w:hint="eastAsia" w:ascii="Times New Roman" w:hAnsi="Times New Roman" w:cs="Times New Roman"/>
          <w:b/>
          <w:bCs/>
          <w:spacing w:val="-6"/>
          <w:kern w:val="2"/>
        </w:rPr>
        <w:t>其他要求</w:t>
      </w:r>
    </w:p>
    <w:p w14:paraId="73CD28BD">
      <w:pPr>
        <w:pStyle w:val="11"/>
        <w:spacing w:before="0" w:beforeAutospacing="0" w:after="0" w:afterAutospacing="0" w:line="360" w:lineRule="auto"/>
        <w:ind w:firstLine="48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a、本项目的实施范围包括景弘集团及一家子公司，</w:t>
      </w:r>
      <w:r>
        <w:rPr>
          <w:rFonts w:hint="eastAsia" w:ascii="Times New Roman" w:hAnsi="Times New Roman" w:cs="Times New Roman"/>
          <w:lang w:val="en-US" w:eastAsia="zh-CN"/>
        </w:rPr>
        <w:t>为保障投标人充分理解项目的情况，</w:t>
      </w:r>
      <w:r>
        <w:rPr>
          <w:rFonts w:hint="eastAsia" w:ascii="Times New Roman" w:hAnsi="Times New Roman" w:eastAsia="宋体" w:cs="Times New Roman"/>
          <w:lang w:val="en-US" w:eastAsia="zh-CN"/>
        </w:rPr>
        <w:t>投标人</w:t>
      </w:r>
      <w:r>
        <w:rPr>
          <w:rFonts w:hint="eastAsia" w:ascii="Times New Roman" w:hAnsi="Times New Roman" w:cs="Times New Roman"/>
          <w:lang w:val="en-US" w:eastAsia="zh-CN"/>
        </w:rPr>
        <w:t>可以</w:t>
      </w:r>
      <w:r>
        <w:rPr>
          <w:rFonts w:hint="eastAsia" w:ascii="Times New Roman" w:hAnsi="Times New Roman" w:eastAsia="宋体" w:cs="Times New Roman"/>
          <w:lang w:val="en-US" w:eastAsia="zh-CN"/>
        </w:rPr>
        <w:t>对现场、环境、现状、需求等进行勘查，并根据实际勘查情况进行方案优化和综合报价。一旦投标人中标，不得以现场环境复杂、情况不了解、需求不清楚、报价时未考虑等各种理由要求调整。</w:t>
      </w:r>
    </w:p>
    <w:p w14:paraId="76B9CF4E">
      <w:pPr>
        <w:pStyle w:val="11"/>
        <w:spacing w:before="0" w:beforeAutospacing="0" w:after="0" w:afterAutospacing="0" w:line="360" w:lineRule="auto"/>
        <w:ind w:firstLine="48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本项目为交钥匙工程，还包括相关辅材与备品、配件、送货、安装、调试和培训以及与项目相关的调研、评审、验收、运维等服务在内的全部费用。若实施过程中，按照中标人方案，导致部分功能不能实现，中标人应提供妥善解决方案并实施完成，中标人不得以任何理由提出除合同金额以外其他的任何费用。</w:t>
      </w:r>
    </w:p>
    <w:p w14:paraId="0036475A">
      <w:pPr>
        <w:pStyle w:val="11"/>
        <w:spacing w:before="0" w:beforeAutospacing="0" w:after="0" w:afterAutospacing="0" w:line="360" w:lineRule="auto"/>
        <w:ind w:firstLine="480" w:firstLineChars="200"/>
        <w:rPr>
          <w:rFonts w:hint="eastAsia" w:ascii="Times New Roman" w:hAnsi="Times New Roman" w:cs="Times New Roman"/>
          <w:b/>
          <w:bCs/>
          <w:spacing w:val="-6"/>
          <w:kern w:val="2"/>
        </w:rPr>
      </w:pPr>
      <w:r>
        <w:rPr>
          <w:rFonts w:hint="eastAsia" w:ascii="Times New Roman" w:hAnsi="Times New Roman" w:eastAsia="宋体" w:cs="Times New Roman"/>
          <w:lang w:val="en-US" w:eastAsia="zh-CN"/>
        </w:rPr>
        <w:t>c、上述所有需求描述仅作为最低工作量和项目设计开发成本的评估，</w:t>
      </w:r>
      <w:r>
        <w:rPr>
          <w:rFonts w:hint="eastAsia" w:ascii="Times New Roman" w:hAnsi="Times New Roman" w:cs="Times New Roman"/>
          <w:color w:val="auto"/>
          <w:lang w:val="en-US" w:eastAsia="zh-CN"/>
        </w:rPr>
        <w:t>故</w:t>
      </w:r>
      <w:r>
        <w:rPr>
          <w:rFonts w:hint="eastAsia" w:ascii="Times New Roman" w:hAnsi="Times New Roman" w:eastAsia="宋体" w:cs="Times New Roman"/>
          <w:color w:val="auto"/>
          <w:lang w:val="en-US" w:eastAsia="zh-CN"/>
        </w:rPr>
        <w:t>中标人</w:t>
      </w:r>
      <w:r>
        <w:rPr>
          <w:rFonts w:hint="eastAsia" w:ascii="Times New Roman" w:hAnsi="Times New Roman" w:cs="Times New Roman"/>
          <w:color w:val="auto"/>
          <w:lang w:val="en-US" w:eastAsia="zh-CN"/>
        </w:rPr>
        <w:t>进行调研后需</w:t>
      </w:r>
      <w:r>
        <w:rPr>
          <w:rFonts w:hint="eastAsia" w:ascii="Times New Roman" w:hAnsi="Times New Roman" w:eastAsia="宋体" w:cs="Times New Roman"/>
          <w:color w:val="auto"/>
          <w:lang w:val="en-US" w:eastAsia="zh-CN"/>
        </w:rPr>
        <w:t>形成的需求规格说明书，由泉州升华实业有限公司确认后为准。</w:t>
      </w:r>
      <w:r>
        <w:rPr>
          <w:rFonts w:hint="eastAsia" w:asciiTheme="minorEastAsia" w:hAnsiTheme="minorEastAsia" w:eastAsiaTheme="minorEastAsia" w:cstheme="minorEastAsia"/>
          <w:b/>
          <w:bCs/>
          <w:sz w:val="28"/>
          <w:szCs w:val="36"/>
          <w:highlight w:val="none"/>
          <w:u w:val="double"/>
          <w:shd w:val="clear" w:color="FFFFFF" w:fill="D9D9D9"/>
          <w:lang w:val="en-US" w:eastAsia="zh-CN"/>
        </w:rPr>
        <w:br w:type="textWrapping"/>
      </w:r>
      <w:r>
        <w:rPr>
          <w:rFonts w:hint="eastAsia" w:ascii="Times New Roman" w:hAnsi="Times New Roman" w:cs="Times New Roman"/>
          <w:b/>
          <w:bCs/>
          <w:spacing w:val="-6"/>
          <w:kern w:val="2"/>
          <w:lang w:eastAsia="zh-CN"/>
        </w:rPr>
        <w:t>（</w:t>
      </w:r>
      <w:r>
        <w:rPr>
          <w:rFonts w:hint="eastAsia" w:ascii="Times New Roman" w:hAnsi="Times New Roman" w:cs="Times New Roman"/>
          <w:b/>
          <w:bCs/>
          <w:spacing w:val="-6"/>
          <w:kern w:val="2"/>
          <w:lang w:val="en-US" w:eastAsia="zh-CN"/>
        </w:rPr>
        <w:t>十一</w:t>
      </w:r>
      <w:r>
        <w:rPr>
          <w:rFonts w:hint="eastAsia" w:ascii="Times New Roman" w:hAnsi="Times New Roman" w:cs="Times New Roman"/>
          <w:b/>
          <w:bCs/>
          <w:spacing w:val="-6"/>
          <w:kern w:val="2"/>
          <w:lang w:eastAsia="zh-CN"/>
        </w:rPr>
        <w:t>）</w:t>
      </w:r>
      <w:r>
        <w:rPr>
          <w:rFonts w:hint="eastAsia" w:ascii="Times New Roman" w:hAnsi="Times New Roman" w:cs="Times New Roman"/>
          <w:b/>
          <w:bCs/>
          <w:spacing w:val="-6"/>
          <w:kern w:val="2"/>
        </w:rPr>
        <w:t>建设内容清单</w:t>
      </w:r>
    </w:p>
    <w:p w14:paraId="3592C8C2">
      <w:pPr>
        <w:spacing w:line="360" w:lineRule="auto"/>
        <w:outlineLvl w:val="3"/>
        <w:rPr>
          <w:b/>
          <w:bCs/>
          <w:sz w:val="24"/>
        </w:rPr>
      </w:pPr>
      <w:r>
        <w:rPr>
          <w:rFonts w:hint="eastAsia"/>
          <w:b/>
          <w:bCs/>
          <w:sz w:val="24"/>
          <w:lang w:eastAsia="zh-CN"/>
        </w:rPr>
        <w:t>（</w:t>
      </w:r>
      <w:r>
        <w:rPr>
          <w:rFonts w:hint="eastAsia"/>
          <w:b/>
          <w:bCs/>
          <w:sz w:val="24"/>
          <w:lang w:val="en-US" w:eastAsia="zh-CN"/>
        </w:rPr>
        <w:t>1</w:t>
      </w:r>
      <w:r>
        <w:rPr>
          <w:rFonts w:hint="eastAsia"/>
          <w:b/>
          <w:bCs/>
          <w:sz w:val="24"/>
          <w:lang w:eastAsia="zh-CN"/>
        </w:rPr>
        <w:t>）</w:t>
      </w:r>
      <w:r>
        <w:rPr>
          <w:rFonts w:hint="eastAsia"/>
          <w:b/>
          <w:bCs/>
          <w:sz w:val="24"/>
          <w:lang w:val="en-US" w:eastAsia="zh-CN"/>
        </w:rPr>
        <w:t>基础资源、终端设备及</w:t>
      </w:r>
      <w:r>
        <w:rPr>
          <w:b/>
          <w:bCs/>
          <w:sz w:val="24"/>
        </w:rPr>
        <w:t>应用支撑</w:t>
      </w:r>
      <w:r>
        <w:rPr>
          <w:rFonts w:hint="eastAsia"/>
          <w:b/>
          <w:bCs/>
          <w:sz w:val="24"/>
          <w:lang w:val="en-US" w:eastAsia="zh-CN"/>
        </w:rPr>
        <w:t>软件</w:t>
      </w:r>
    </w:p>
    <w:tbl>
      <w:tblPr>
        <w:tblStyle w:val="14"/>
        <w:tblW w:w="4998" w:type="pct"/>
        <w:tblInd w:w="0" w:type="dxa"/>
        <w:tblLayout w:type="fixed"/>
        <w:tblCellMar>
          <w:top w:w="0" w:type="dxa"/>
          <w:left w:w="108" w:type="dxa"/>
          <w:bottom w:w="0" w:type="dxa"/>
          <w:right w:w="108" w:type="dxa"/>
        </w:tblCellMar>
      </w:tblPr>
      <w:tblGrid>
        <w:gridCol w:w="853"/>
        <w:gridCol w:w="1032"/>
        <w:gridCol w:w="3066"/>
        <w:gridCol w:w="3325"/>
        <w:gridCol w:w="877"/>
        <w:gridCol w:w="925"/>
      </w:tblGrid>
      <w:tr w14:paraId="00A3054B">
        <w:tblPrEx>
          <w:tblCellMar>
            <w:top w:w="0" w:type="dxa"/>
            <w:left w:w="108" w:type="dxa"/>
            <w:bottom w:w="0" w:type="dxa"/>
            <w:right w:w="108" w:type="dxa"/>
          </w:tblCellMar>
        </w:tblPrEx>
        <w:trPr>
          <w:trHeight w:val="439"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364E8756">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1032" w:type="dxa"/>
            <w:tcBorders>
              <w:top w:val="single" w:color="000000" w:sz="4" w:space="0"/>
              <w:left w:val="single" w:color="000000" w:sz="4" w:space="0"/>
              <w:bottom w:val="single" w:color="000000" w:sz="4" w:space="0"/>
              <w:right w:val="single" w:color="000000" w:sz="4" w:space="0"/>
            </w:tcBorders>
            <w:vAlign w:val="center"/>
          </w:tcPr>
          <w:p w14:paraId="56CF0F3E">
            <w:pPr>
              <w:widowControl/>
              <w:jc w:val="center"/>
              <w:textAlignment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类别</w:t>
            </w:r>
          </w:p>
        </w:tc>
        <w:tc>
          <w:tcPr>
            <w:tcW w:w="3066" w:type="dxa"/>
            <w:tcBorders>
              <w:top w:val="single" w:color="000000" w:sz="4" w:space="0"/>
              <w:left w:val="single" w:color="000000" w:sz="4" w:space="0"/>
              <w:bottom w:val="single" w:color="000000" w:sz="4" w:space="0"/>
              <w:right w:val="single" w:color="000000" w:sz="4" w:space="0"/>
            </w:tcBorders>
            <w:vAlign w:val="center"/>
          </w:tcPr>
          <w:p w14:paraId="0AB86B31">
            <w:pPr>
              <w:widowControl/>
              <w:jc w:val="center"/>
              <w:textAlignment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内容</w:t>
            </w:r>
          </w:p>
        </w:tc>
        <w:tc>
          <w:tcPr>
            <w:tcW w:w="3325" w:type="dxa"/>
            <w:tcBorders>
              <w:top w:val="single" w:color="000000" w:sz="4" w:space="0"/>
              <w:left w:val="single" w:color="000000" w:sz="4" w:space="0"/>
              <w:bottom w:val="single" w:color="000000" w:sz="4" w:space="0"/>
              <w:right w:val="single" w:color="000000" w:sz="4" w:space="0"/>
            </w:tcBorders>
            <w:vAlign w:val="center"/>
          </w:tcPr>
          <w:p w14:paraId="1E008144">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建设范围</w:t>
            </w:r>
          </w:p>
        </w:tc>
        <w:tc>
          <w:tcPr>
            <w:tcW w:w="877" w:type="dxa"/>
            <w:tcBorders>
              <w:top w:val="single" w:color="000000" w:sz="4" w:space="0"/>
              <w:left w:val="single" w:color="000000" w:sz="4" w:space="0"/>
              <w:bottom w:val="single" w:color="000000" w:sz="4" w:space="0"/>
              <w:right w:val="single" w:color="000000" w:sz="4" w:space="0"/>
            </w:tcBorders>
            <w:vAlign w:val="center"/>
          </w:tcPr>
          <w:p w14:paraId="55C4DA6F">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单位</w:t>
            </w:r>
          </w:p>
        </w:tc>
        <w:tc>
          <w:tcPr>
            <w:tcW w:w="925" w:type="dxa"/>
            <w:tcBorders>
              <w:top w:val="single" w:color="000000" w:sz="4" w:space="0"/>
              <w:left w:val="single" w:color="000000" w:sz="4" w:space="0"/>
              <w:bottom w:val="single" w:color="000000" w:sz="4" w:space="0"/>
              <w:right w:val="single" w:color="000000" w:sz="4" w:space="0"/>
            </w:tcBorders>
            <w:vAlign w:val="center"/>
          </w:tcPr>
          <w:p w14:paraId="25BA498B">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数量</w:t>
            </w:r>
          </w:p>
        </w:tc>
      </w:tr>
      <w:tr w14:paraId="1A54F400">
        <w:tblPrEx>
          <w:tblCellMar>
            <w:top w:w="0" w:type="dxa"/>
            <w:left w:w="108" w:type="dxa"/>
            <w:bottom w:w="0" w:type="dxa"/>
            <w:right w:w="108" w:type="dxa"/>
          </w:tblCellMar>
        </w:tblPrEx>
        <w:trPr>
          <w:trHeight w:val="405" w:hRule="atLeast"/>
        </w:trPr>
        <w:tc>
          <w:tcPr>
            <w:tcW w:w="10078" w:type="dxa"/>
            <w:gridSpan w:val="6"/>
            <w:tcBorders>
              <w:top w:val="single" w:color="000000" w:sz="4" w:space="0"/>
              <w:left w:val="single" w:color="000000" w:sz="4" w:space="0"/>
              <w:bottom w:val="single" w:color="000000" w:sz="4" w:space="0"/>
              <w:right w:val="single" w:color="000000" w:sz="4" w:space="0"/>
            </w:tcBorders>
            <w:vAlign w:val="center"/>
          </w:tcPr>
          <w:p w14:paraId="42175902">
            <w:pPr>
              <w:widowControl/>
              <w:jc w:val="left"/>
              <w:textAlignment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kern w:val="0"/>
                <w:sz w:val="24"/>
                <w:szCs w:val="24"/>
                <w:highlight w:val="none"/>
                <w:lang w:val="en-US" w:eastAsia="zh-CN" w:bidi="ar"/>
              </w:rPr>
              <w:t>一、</w:t>
            </w:r>
            <w:r>
              <w:rPr>
                <w:rFonts w:hint="eastAsia" w:asciiTheme="minorEastAsia" w:hAnsiTheme="minorEastAsia" w:eastAsiaTheme="minorEastAsia" w:cstheme="minorEastAsia"/>
                <w:b/>
                <w:bCs/>
                <w:color w:val="000000"/>
                <w:kern w:val="0"/>
                <w:sz w:val="24"/>
                <w:szCs w:val="24"/>
                <w:highlight w:val="none"/>
                <w:lang w:bidi="ar"/>
              </w:rPr>
              <w:t>公司基础资源</w:t>
            </w:r>
          </w:p>
        </w:tc>
      </w:tr>
      <w:tr w14:paraId="307D83A8">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4AC3C8B5">
            <w:pPr>
              <w:widowControl/>
              <w:jc w:val="center"/>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1</w:t>
            </w:r>
          </w:p>
        </w:tc>
        <w:tc>
          <w:tcPr>
            <w:tcW w:w="1032" w:type="dxa"/>
            <w:vMerge w:val="restart"/>
            <w:tcBorders>
              <w:top w:val="single" w:color="000000" w:sz="4" w:space="0"/>
              <w:left w:val="single" w:color="000000" w:sz="4" w:space="0"/>
              <w:right w:val="single" w:color="000000" w:sz="4" w:space="0"/>
            </w:tcBorders>
            <w:vAlign w:val="center"/>
          </w:tcPr>
          <w:p w14:paraId="1AE84A2B">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基础资源</w:t>
            </w:r>
          </w:p>
        </w:tc>
        <w:tc>
          <w:tcPr>
            <w:tcW w:w="3066" w:type="dxa"/>
            <w:tcBorders>
              <w:top w:val="single" w:color="000000" w:sz="4" w:space="0"/>
              <w:left w:val="single" w:color="000000" w:sz="4" w:space="0"/>
              <w:bottom w:val="single" w:color="000000" w:sz="4" w:space="0"/>
              <w:right w:val="single" w:color="000000" w:sz="4" w:space="0"/>
            </w:tcBorders>
            <w:vAlign w:val="center"/>
          </w:tcPr>
          <w:p w14:paraId="3088C175">
            <w:pPr>
              <w:widowControl/>
              <w:jc w:val="left"/>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超融合</w:t>
            </w:r>
            <w:r>
              <w:rPr>
                <w:rFonts w:hint="eastAsia" w:asciiTheme="minorEastAsia" w:hAnsiTheme="minorEastAsia" w:eastAsiaTheme="minorEastAsia" w:cstheme="minorEastAsia"/>
                <w:color w:val="000000"/>
                <w:kern w:val="0"/>
                <w:sz w:val="24"/>
                <w:szCs w:val="24"/>
                <w:highlight w:val="none"/>
                <w:lang w:bidi="ar"/>
              </w:rPr>
              <w:t>服务器</w:t>
            </w:r>
          </w:p>
        </w:tc>
        <w:tc>
          <w:tcPr>
            <w:tcW w:w="3325" w:type="dxa"/>
            <w:tcBorders>
              <w:top w:val="single" w:color="000000" w:sz="4" w:space="0"/>
              <w:left w:val="single" w:color="000000" w:sz="4" w:space="0"/>
              <w:bottom w:val="single" w:color="000000" w:sz="4" w:space="0"/>
              <w:right w:val="single" w:color="000000" w:sz="4" w:space="0"/>
            </w:tcBorders>
            <w:vAlign w:val="center"/>
          </w:tcPr>
          <w:p w14:paraId="23E51B28">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51249BA5">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25F298E1">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w:t>
            </w:r>
          </w:p>
        </w:tc>
      </w:tr>
      <w:tr w14:paraId="223680C8">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200D7A91">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2</w:t>
            </w:r>
          </w:p>
        </w:tc>
        <w:tc>
          <w:tcPr>
            <w:tcW w:w="1032" w:type="dxa"/>
            <w:vMerge w:val="continue"/>
            <w:tcBorders>
              <w:left w:val="single" w:color="000000" w:sz="4" w:space="0"/>
              <w:right w:val="single" w:color="000000" w:sz="4" w:space="0"/>
            </w:tcBorders>
            <w:vAlign w:val="center"/>
          </w:tcPr>
          <w:p w14:paraId="08DA65DA">
            <w:pPr>
              <w:widowControl/>
              <w:jc w:val="left"/>
              <w:textAlignment w:val="center"/>
              <w:rPr>
                <w:rFonts w:hint="eastAsia" w:asciiTheme="minorEastAsia" w:hAnsiTheme="minorEastAsia" w:eastAsiaTheme="minorEastAsia" w:cstheme="minorEastAsia"/>
                <w:color w:val="000000"/>
                <w:kern w:val="0"/>
                <w:sz w:val="24"/>
                <w:szCs w:val="24"/>
                <w:highlight w:val="none"/>
                <w:lang w:bidi="ar"/>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672DB88E">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超融合仲裁节点PC</w:t>
            </w:r>
          </w:p>
        </w:tc>
        <w:tc>
          <w:tcPr>
            <w:tcW w:w="3325" w:type="dxa"/>
            <w:tcBorders>
              <w:top w:val="single" w:color="000000" w:sz="4" w:space="0"/>
              <w:left w:val="single" w:color="000000" w:sz="4" w:space="0"/>
              <w:bottom w:val="single" w:color="000000" w:sz="4" w:space="0"/>
              <w:right w:val="single" w:color="000000" w:sz="4" w:space="0"/>
            </w:tcBorders>
            <w:vAlign w:val="center"/>
          </w:tcPr>
          <w:p w14:paraId="63C6A106">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1518A732">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24FE9968">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w:t>
            </w:r>
          </w:p>
        </w:tc>
      </w:tr>
      <w:tr w14:paraId="74C068A1">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3B53BFCC">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3</w:t>
            </w:r>
          </w:p>
        </w:tc>
        <w:tc>
          <w:tcPr>
            <w:tcW w:w="1032" w:type="dxa"/>
            <w:vMerge w:val="continue"/>
            <w:tcBorders>
              <w:left w:val="single" w:color="000000" w:sz="4" w:space="0"/>
              <w:right w:val="single" w:color="000000" w:sz="4" w:space="0"/>
            </w:tcBorders>
            <w:vAlign w:val="center"/>
          </w:tcPr>
          <w:p w14:paraId="1CE0FAD4">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60F37481">
            <w:pPr>
              <w:widowControl/>
              <w:jc w:val="left"/>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超融合存储万兆交换机</w:t>
            </w:r>
          </w:p>
        </w:tc>
        <w:tc>
          <w:tcPr>
            <w:tcW w:w="3325" w:type="dxa"/>
            <w:tcBorders>
              <w:top w:val="single" w:color="000000" w:sz="4" w:space="0"/>
              <w:left w:val="single" w:color="000000" w:sz="4" w:space="0"/>
              <w:bottom w:val="single" w:color="000000" w:sz="4" w:space="0"/>
              <w:right w:val="single" w:color="000000" w:sz="4" w:space="0"/>
            </w:tcBorders>
            <w:vAlign w:val="center"/>
          </w:tcPr>
          <w:p w14:paraId="7E3DD998">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702F13AB">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2F6300FA">
            <w:pPr>
              <w:widowControl/>
              <w:jc w:val="center"/>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2</w:t>
            </w:r>
          </w:p>
        </w:tc>
      </w:tr>
      <w:tr w14:paraId="3AC2E862">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1C3A869C">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4</w:t>
            </w:r>
          </w:p>
        </w:tc>
        <w:tc>
          <w:tcPr>
            <w:tcW w:w="1032" w:type="dxa"/>
            <w:vMerge w:val="continue"/>
            <w:tcBorders>
              <w:left w:val="single" w:color="000000" w:sz="4" w:space="0"/>
              <w:right w:val="single" w:color="000000" w:sz="4" w:space="0"/>
            </w:tcBorders>
            <w:vAlign w:val="center"/>
          </w:tcPr>
          <w:p w14:paraId="37B153AB">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6849FF3C">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超融合业务管理交换机</w:t>
            </w:r>
          </w:p>
        </w:tc>
        <w:tc>
          <w:tcPr>
            <w:tcW w:w="3325" w:type="dxa"/>
            <w:tcBorders>
              <w:top w:val="single" w:color="000000" w:sz="4" w:space="0"/>
              <w:left w:val="single" w:color="000000" w:sz="4" w:space="0"/>
              <w:bottom w:val="single" w:color="000000" w:sz="4" w:space="0"/>
              <w:right w:val="single" w:color="000000" w:sz="4" w:space="0"/>
            </w:tcBorders>
            <w:vAlign w:val="center"/>
          </w:tcPr>
          <w:p w14:paraId="69DEFFC1">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21F847E8">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42091910">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w:t>
            </w:r>
          </w:p>
        </w:tc>
      </w:tr>
      <w:tr w14:paraId="08953F1E">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2743DE28">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5</w:t>
            </w:r>
          </w:p>
        </w:tc>
        <w:tc>
          <w:tcPr>
            <w:tcW w:w="1032" w:type="dxa"/>
            <w:vMerge w:val="continue"/>
            <w:tcBorders>
              <w:left w:val="single" w:color="000000" w:sz="4" w:space="0"/>
              <w:right w:val="single" w:color="000000" w:sz="4" w:space="0"/>
            </w:tcBorders>
            <w:vAlign w:val="center"/>
          </w:tcPr>
          <w:p w14:paraId="2C8A8281">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353A8D65">
            <w:pPr>
              <w:widowControl/>
              <w:jc w:val="left"/>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网闸</w:t>
            </w:r>
          </w:p>
        </w:tc>
        <w:tc>
          <w:tcPr>
            <w:tcW w:w="3325" w:type="dxa"/>
            <w:tcBorders>
              <w:top w:val="single" w:color="000000" w:sz="4" w:space="0"/>
              <w:left w:val="single" w:color="000000" w:sz="4" w:space="0"/>
              <w:bottom w:val="single" w:color="000000" w:sz="4" w:space="0"/>
              <w:right w:val="single" w:color="000000" w:sz="4" w:space="0"/>
            </w:tcBorders>
            <w:vAlign w:val="center"/>
          </w:tcPr>
          <w:p w14:paraId="0C6E89FA">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69F70F81">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16EC21FB">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w:t>
            </w:r>
          </w:p>
        </w:tc>
      </w:tr>
      <w:tr w14:paraId="67AB89CB">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11CA519A">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6</w:t>
            </w:r>
          </w:p>
        </w:tc>
        <w:tc>
          <w:tcPr>
            <w:tcW w:w="1032" w:type="dxa"/>
            <w:vMerge w:val="continue"/>
            <w:tcBorders>
              <w:left w:val="single" w:color="000000" w:sz="4" w:space="0"/>
              <w:right w:val="single" w:color="000000" w:sz="4" w:space="0"/>
            </w:tcBorders>
            <w:vAlign w:val="center"/>
          </w:tcPr>
          <w:p w14:paraId="1850589B">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0CA97619">
            <w:pPr>
              <w:widowControl/>
              <w:jc w:val="left"/>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交互终端交换机</w:t>
            </w:r>
          </w:p>
        </w:tc>
        <w:tc>
          <w:tcPr>
            <w:tcW w:w="3325" w:type="dxa"/>
            <w:tcBorders>
              <w:top w:val="single" w:color="000000" w:sz="4" w:space="0"/>
              <w:left w:val="single" w:color="000000" w:sz="4" w:space="0"/>
              <w:bottom w:val="single" w:color="000000" w:sz="4" w:space="0"/>
              <w:right w:val="single" w:color="000000" w:sz="4" w:space="0"/>
            </w:tcBorders>
            <w:vAlign w:val="center"/>
          </w:tcPr>
          <w:p w14:paraId="31E113CB">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42D17466">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1D9CBE13">
            <w:pPr>
              <w:widowControl/>
              <w:jc w:val="center"/>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5</w:t>
            </w:r>
          </w:p>
        </w:tc>
      </w:tr>
      <w:tr w14:paraId="2DE5D2C6">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19F2F8FE">
            <w:pPr>
              <w:widowControl/>
              <w:jc w:val="center"/>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7</w:t>
            </w:r>
          </w:p>
        </w:tc>
        <w:tc>
          <w:tcPr>
            <w:tcW w:w="1032" w:type="dxa"/>
            <w:vMerge w:val="continue"/>
            <w:tcBorders>
              <w:left w:val="single" w:color="000000" w:sz="4" w:space="0"/>
              <w:right w:val="single" w:color="000000" w:sz="4" w:space="0"/>
            </w:tcBorders>
            <w:vAlign w:val="center"/>
          </w:tcPr>
          <w:p w14:paraId="1D4DA358">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21DB0E0F">
            <w:pPr>
              <w:widowControl/>
              <w:jc w:val="left"/>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防火墙</w:t>
            </w:r>
          </w:p>
        </w:tc>
        <w:tc>
          <w:tcPr>
            <w:tcW w:w="3325" w:type="dxa"/>
            <w:tcBorders>
              <w:top w:val="single" w:color="000000" w:sz="4" w:space="0"/>
              <w:left w:val="single" w:color="000000" w:sz="4" w:space="0"/>
              <w:bottom w:val="single" w:color="000000" w:sz="4" w:space="0"/>
              <w:right w:val="single" w:color="000000" w:sz="4" w:space="0"/>
            </w:tcBorders>
            <w:vAlign w:val="center"/>
          </w:tcPr>
          <w:p w14:paraId="671F8C9A">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000D24C1">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265AF38E">
            <w:pPr>
              <w:widowControl/>
              <w:jc w:val="center"/>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1</w:t>
            </w:r>
          </w:p>
        </w:tc>
      </w:tr>
      <w:tr w14:paraId="4A56F816">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1CE2CE22">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8</w:t>
            </w:r>
          </w:p>
        </w:tc>
        <w:tc>
          <w:tcPr>
            <w:tcW w:w="1032" w:type="dxa"/>
            <w:vMerge w:val="continue"/>
            <w:tcBorders>
              <w:left w:val="single" w:color="000000" w:sz="4" w:space="0"/>
              <w:right w:val="single" w:color="000000" w:sz="4" w:space="0"/>
            </w:tcBorders>
            <w:vAlign w:val="center"/>
          </w:tcPr>
          <w:p w14:paraId="36A8CB43">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72A7A9AF">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负载均衡器</w:t>
            </w:r>
          </w:p>
        </w:tc>
        <w:tc>
          <w:tcPr>
            <w:tcW w:w="3325" w:type="dxa"/>
            <w:tcBorders>
              <w:top w:val="single" w:color="000000" w:sz="4" w:space="0"/>
              <w:left w:val="single" w:color="000000" w:sz="4" w:space="0"/>
              <w:bottom w:val="single" w:color="000000" w:sz="4" w:space="0"/>
              <w:right w:val="single" w:color="000000" w:sz="4" w:space="0"/>
            </w:tcBorders>
            <w:vAlign w:val="center"/>
          </w:tcPr>
          <w:p w14:paraId="247E4239">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5629C1EF">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17132162">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w:t>
            </w:r>
          </w:p>
        </w:tc>
      </w:tr>
      <w:tr w14:paraId="490AB883">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43E502CF">
            <w:pPr>
              <w:widowControl/>
              <w:tabs>
                <w:tab w:val="left" w:pos="290"/>
              </w:tabs>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ab/>
            </w:r>
            <w:r>
              <w:rPr>
                <w:rFonts w:hint="eastAsia" w:asciiTheme="minorEastAsia" w:hAnsiTheme="minorEastAsia" w:eastAsiaTheme="minorEastAsia" w:cstheme="minorEastAsia"/>
                <w:color w:val="000000"/>
                <w:kern w:val="0"/>
                <w:sz w:val="24"/>
                <w:szCs w:val="24"/>
                <w:highlight w:val="none"/>
                <w:lang w:val="en-US" w:eastAsia="zh-CN" w:bidi="ar"/>
              </w:rPr>
              <w:t>9</w:t>
            </w:r>
          </w:p>
        </w:tc>
        <w:tc>
          <w:tcPr>
            <w:tcW w:w="1032" w:type="dxa"/>
            <w:vMerge w:val="continue"/>
            <w:tcBorders>
              <w:left w:val="single" w:color="000000" w:sz="4" w:space="0"/>
              <w:right w:val="single" w:color="000000" w:sz="4" w:space="0"/>
            </w:tcBorders>
            <w:vAlign w:val="center"/>
          </w:tcPr>
          <w:p w14:paraId="0E7064F4">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7B760CA3">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智能微型断路器</w:t>
            </w:r>
          </w:p>
        </w:tc>
        <w:tc>
          <w:tcPr>
            <w:tcW w:w="3325" w:type="dxa"/>
            <w:tcBorders>
              <w:top w:val="single" w:color="000000" w:sz="4" w:space="0"/>
              <w:left w:val="single" w:color="000000" w:sz="4" w:space="0"/>
              <w:bottom w:val="single" w:color="000000" w:sz="4" w:space="0"/>
              <w:right w:val="single" w:color="000000" w:sz="4" w:space="0"/>
            </w:tcBorders>
            <w:vAlign w:val="center"/>
          </w:tcPr>
          <w:p w14:paraId="6B00B585">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4ABE5A3A">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个</w:t>
            </w:r>
          </w:p>
        </w:tc>
        <w:tc>
          <w:tcPr>
            <w:tcW w:w="925" w:type="dxa"/>
            <w:tcBorders>
              <w:top w:val="single" w:color="000000" w:sz="4" w:space="0"/>
              <w:left w:val="single" w:color="000000" w:sz="4" w:space="0"/>
              <w:bottom w:val="single" w:color="000000" w:sz="4" w:space="0"/>
              <w:right w:val="single" w:color="000000" w:sz="4" w:space="0"/>
            </w:tcBorders>
            <w:vAlign w:val="center"/>
          </w:tcPr>
          <w:p w14:paraId="6F325FD8">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9</w:t>
            </w:r>
          </w:p>
        </w:tc>
      </w:tr>
      <w:tr w14:paraId="675D2F2D">
        <w:tblPrEx>
          <w:tblCellMar>
            <w:top w:w="0" w:type="dxa"/>
            <w:left w:w="108" w:type="dxa"/>
            <w:bottom w:w="0" w:type="dxa"/>
            <w:right w:w="108" w:type="dxa"/>
          </w:tblCellMar>
        </w:tblPrEx>
        <w:trPr>
          <w:trHeight w:val="257"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15D995E9">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10</w:t>
            </w:r>
          </w:p>
        </w:tc>
        <w:tc>
          <w:tcPr>
            <w:tcW w:w="1032" w:type="dxa"/>
            <w:vMerge w:val="continue"/>
            <w:tcBorders>
              <w:left w:val="single" w:color="000000" w:sz="4" w:space="0"/>
              <w:right w:val="single" w:color="000000" w:sz="4" w:space="0"/>
            </w:tcBorders>
            <w:vAlign w:val="center"/>
          </w:tcPr>
          <w:p w14:paraId="00BD373A">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2A12C53A">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以太网通讯模组</w:t>
            </w:r>
          </w:p>
        </w:tc>
        <w:tc>
          <w:tcPr>
            <w:tcW w:w="3325" w:type="dxa"/>
            <w:tcBorders>
              <w:top w:val="single" w:color="000000" w:sz="4" w:space="0"/>
              <w:left w:val="single" w:color="000000" w:sz="4" w:space="0"/>
              <w:bottom w:val="single" w:color="000000" w:sz="4" w:space="0"/>
              <w:right w:val="single" w:color="000000" w:sz="4" w:space="0"/>
            </w:tcBorders>
            <w:vAlign w:val="center"/>
          </w:tcPr>
          <w:p w14:paraId="49EB3B10">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1AB01185">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个</w:t>
            </w:r>
          </w:p>
        </w:tc>
        <w:tc>
          <w:tcPr>
            <w:tcW w:w="925" w:type="dxa"/>
            <w:tcBorders>
              <w:top w:val="single" w:color="000000" w:sz="4" w:space="0"/>
              <w:left w:val="single" w:color="000000" w:sz="4" w:space="0"/>
              <w:bottom w:val="single" w:color="000000" w:sz="4" w:space="0"/>
              <w:right w:val="single" w:color="000000" w:sz="4" w:space="0"/>
            </w:tcBorders>
            <w:vAlign w:val="center"/>
          </w:tcPr>
          <w:p w14:paraId="27850F5A">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w:t>
            </w:r>
          </w:p>
        </w:tc>
      </w:tr>
      <w:tr w14:paraId="31620134">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66E6AAA1">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11</w:t>
            </w:r>
          </w:p>
        </w:tc>
        <w:tc>
          <w:tcPr>
            <w:tcW w:w="1032" w:type="dxa"/>
            <w:vMerge w:val="continue"/>
            <w:tcBorders>
              <w:left w:val="single" w:color="000000" w:sz="4" w:space="0"/>
              <w:right w:val="single" w:color="000000" w:sz="4" w:space="0"/>
            </w:tcBorders>
            <w:vAlign w:val="center"/>
          </w:tcPr>
          <w:p w14:paraId="714D3286">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3642F39F">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电源及防浪涌模组</w:t>
            </w:r>
          </w:p>
        </w:tc>
        <w:tc>
          <w:tcPr>
            <w:tcW w:w="3325" w:type="dxa"/>
            <w:tcBorders>
              <w:top w:val="single" w:color="000000" w:sz="4" w:space="0"/>
              <w:left w:val="single" w:color="000000" w:sz="4" w:space="0"/>
              <w:bottom w:val="single" w:color="000000" w:sz="4" w:space="0"/>
              <w:right w:val="single" w:color="000000" w:sz="4" w:space="0"/>
            </w:tcBorders>
            <w:vAlign w:val="center"/>
          </w:tcPr>
          <w:p w14:paraId="0825AE6D">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1EF0AC8B">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个</w:t>
            </w:r>
          </w:p>
        </w:tc>
        <w:tc>
          <w:tcPr>
            <w:tcW w:w="925" w:type="dxa"/>
            <w:tcBorders>
              <w:top w:val="single" w:color="000000" w:sz="4" w:space="0"/>
              <w:left w:val="single" w:color="000000" w:sz="4" w:space="0"/>
              <w:bottom w:val="single" w:color="000000" w:sz="4" w:space="0"/>
              <w:right w:val="single" w:color="000000" w:sz="4" w:space="0"/>
            </w:tcBorders>
            <w:vAlign w:val="center"/>
          </w:tcPr>
          <w:p w14:paraId="418F8850">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w:t>
            </w:r>
          </w:p>
        </w:tc>
      </w:tr>
      <w:tr w14:paraId="042ADE5B">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36DCDA74">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12</w:t>
            </w:r>
          </w:p>
        </w:tc>
        <w:tc>
          <w:tcPr>
            <w:tcW w:w="1032" w:type="dxa"/>
            <w:vMerge w:val="continue"/>
            <w:tcBorders>
              <w:left w:val="single" w:color="000000" w:sz="4" w:space="0"/>
              <w:bottom w:val="single" w:color="000000" w:sz="4" w:space="0"/>
              <w:right w:val="single" w:color="000000" w:sz="4" w:space="0"/>
            </w:tcBorders>
            <w:vAlign w:val="center"/>
          </w:tcPr>
          <w:p w14:paraId="4F9CB987">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74C6DA75">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管线系统</w:t>
            </w:r>
          </w:p>
        </w:tc>
        <w:tc>
          <w:tcPr>
            <w:tcW w:w="3325" w:type="dxa"/>
            <w:tcBorders>
              <w:top w:val="single" w:color="000000" w:sz="4" w:space="0"/>
              <w:left w:val="single" w:color="000000" w:sz="4" w:space="0"/>
              <w:bottom w:val="single" w:color="000000" w:sz="4" w:space="0"/>
              <w:right w:val="single" w:color="000000" w:sz="4" w:space="0"/>
            </w:tcBorders>
            <w:vAlign w:val="center"/>
          </w:tcPr>
          <w:p w14:paraId="2BADEF88">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79169FC1">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项</w:t>
            </w:r>
          </w:p>
        </w:tc>
        <w:tc>
          <w:tcPr>
            <w:tcW w:w="925" w:type="dxa"/>
            <w:tcBorders>
              <w:top w:val="single" w:color="000000" w:sz="4" w:space="0"/>
              <w:left w:val="single" w:color="000000" w:sz="4" w:space="0"/>
              <w:bottom w:val="single" w:color="000000" w:sz="4" w:space="0"/>
              <w:right w:val="single" w:color="000000" w:sz="4" w:space="0"/>
            </w:tcBorders>
            <w:vAlign w:val="center"/>
          </w:tcPr>
          <w:p w14:paraId="659EA285">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1</w:t>
            </w:r>
          </w:p>
        </w:tc>
      </w:tr>
      <w:tr w14:paraId="07EF954D">
        <w:tblPrEx>
          <w:tblCellMar>
            <w:top w:w="0" w:type="dxa"/>
            <w:left w:w="108" w:type="dxa"/>
            <w:bottom w:w="0" w:type="dxa"/>
            <w:right w:w="108" w:type="dxa"/>
          </w:tblCellMar>
        </w:tblPrEx>
        <w:trPr>
          <w:trHeight w:val="285" w:hRule="atLeast"/>
        </w:trPr>
        <w:tc>
          <w:tcPr>
            <w:tcW w:w="10078" w:type="dxa"/>
            <w:gridSpan w:val="6"/>
            <w:tcBorders>
              <w:top w:val="single" w:color="000000" w:sz="4" w:space="0"/>
              <w:left w:val="single" w:color="000000" w:sz="4" w:space="0"/>
              <w:bottom w:val="single" w:color="000000" w:sz="4" w:space="0"/>
              <w:right w:val="single" w:color="000000" w:sz="4" w:space="0"/>
            </w:tcBorders>
            <w:vAlign w:val="center"/>
          </w:tcPr>
          <w:p w14:paraId="0BBE4CB0">
            <w:pPr>
              <w:widowControl/>
              <w:jc w:val="left"/>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二、</w:t>
            </w:r>
            <w:r>
              <w:rPr>
                <w:rFonts w:hint="eastAsia" w:asciiTheme="minorEastAsia" w:hAnsiTheme="minorEastAsia" w:eastAsiaTheme="minorEastAsia" w:cstheme="minorEastAsia"/>
                <w:b/>
                <w:bCs/>
                <w:color w:val="000000"/>
                <w:kern w:val="0"/>
                <w:sz w:val="24"/>
                <w:szCs w:val="24"/>
                <w:highlight w:val="none"/>
                <w:lang w:bidi="ar"/>
              </w:rPr>
              <w:t>公司</w:t>
            </w:r>
            <w:r>
              <w:rPr>
                <w:rFonts w:hint="eastAsia" w:asciiTheme="minorEastAsia" w:hAnsiTheme="minorEastAsia" w:eastAsiaTheme="minorEastAsia" w:cstheme="minorEastAsia"/>
                <w:b/>
                <w:bCs/>
                <w:color w:val="000000"/>
                <w:kern w:val="0"/>
                <w:sz w:val="24"/>
                <w:szCs w:val="24"/>
                <w:highlight w:val="none"/>
                <w:lang w:val="en-US" w:eastAsia="zh-CN" w:bidi="ar"/>
              </w:rPr>
              <w:t>终端设备</w:t>
            </w:r>
          </w:p>
        </w:tc>
      </w:tr>
      <w:tr w14:paraId="6E9BCA57">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3EE51441">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13</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14:paraId="214C663D">
            <w:pPr>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终端设备</w:t>
            </w:r>
          </w:p>
        </w:tc>
        <w:tc>
          <w:tcPr>
            <w:tcW w:w="3066" w:type="dxa"/>
            <w:tcBorders>
              <w:top w:val="single" w:color="000000" w:sz="4" w:space="0"/>
              <w:left w:val="single" w:color="000000" w:sz="4" w:space="0"/>
              <w:bottom w:val="single" w:color="000000" w:sz="4" w:space="0"/>
              <w:right w:val="single" w:color="000000" w:sz="4" w:space="0"/>
            </w:tcBorders>
            <w:vAlign w:val="center"/>
          </w:tcPr>
          <w:p w14:paraId="677A33FE">
            <w:pPr>
              <w:widowControl/>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监室内智慧交互监舍终端</w:t>
            </w:r>
          </w:p>
        </w:tc>
        <w:tc>
          <w:tcPr>
            <w:tcW w:w="3325" w:type="dxa"/>
            <w:tcBorders>
              <w:top w:val="single" w:color="000000" w:sz="4" w:space="0"/>
              <w:left w:val="single" w:color="000000" w:sz="4" w:space="0"/>
              <w:bottom w:val="single" w:color="000000" w:sz="4" w:space="0"/>
              <w:right w:val="single" w:color="000000" w:sz="4" w:space="0"/>
            </w:tcBorders>
            <w:vAlign w:val="center"/>
          </w:tcPr>
          <w:p w14:paraId="3ED55D7D">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78CAB063">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38A3D697">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48</w:t>
            </w:r>
          </w:p>
        </w:tc>
      </w:tr>
      <w:tr w14:paraId="131170A9">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12D4D0EE">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71E8B309">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34759A8D">
            <w:pPr>
              <w:widowControl/>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监室外智慧交互监舍终端</w:t>
            </w:r>
          </w:p>
        </w:tc>
        <w:tc>
          <w:tcPr>
            <w:tcW w:w="3325" w:type="dxa"/>
            <w:tcBorders>
              <w:top w:val="single" w:color="000000" w:sz="4" w:space="0"/>
              <w:left w:val="single" w:color="000000" w:sz="4" w:space="0"/>
              <w:bottom w:val="single" w:color="000000" w:sz="4" w:space="0"/>
              <w:right w:val="single" w:color="000000" w:sz="4" w:space="0"/>
            </w:tcBorders>
            <w:vAlign w:val="center"/>
          </w:tcPr>
          <w:p w14:paraId="025759AF">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1E2DD963">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41919C26">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24</w:t>
            </w:r>
          </w:p>
        </w:tc>
      </w:tr>
      <w:tr w14:paraId="7BAB355E">
        <w:tblPrEx>
          <w:tblCellMar>
            <w:top w:w="0" w:type="dxa"/>
            <w:left w:w="108" w:type="dxa"/>
            <w:bottom w:w="0" w:type="dxa"/>
            <w:right w:w="108" w:type="dxa"/>
          </w:tblCellMar>
        </w:tblPrEx>
        <w:trPr>
          <w:trHeight w:val="90"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6CAF135E">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38CDA2E2">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74A0F6B5">
            <w:pPr>
              <w:widowControl/>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宿舍走廊对讲终端</w:t>
            </w:r>
          </w:p>
        </w:tc>
        <w:tc>
          <w:tcPr>
            <w:tcW w:w="3325" w:type="dxa"/>
            <w:tcBorders>
              <w:top w:val="single" w:color="000000" w:sz="4" w:space="0"/>
              <w:left w:val="single" w:color="000000" w:sz="4" w:space="0"/>
              <w:bottom w:val="single" w:color="000000" w:sz="4" w:space="0"/>
              <w:right w:val="single" w:color="000000" w:sz="4" w:space="0"/>
            </w:tcBorders>
            <w:vAlign w:val="center"/>
          </w:tcPr>
          <w:p w14:paraId="30BD2B2A">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794C5B4E">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53C6B999">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30</w:t>
            </w:r>
          </w:p>
        </w:tc>
      </w:tr>
      <w:tr w14:paraId="1B1435C0">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194F07BB">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07E4C502">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20199D22">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值班室智慧交互终端</w:t>
            </w:r>
          </w:p>
        </w:tc>
        <w:tc>
          <w:tcPr>
            <w:tcW w:w="3325" w:type="dxa"/>
            <w:tcBorders>
              <w:top w:val="single" w:color="000000" w:sz="4" w:space="0"/>
              <w:left w:val="single" w:color="000000" w:sz="4" w:space="0"/>
              <w:bottom w:val="single" w:color="000000" w:sz="4" w:space="0"/>
              <w:right w:val="single" w:color="000000" w:sz="4" w:space="0"/>
            </w:tcBorders>
            <w:vAlign w:val="center"/>
          </w:tcPr>
          <w:p w14:paraId="39F814E5">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1BA2FEF8">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06C6CB07">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w:t>
            </w:r>
          </w:p>
        </w:tc>
      </w:tr>
      <w:tr w14:paraId="39914FB0">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2FE46D68">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16</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607E00C5">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249B76FF">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指挥中心智慧交</w:t>
            </w:r>
            <w:r>
              <w:rPr>
                <w:rFonts w:hint="eastAsia" w:asciiTheme="minorEastAsia" w:hAnsiTheme="minorEastAsia" w:eastAsiaTheme="minorEastAsia" w:cstheme="minorEastAsia"/>
                <w:color w:val="auto"/>
                <w:kern w:val="0"/>
                <w:sz w:val="24"/>
                <w:szCs w:val="24"/>
                <w:highlight w:val="none"/>
                <w:lang w:val="en-US" w:eastAsia="zh-CN" w:bidi="ar"/>
              </w:rPr>
              <w:t>互</w:t>
            </w:r>
            <w:r>
              <w:rPr>
                <w:rFonts w:hint="eastAsia" w:asciiTheme="minorEastAsia" w:hAnsiTheme="minorEastAsia" w:eastAsiaTheme="minorEastAsia" w:cstheme="minorEastAsia"/>
                <w:color w:val="000000"/>
                <w:kern w:val="0"/>
                <w:sz w:val="24"/>
                <w:szCs w:val="24"/>
                <w:highlight w:val="none"/>
                <w:lang w:val="en-US" w:eastAsia="zh-CN" w:bidi="ar"/>
              </w:rPr>
              <w:t>终端</w:t>
            </w:r>
          </w:p>
        </w:tc>
        <w:tc>
          <w:tcPr>
            <w:tcW w:w="3325" w:type="dxa"/>
            <w:tcBorders>
              <w:top w:val="single" w:color="000000" w:sz="4" w:space="0"/>
              <w:left w:val="single" w:color="000000" w:sz="4" w:space="0"/>
              <w:bottom w:val="single" w:color="000000" w:sz="4" w:space="0"/>
              <w:right w:val="single" w:color="000000" w:sz="4" w:space="0"/>
            </w:tcBorders>
            <w:vAlign w:val="center"/>
          </w:tcPr>
          <w:p w14:paraId="6C2C37BD">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60FE6A3E">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14:paraId="610188A4">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w:t>
            </w:r>
          </w:p>
        </w:tc>
      </w:tr>
      <w:tr w14:paraId="0C79A773">
        <w:tblPrEx>
          <w:tblCellMar>
            <w:top w:w="0" w:type="dxa"/>
            <w:left w:w="108" w:type="dxa"/>
            <w:bottom w:w="0" w:type="dxa"/>
            <w:right w:w="108" w:type="dxa"/>
          </w:tblCellMar>
        </w:tblPrEx>
        <w:trPr>
          <w:trHeight w:val="285" w:hRule="atLeast"/>
        </w:trPr>
        <w:tc>
          <w:tcPr>
            <w:tcW w:w="10078" w:type="dxa"/>
            <w:gridSpan w:val="6"/>
            <w:tcBorders>
              <w:top w:val="single" w:color="000000" w:sz="4" w:space="0"/>
              <w:left w:val="single" w:color="000000" w:sz="4" w:space="0"/>
              <w:bottom w:val="single" w:color="000000" w:sz="4" w:space="0"/>
              <w:right w:val="single" w:color="000000" w:sz="4" w:space="0"/>
            </w:tcBorders>
            <w:vAlign w:val="center"/>
          </w:tcPr>
          <w:p w14:paraId="06E156A9">
            <w:pPr>
              <w:widowControl/>
              <w:jc w:val="both"/>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三、应用支持软件</w:t>
            </w:r>
          </w:p>
        </w:tc>
      </w:tr>
      <w:tr w14:paraId="2C33A145">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099D7D76">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17</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14:paraId="6948EF9D">
            <w:pP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应用支撑软件</w:t>
            </w:r>
          </w:p>
        </w:tc>
        <w:tc>
          <w:tcPr>
            <w:tcW w:w="3066" w:type="dxa"/>
            <w:tcBorders>
              <w:top w:val="single" w:color="000000" w:sz="4" w:space="0"/>
              <w:left w:val="single" w:color="000000" w:sz="4" w:space="0"/>
              <w:bottom w:val="single" w:color="000000" w:sz="4" w:space="0"/>
              <w:right w:val="single" w:color="000000" w:sz="4" w:space="0"/>
            </w:tcBorders>
            <w:vAlign w:val="center"/>
          </w:tcPr>
          <w:p w14:paraId="11B68744">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数据库</w:t>
            </w:r>
          </w:p>
        </w:tc>
        <w:tc>
          <w:tcPr>
            <w:tcW w:w="3325" w:type="dxa"/>
            <w:tcBorders>
              <w:top w:val="single" w:color="000000" w:sz="4" w:space="0"/>
              <w:left w:val="single" w:color="000000" w:sz="4" w:space="0"/>
              <w:bottom w:val="single" w:color="000000" w:sz="4" w:space="0"/>
              <w:right w:val="single" w:color="000000" w:sz="4" w:space="0"/>
            </w:tcBorders>
            <w:vAlign w:val="center"/>
          </w:tcPr>
          <w:p w14:paraId="3CD87000">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58767D83">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vAlign w:val="center"/>
          </w:tcPr>
          <w:p w14:paraId="5FFFE07F">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w:t>
            </w:r>
          </w:p>
        </w:tc>
      </w:tr>
      <w:tr w14:paraId="2441DA74">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32298702">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18</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3D401E2D">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4FD141D5">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操作系统</w:t>
            </w:r>
          </w:p>
        </w:tc>
        <w:tc>
          <w:tcPr>
            <w:tcW w:w="3325" w:type="dxa"/>
            <w:tcBorders>
              <w:top w:val="single" w:color="000000" w:sz="4" w:space="0"/>
              <w:left w:val="single" w:color="000000" w:sz="4" w:space="0"/>
              <w:bottom w:val="single" w:color="000000" w:sz="4" w:space="0"/>
              <w:right w:val="single" w:color="000000" w:sz="4" w:space="0"/>
            </w:tcBorders>
            <w:vAlign w:val="center"/>
          </w:tcPr>
          <w:p w14:paraId="1108EE45">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0F8B5E15">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vAlign w:val="center"/>
          </w:tcPr>
          <w:p w14:paraId="2DE1C176">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w:t>
            </w:r>
          </w:p>
        </w:tc>
      </w:tr>
      <w:tr w14:paraId="1D7ACD26">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57BEFE0F">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19</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47086953">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14:paraId="41A811B2">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中间件</w:t>
            </w:r>
          </w:p>
        </w:tc>
        <w:tc>
          <w:tcPr>
            <w:tcW w:w="3325" w:type="dxa"/>
            <w:tcBorders>
              <w:top w:val="single" w:color="000000" w:sz="4" w:space="0"/>
              <w:left w:val="single" w:color="000000" w:sz="4" w:space="0"/>
              <w:bottom w:val="single" w:color="000000" w:sz="4" w:space="0"/>
              <w:right w:val="single" w:color="000000" w:sz="4" w:space="0"/>
            </w:tcBorders>
            <w:vAlign w:val="center"/>
          </w:tcPr>
          <w:p w14:paraId="12AA5DC7">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14:paraId="2BB94174">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vAlign w:val="center"/>
          </w:tcPr>
          <w:p w14:paraId="385F83CC">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w:t>
            </w:r>
          </w:p>
        </w:tc>
      </w:tr>
      <w:tr w14:paraId="3624C0D1">
        <w:tblPrEx>
          <w:tblCellMar>
            <w:top w:w="0" w:type="dxa"/>
            <w:left w:w="108" w:type="dxa"/>
            <w:bottom w:w="0" w:type="dxa"/>
            <w:right w:w="108" w:type="dxa"/>
          </w:tblCellMar>
        </w:tblPrEx>
        <w:trPr>
          <w:trHeight w:val="285" w:hRule="atLeast"/>
        </w:trPr>
        <w:tc>
          <w:tcPr>
            <w:tcW w:w="10078" w:type="dxa"/>
            <w:gridSpan w:val="6"/>
            <w:tcBorders>
              <w:top w:val="single" w:color="000000" w:sz="4" w:space="0"/>
              <w:left w:val="single" w:color="000000" w:sz="4" w:space="0"/>
              <w:bottom w:val="single" w:color="000000" w:sz="4" w:space="0"/>
              <w:right w:val="single" w:color="000000" w:sz="4" w:space="0"/>
            </w:tcBorders>
            <w:vAlign w:val="center"/>
          </w:tcPr>
          <w:p w14:paraId="04E8364B">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注：投标人须提供本表中序号1至序号19所投产品的品牌型号，否则视为无效投标。</w:t>
            </w:r>
          </w:p>
        </w:tc>
      </w:tr>
    </w:tbl>
    <w:p w14:paraId="78A02BD0">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hint="eastAsia" w:ascii="Times New Roman" w:hAnsi="Times New Roman" w:cs="Times New Roman"/>
          <w:b/>
          <w:bCs/>
          <w:sz w:val="24"/>
          <w:lang w:eastAsia="zh-CN"/>
        </w:rPr>
      </w:pPr>
      <w:r>
        <w:rPr>
          <w:rFonts w:hint="eastAsia" w:ascii="Times New Roman" w:hAnsi="Times New Roman" w:cs="Times New Roman"/>
          <w:b/>
          <w:bCs/>
          <w:sz w:val="24"/>
          <w:lang w:val="en-US" w:eastAsia="zh-CN"/>
        </w:rPr>
        <w:t>（2）员工一体化交互</w:t>
      </w:r>
      <w:r>
        <w:rPr>
          <w:rFonts w:hint="eastAsia" w:ascii="Times New Roman" w:hAnsi="Times New Roman" w:cs="Times New Roman"/>
          <w:b/>
          <w:bCs/>
          <w:sz w:val="24"/>
          <w:lang w:eastAsia="zh-CN"/>
        </w:rPr>
        <w:t>平台</w:t>
      </w:r>
    </w:p>
    <w:tbl>
      <w:tblPr>
        <w:tblStyle w:val="14"/>
        <w:tblW w:w="9876" w:type="dxa"/>
        <w:tblInd w:w="0" w:type="dxa"/>
        <w:tblLayout w:type="fixed"/>
        <w:tblCellMar>
          <w:top w:w="0" w:type="dxa"/>
          <w:left w:w="108" w:type="dxa"/>
          <w:bottom w:w="0" w:type="dxa"/>
          <w:right w:w="108" w:type="dxa"/>
        </w:tblCellMar>
      </w:tblPr>
      <w:tblGrid>
        <w:gridCol w:w="901"/>
        <w:gridCol w:w="3708"/>
        <w:gridCol w:w="2839"/>
        <w:gridCol w:w="1553"/>
        <w:gridCol w:w="875"/>
      </w:tblGrid>
      <w:tr w14:paraId="40B49A35">
        <w:tblPrEx>
          <w:tblCellMar>
            <w:top w:w="0" w:type="dxa"/>
            <w:left w:w="108" w:type="dxa"/>
            <w:bottom w:w="0" w:type="dxa"/>
            <w:right w:w="108" w:type="dxa"/>
          </w:tblCellMar>
        </w:tblPrEx>
        <w:trPr>
          <w:trHeight w:val="193"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1813D2CE">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3708" w:type="dxa"/>
            <w:tcBorders>
              <w:top w:val="single" w:color="000000" w:sz="4" w:space="0"/>
              <w:left w:val="single" w:color="000000" w:sz="4" w:space="0"/>
              <w:bottom w:val="single" w:color="000000" w:sz="4" w:space="0"/>
              <w:right w:val="single" w:color="000000" w:sz="4" w:space="0"/>
            </w:tcBorders>
            <w:vAlign w:val="center"/>
          </w:tcPr>
          <w:p w14:paraId="347456D8">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模块</w:t>
            </w:r>
          </w:p>
        </w:tc>
        <w:tc>
          <w:tcPr>
            <w:tcW w:w="2839" w:type="dxa"/>
            <w:tcBorders>
              <w:top w:val="single" w:color="000000" w:sz="4" w:space="0"/>
              <w:left w:val="single" w:color="000000" w:sz="4" w:space="0"/>
              <w:bottom w:val="single" w:color="000000" w:sz="4" w:space="0"/>
              <w:right w:val="single" w:color="000000" w:sz="4" w:space="0"/>
            </w:tcBorders>
            <w:vAlign w:val="center"/>
          </w:tcPr>
          <w:p w14:paraId="3FA50AF4">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建设范围</w:t>
            </w:r>
          </w:p>
        </w:tc>
        <w:tc>
          <w:tcPr>
            <w:tcW w:w="1553" w:type="dxa"/>
            <w:tcBorders>
              <w:top w:val="single" w:color="000000" w:sz="4" w:space="0"/>
              <w:left w:val="single" w:color="000000" w:sz="4" w:space="0"/>
              <w:bottom w:val="single" w:color="000000" w:sz="4" w:space="0"/>
              <w:right w:val="single" w:color="000000" w:sz="4" w:space="0"/>
            </w:tcBorders>
            <w:vAlign w:val="center"/>
          </w:tcPr>
          <w:p w14:paraId="49F119B2">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单位</w:t>
            </w:r>
          </w:p>
        </w:tc>
        <w:tc>
          <w:tcPr>
            <w:tcW w:w="875" w:type="dxa"/>
            <w:tcBorders>
              <w:top w:val="single" w:color="000000" w:sz="4" w:space="0"/>
              <w:left w:val="single" w:color="000000" w:sz="4" w:space="0"/>
              <w:bottom w:val="single" w:color="000000" w:sz="4" w:space="0"/>
              <w:right w:val="single" w:color="000000" w:sz="4" w:space="0"/>
            </w:tcBorders>
            <w:vAlign w:val="center"/>
          </w:tcPr>
          <w:p w14:paraId="6FF901F7">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数量</w:t>
            </w:r>
          </w:p>
        </w:tc>
      </w:tr>
      <w:tr w14:paraId="382F5B30">
        <w:tblPrEx>
          <w:tblCellMar>
            <w:top w:w="0" w:type="dxa"/>
            <w:left w:w="108" w:type="dxa"/>
            <w:bottom w:w="0" w:type="dxa"/>
            <w:right w:w="108" w:type="dxa"/>
          </w:tblCellMar>
        </w:tblPrEx>
        <w:trPr>
          <w:trHeight w:val="193"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15882E08">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1</w:t>
            </w:r>
          </w:p>
        </w:tc>
        <w:tc>
          <w:tcPr>
            <w:tcW w:w="3708" w:type="dxa"/>
            <w:tcBorders>
              <w:top w:val="single" w:color="000000" w:sz="4" w:space="0"/>
              <w:left w:val="single" w:color="000000" w:sz="4" w:space="0"/>
              <w:right w:val="single" w:color="000000" w:sz="4" w:space="0"/>
            </w:tcBorders>
            <w:vAlign w:val="center"/>
          </w:tcPr>
          <w:p w14:paraId="4C582C9D">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统一管理平台</w:t>
            </w:r>
          </w:p>
        </w:tc>
        <w:tc>
          <w:tcPr>
            <w:tcW w:w="2839" w:type="dxa"/>
            <w:tcBorders>
              <w:top w:val="single" w:color="000000" w:sz="4" w:space="0"/>
              <w:left w:val="single" w:color="000000" w:sz="4" w:space="0"/>
              <w:bottom w:val="single" w:color="000000" w:sz="4" w:space="0"/>
              <w:right w:val="single" w:color="000000" w:sz="4" w:space="0"/>
            </w:tcBorders>
            <w:vAlign w:val="center"/>
          </w:tcPr>
          <w:p w14:paraId="63317934">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景弘集团</w:t>
            </w:r>
          </w:p>
        </w:tc>
        <w:tc>
          <w:tcPr>
            <w:tcW w:w="1553" w:type="dxa"/>
            <w:tcBorders>
              <w:top w:val="single" w:color="000000" w:sz="4" w:space="0"/>
              <w:left w:val="single" w:color="000000" w:sz="4" w:space="0"/>
              <w:bottom w:val="single" w:color="000000" w:sz="4" w:space="0"/>
              <w:right w:val="single" w:color="000000" w:sz="4" w:space="0"/>
            </w:tcBorders>
            <w:vAlign w:val="center"/>
          </w:tcPr>
          <w:p w14:paraId="245ECAAC">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套</w:t>
            </w:r>
          </w:p>
        </w:tc>
        <w:tc>
          <w:tcPr>
            <w:tcW w:w="875" w:type="dxa"/>
            <w:tcBorders>
              <w:top w:val="single" w:color="000000" w:sz="4" w:space="0"/>
              <w:left w:val="single" w:color="000000" w:sz="4" w:space="0"/>
              <w:bottom w:val="single" w:color="000000" w:sz="4" w:space="0"/>
              <w:right w:val="single" w:color="000000" w:sz="4" w:space="0"/>
            </w:tcBorders>
            <w:vAlign w:val="center"/>
          </w:tcPr>
          <w:p w14:paraId="53DC65DB">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r>
      <w:tr w14:paraId="6D5F50EA">
        <w:tblPrEx>
          <w:tblCellMar>
            <w:top w:w="0" w:type="dxa"/>
            <w:left w:w="108" w:type="dxa"/>
            <w:bottom w:w="0" w:type="dxa"/>
            <w:right w:w="108" w:type="dxa"/>
          </w:tblCellMar>
        </w:tblPrEx>
        <w:trPr>
          <w:trHeight w:val="193"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1EE94691">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2</w:t>
            </w:r>
          </w:p>
        </w:tc>
        <w:tc>
          <w:tcPr>
            <w:tcW w:w="3708" w:type="dxa"/>
            <w:tcBorders>
              <w:top w:val="single" w:color="000000" w:sz="4" w:space="0"/>
              <w:left w:val="single" w:color="000000" w:sz="4" w:space="0"/>
              <w:bottom w:val="single" w:color="000000" w:sz="4" w:space="0"/>
              <w:right w:val="single" w:color="000000" w:sz="4" w:space="0"/>
            </w:tcBorders>
            <w:vAlign w:val="center"/>
          </w:tcPr>
          <w:p w14:paraId="7E10053B">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企业员工APP应用软件</w:t>
            </w:r>
          </w:p>
        </w:tc>
        <w:tc>
          <w:tcPr>
            <w:tcW w:w="2839" w:type="dxa"/>
            <w:tcBorders>
              <w:top w:val="single" w:color="000000" w:sz="4" w:space="0"/>
              <w:left w:val="single" w:color="000000" w:sz="4" w:space="0"/>
              <w:bottom w:val="single" w:color="000000" w:sz="4" w:space="0"/>
              <w:right w:val="single" w:color="000000" w:sz="4" w:space="0"/>
            </w:tcBorders>
            <w:vAlign w:val="center"/>
          </w:tcPr>
          <w:p w14:paraId="74FFFAF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1553" w:type="dxa"/>
            <w:tcBorders>
              <w:top w:val="single" w:color="000000" w:sz="4" w:space="0"/>
              <w:left w:val="single" w:color="000000" w:sz="4" w:space="0"/>
              <w:bottom w:val="single" w:color="000000" w:sz="4" w:space="0"/>
              <w:right w:val="single" w:color="000000" w:sz="4" w:space="0"/>
            </w:tcBorders>
            <w:vAlign w:val="center"/>
          </w:tcPr>
          <w:p w14:paraId="31622D29">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套</w:t>
            </w:r>
          </w:p>
        </w:tc>
        <w:tc>
          <w:tcPr>
            <w:tcW w:w="875" w:type="dxa"/>
            <w:tcBorders>
              <w:top w:val="single" w:color="000000" w:sz="4" w:space="0"/>
              <w:left w:val="single" w:color="000000" w:sz="4" w:space="0"/>
              <w:bottom w:val="single" w:color="000000" w:sz="4" w:space="0"/>
              <w:right w:val="single" w:color="000000" w:sz="4" w:space="0"/>
            </w:tcBorders>
            <w:vAlign w:val="center"/>
          </w:tcPr>
          <w:p w14:paraId="3EC87E45">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r>
      <w:tr w14:paraId="36CADC7C">
        <w:tblPrEx>
          <w:tblCellMar>
            <w:top w:w="0" w:type="dxa"/>
            <w:left w:w="108" w:type="dxa"/>
            <w:bottom w:w="0" w:type="dxa"/>
            <w:right w:w="108" w:type="dxa"/>
          </w:tblCellMar>
        </w:tblPrEx>
        <w:trPr>
          <w:trHeight w:val="193"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5334396D">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3</w:t>
            </w:r>
          </w:p>
        </w:tc>
        <w:tc>
          <w:tcPr>
            <w:tcW w:w="3708" w:type="dxa"/>
            <w:tcBorders>
              <w:top w:val="single" w:color="000000" w:sz="4" w:space="0"/>
              <w:left w:val="single" w:color="000000" w:sz="4" w:space="0"/>
              <w:bottom w:val="single" w:color="000000" w:sz="4" w:space="0"/>
              <w:right w:val="single" w:color="000000" w:sz="4" w:space="0"/>
            </w:tcBorders>
            <w:vAlign w:val="center"/>
          </w:tcPr>
          <w:p w14:paraId="3D4A9228">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企业管理人员移动APP应用软件</w:t>
            </w:r>
          </w:p>
        </w:tc>
        <w:tc>
          <w:tcPr>
            <w:tcW w:w="2839" w:type="dxa"/>
            <w:tcBorders>
              <w:top w:val="single" w:color="000000" w:sz="4" w:space="0"/>
              <w:left w:val="single" w:color="000000" w:sz="4" w:space="0"/>
              <w:bottom w:val="single" w:color="000000" w:sz="4" w:space="0"/>
              <w:right w:val="single" w:color="000000" w:sz="4" w:space="0"/>
            </w:tcBorders>
            <w:vAlign w:val="center"/>
          </w:tcPr>
          <w:p w14:paraId="0A59AE2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1553" w:type="dxa"/>
            <w:tcBorders>
              <w:top w:val="single" w:color="000000" w:sz="4" w:space="0"/>
              <w:left w:val="single" w:color="000000" w:sz="4" w:space="0"/>
              <w:bottom w:val="single" w:color="000000" w:sz="4" w:space="0"/>
              <w:right w:val="single" w:color="000000" w:sz="4" w:space="0"/>
            </w:tcBorders>
            <w:vAlign w:val="center"/>
          </w:tcPr>
          <w:p w14:paraId="159D957C">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套</w:t>
            </w:r>
          </w:p>
        </w:tc>
        <w:tc>
          <w:tcPr>
            <w:tcW w:w="875" w:type="dxa"/>
            <w:tcBorders>
              <w:top w:val="single" w:color="000000" w:sz="4" w:space="0"/>
              <w:left w:val="single" w:color="000000" w:sz="4" w:space="0"/>
              <w:bottom w:val="single" w:color="000000" w:sz="4" w:space="0"/>
              <w:right w:val="single" w:color="000000" w:sz="4" w:space="0"/>
            </w:tcBorders>
            <w:vAlign w:val="center"/>
          </w:tcPr>
          <w:p w14:paraId="57994119">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r>
    </w:tbl>
    <w:p w14:paraId="59C5B612">
      <w:pPr>
        <w:spacing w:line="360" w:lineRule="auto"/>
        <w:jc w:val="left"/>
        <w:outlineLvl w:val="1"/>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（十二）</w:t>
      </w:r>
      <w:r>
        <w:rPr>
          <w:rFonts w:hint="eastAsia" w:asciiTheme="minorEastAsia" w:hAnsiTheme="minorEastAsia" w:eastAsiaTheme="minorEastAsia" w:cstheme="minorEastAsia"/>
          <w:b/>
          <w:bCs/>
          <w:sz w:val="24"/>
        </w:rPr>
        <w:t>建设内容需求描述</w:t>
      </w:r>
    </w:p>
    <w:p w14:paraId="72661DE8">
      <w:pPr>
        <w:spacing w:line="360" w:lineRule="auto"/>
        <w:outlineLvl w:val="2"/>
        <w:rPr>
          <w:rFonts w:hint="eastAsia" w:asciiTheme="minorEastAsia" w:hAnsiTheme="minorEastAsia" w:eastAsiaTheme="minorEastAsia" w:cstheme="minorEastAsia"/>
          <w:b/>
          <w:bCs/>
          <w:sz w:val="24"/>
          <w:lang w:val="en-US" w:eastAsia="zh-CN"/>
        </w:rPr>
      </w:pPr>
      <w:bookmarkStart w:id="66" w:name="_Toc120280824"/>
      <w:bookmarkEnd w:id="66"/>
      <w:bookmarkStart w:id="67" w:name="_Toc120280626"/>
      <w:bookmarkEnd w:id="67"/>
      <w:bookmarkStart w:id="68" w:name="_Toc25018"/>
      <w:bookmarkStart w:id="69" w:name="_Toc21874"/>
      <w:bookmarkStart w:id="70" w:name="_Toc31260"/>
      <w:bookmarkStart w:id="71" w:name="_Toc31691"/>
      <w:bookmarkStart w:id="72" w:name="_Toc23411"/>
      <w:r>
        <w:rPr>
          <w:rFonts w:hint="eastAsia" w:asciiTheme="minorEastAsia" w:hAnsiTheme="minorEastAsia" w:eastAsiaTheme="minorEastAsia" w:cstheme="minorEastAsia"/>
          <w:b/>
          <w:bCs/>
          <w:sz w:val="24"/>
          <w:lang w:val="en-US" w:eastAsia="zh-CN"/>
        </w:rPr>
        <w:t>1.基础资源、设备及</w:t>
      </w:r>
      <w:r>
        <w:rPr>
          <w:rFonts w:hint="eastAsia" w:asciiTheme="minorEastAsia" w:hAnsiTheme="minorEastAsia" w:eastAsiaTheme="minorEastAsia" w:cstheme="minorEastAsia"/>
          <w:b/>
          <w:bCs/>
          <w:sz w:val="24"/>
        </w:rPr>
        <w:t>应用</w:t>
      </w:r>
      <w:r>
        <w:rPr>
          <w:rFonts w:hint="eastAsia" w:asciiTheme="minorEastAsia" w:hAnsiTheme="minorEastAsia" w:eastAsiaTheme="minorEastAsia" w:cstheme="minorEastAsia"/>
          <w:b/>
          <w:bCs/>
          <w:sz w:val="24"/>
          <w:lang w:val="en-US" w:eastAsia="zh-CN"/>
        </w:rPr>
        <w:t>软件</w:t>
      </w:r>
      <w:bookmarkEnd w:id="68"/>
      <w:bookmarkEnd w:id="69"/>
      <w:bookmarkEnd w:id="70"/>
      <w:r>
        <w:rPr>
          <w:rFonts w:hint="eastAsia" w:asciiTheme="minorEastAsia" w:hAnsiTheme="minorEastAsia" w:eastAsiaTheme="minorEastAsia" w:cstheme="minorEastAsia"/>
          <w:b/>
          <w:bCs/>
          <w:sz w:val="24"/>
          <w:lang w:val="en-US" w:eastAsia="zh-CN"/>
        </w:rPr>
        <w:t>参数需求</w:t>
      </w:r>
    </w:p>
    <w:p w14:paraId="7A2393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终端硬件设备包含：一个</w:t>
      </w:r>
      <w:r>
        <w:rPr>
          <w:rFonts w:hint="eastAsia" w:asciiTheme="minorEastAsia" w:hAnsiTheme="minorEastAsia" w:eastAsiaTheme="minorEastAsia" w:cstheme="minorEastAsia"/>
          <w:color w:val="000000"/>
          <w:kern w:val="0"/>
          <w:sz w:val="24"/>
          <w:lang w:val="en-US" w:eastAsia="zh-CN"/>
        </w:rPr>
        <w:t>部门</w:t>
      </w:r>
      <w:r>
        <w:rPr>
          <w:rFonts w:hint="eastAsia" w:asciiTheme="minorEastAsia" w:hAnsiTheme="minorEastAsia" w:eastAsiaTheme="minorEastAsia" w:cstheme="minorEastAsia"/>
          <w:color w:val="000000"/>
          <w:kern w:val="0"/>
          <w:sz w:val="24"/>
        </w:rPr>
        <w:t>的信息交互终端（4个</w:t>
      </w:r>
      <w:r>
        <w:rPr>
          <w:rFonts w:hint="eastAsia" w:asciiTheme="minorEastAsia" w:hAnsiTheme="minorEastAsia" w:eastAsiaTheme="minorEastAsia" w:cstheme="minorEastAsia"/>
          <w:color w:val="000000"/>
          <w:kern w:val="0"/>
          <w:sz w:val="24"/>
          <w:lang w:val="en-US" w:eastAsia="zh-CN"/>
        </w:rPr>
        <w:t>子部门的</w:t>
      </w:r>
      <w:r>
        <w:rPr>
          <w:rFonts w:hint="eastAsia" w:asciiTheme="minorEastAsia" w:hAnsiTheme="minorEastAsia" w:eastAsiaTheme="minorEastAsia" w:cstheme="minorEastAsia"/>
          <w:color w:val="000000"/>
          <w:kern w:val="0"/>
          <w:sz w:val="24"/>
        </w:rPr>
        <w:t>48个监室内交互终端、24个监室外发布终端）。全</w:t>
      </w:r>
      <w:r>
        <w:rPr>
          <w:rFonts w:hint="eastAsia" w:asciiTheme="minorEastAsia" w:hAnsiTheme="minorEastAsia" w:eastAsiaTheme="minorEastAsia" w:cstheme="minorEastAsia"/>
          <w:color w:val="000000"/>
          <w:kern w:val="0"/>
          <w:sz w:val="24"/>
          <w:lang w:val="en-US" w:eastAsia="zh-CN"/>
        </w:rPr>
        <w:t>公司</w:t>
      </w:r>
      <w:r>
        <w:rPr>
          <w:rFonts w:hint="eastAsia" w:asciiTheme="minorEastAsia" w:hAnsiTheme="minorEastAsia" w:eastAsiaTheme="minorEastAsia" w:cstheme="minorEastAsia"/>
          <w:color w:val="000000"/>
          <w:kern w:val="0"/>
          <w:sz w:val="24"/>
        </w:rPr>
        <w:t>30台走廊对讲终端（每个</w:t>
      </w:r>
      <w:r>
        <w:rPr>
          <w:rFonts w:hint="eastAsia" w:asciiTheme="minorEastAsia" w:hAnsiTheme="minorEastAsia" w:eastAsiaTheme="minorEastAsia" w:cstheme="minorEastAsia"/>
          <w:color w:val="000000"/>
          <w:kern w:val="0"/>
          <w:sz w:val="24"/>
          <w:lang w:val="en-US" w:eastAsia="zh-CN"/>
        </w:rPr>
        <w:t>子部门</w:t>
      </w:r>
      <w:r>
        <w:rPr>
          <w:rFonts w:hint="eastAsia" w:asciiTheme="minorEastAsia" w:hAnsiTheme="minorEastAsia" w:eastAsiaTheme="minorEastAsia" w:cstheme="minorEastAsia"/>
          <w:color w:val="000000"/>
          <w:kern w:val="0"/>
          <w:sz w:val="24"/>
        </w:rPr>
        <w:t>走廊各1台），走廊对讲终端主要实现可视对讲报警功能。以及3个</w:t>
      </w:r>
      <w:r>
        <w:rPr>
          <w:rFonts w:hint="eastAsia" w:asciiTheme="minorEastAsia" w:hAnsiTheme="minorEastAsia" w:eastAsiaTheme="minorEastAsia" w:cstheme="minorEastAsia"/>
          <w:color w:val="000000"/>
          <w:kern w:val="0"/>
          <w:sz w:val="24"/>
          <w:lang w:val="en-US" w:eastAsia="zh-CN"/>
        </w:rPr>
        <w:t>子部门</w:t>
      </w:r>
      <w:r>
        <w:rPr>
          <w:rFonts w:hint="eastAsia" w:asciiTheme="minorEastAsia" w:hAnsiTheme="minorEastAsia" w:eastAsiaTheme="minorEastAsia" w:cstheme="minorEastAsia"/>
          <w:color w:val="000000"/>
          <w:kern w:val="0"/>
          <w:sz w:val="24"/>
        </w:rPr>
        <w:t>值班室信息交互终端（管理端）、2台指挥中心信息</w:t>
      </w:r>
      <w:r>
        <w:rPr>
          <w:rFonts w:hint="eastAsia" w:asciiTheme="minorEastAsia" w:hAnsiTheme="minorEastAsia" w:eastAsiaTheme="minorEastAsia" w:cstheme="minorEastAsia"/>
          <w:color w:val="000000"/>
          <w:kern w:val="0"/>
          <w:sz w:val="24"/>
          <w:lang w:eastAsia="zh-CN"/>
        </w:rPr>
        <w:t>管理主机</w:t>
      </w:r>
      <w:r>
        <w:rPr>
          <w:rFonts w:hint="eastAsia" w:asciiTheme="minorEastAsia" w:hAnsiTheme="minorEastAsia" w:eastAsiaTheme="minorEastAsia" w:cstheme="minorEastAsia"/>
          <w:color w:val="000000"/>
          <w:kern w:val="0"/>
          <w:sz w:val="24"/>
        </w:rPr>
        <w:t>（管理端）。</w:t>
      </w:r>
    </w:p>
    <w:p w14:paraId="1CEFCB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u w:val="single"/>
          <w:shd w:val="clear" w:color="FFFFFF" w:fill="D9D9D9"/>
          <w:lang w:eastAsia="zh-CN"/>
        </w:rPr>
      </w:pPr>
      <w:r>
        <w:rPr>
          <w:rFonts w:hint="eastAsia" w:asciiTheme="minorEastAsia" w:hAnsiTheme="minorEastAsia" w:eastAsiaTheme="minorEastAsia" w:cstheme="minorEastAsia"/>
          <w:color w:val="000000"/>
          <w:kern w:val="0"/>
          <w:sz w:val="24"/>
          <w:lang w:eastAsia="zh-CN"/>
        </w:rPr>
        <w:t>员工宿舍内交互终端、宿舍走廊对讲终端、宿舍值班室信息交互终端和指挥中心信息管理主机应在应用管理服务器和流媒体/信令服务器离线时，仍可正常建立通讯，实现点对点的对讲、报警。</w:t>
      </w:r>
      <w:r>
        <w:rPr>
          <w:rFonts w:hint="eastAsia" w:asciiTheme="minorEastAsia" w:hAnsiTheme="minorEastAsia" w:eastAsiaTheme="minorEastAsia" w:cstheme="minorEastAsia"/>
          <w:b/>
          <w:bCs/>
          <w:color w:val="000000"/>
          <w:kern w:val="0"/>
          <w:sz w:val="24"/>
          <w:u w:val="single"/>
          <w:shd w:val="clear" w:color="FFFFFF" w:fill="D9D9D9"/>
          <w:lang w:val="en-US" w:eastAsia="zh-CN"/>
        </w:rPr>
        <w:t>（▲</w:t>
      </w:r>
      <w:r>
        <w:rPr>
          <w:rFonts w:hint="eastAsia" w:asciiTheme="minorEastAsia" w:hAnsiTheme="minorEastAsia" w:eastAsiaTheme="minorEastAsia" w:cstheme="minorEastAsia"/>
          <w:b/>
          <w:bCs/>
          <w:color w:val="000000"/>
          <w:kern w:val="0"/>
          <w:sz w:val="24"/>
          <w:u w:val="single"/>
          <w:shd w:val="clear" w:color="FFFFFF" w:fill="D9D9D9"/>
          <w:lang w:eastAsia="zh-CN"/>
        </w:rPr>
        <w:t>评审项</w:t>
      </w:r>
      <w:r>
        <w:rPr>
          <w:rFonts w:hint="eastAsia" w:asciiTheme="minorEastAsia" w:hAnsiTheme="minorEastAsia" w:eastAsiaTheme="minorEastAsia" w:cstheme="minorEastAsia"/>
          <w:b/>
          <w:bCs/>
          <w:color w:val="000000"/>
          <w:kern w:val="0"/>
          <w:sz w:val="24"/>
          <w:u w:val="single"/>
          <w:shd w:val="clear" w:color="FFFFFF" w:fill="D9D9D9"/>
          <w:lang w:val="en-US" w:eastAsia="zh-CN"/>
        </w:rPr>
        <w:t>1，完全响应此项的得0.5分）</w:t>
      </w:r>
    </w:p>
    <w:p w14:paraId="4B7ABE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sz w:val="28"/>
          <w:szCs w:val="36"/>
          <w:highlight w:val="none"/>
          <w:u w:val="double"/>
          <w:shd w:val="clear" w:color="FFFFFF" w:fill="D9D9D9"/>
          <w:lang w:val="en-US" w:eastAsia="zh-CN"/>
        </w:rPr>
      </w:pPr>
      <w:r>
        <w:rPr>
          <w:rFonts w:hint="eastAsia" w:asciiTheme="minorEastAsia" w:hAnsiTheme="minorEastAsia" w:eastAsiaTheme="minorEastAsia" w:cstheme="minorEastAsia"/>
          <w:color w:val="000000"/>
          <w:kern w:val="0"/>
          <w:sz w:val="24"/>
          <w:lang w:eastAsia="zh-CN"/>
        </w:rPr>
        <w:t>员工宿舍内交互终端应采用高内聚、低耦合设计，安防、交互等功能应用间互不依赖、独立运行。任一应用崩溃、无法正常使用时，不影响其他应用运行。通电正常情况下，触屏无法正常操作及交互应用不能正常运行使用时，仍应满足一键报警和呼叫对讲功能正常使用。</w:t>
      </w:r>
      <w:r>
        <w:rPr>
          <w:rFonts w:hint="eastAsia" w:asciiTheme="minorEastAsia" w:hAnsiTheme="minorEastAsia" w:eastAsiaTheme="minorEastAsia" w:cstheme="minorEastAsia"/>
          <w:b/>
          <w:bCs/>
          <w:color w:val="000000"/>
          <w:kern w:val="0"/>
          <w:sz w:val="24"/>
          <w:shd w:val="clear" w:color="FFFFFF" w:fill="D9D9D9"/>
          <w:lang w:eastAsia="zh-CN"/>
        </w:rPr>
        <w:t>（▲评审项2，完全响应此项的得0.5分）</w:t>
      </w:r>
    </w:p>
    <w:p w14:paraId="5687BB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Theme="minorEastAsia" w:hAnsiTheme="minorEastAsia" w:eastAsiaTheme="minorEastAsia" w:cstheme="minorEastAsia"/>
          <w:b w:val="0"/>
          <w:bCs w:val="0"/>
          <w:color w:val="000000"/>
          <w:kern w:val="0"/>
          <w:sz w:val="24"/>
          <w:u w:val="none"/>
          <w:lang w:eastAsia="zh-CN"/>
        </w:rPr>
        <w:t>员工宿舍内交互终端、宿舍走廊对讲终端、宿舍值班室信息交互终端和指挥中心信息</w:t>
      </w:r>
      <w:r>
        <w:rPr>
          <w:rFonts w:hint="eastAsia" w:asciiTheme="minorEastAsia" w:hAnsiTheme="minorEastAsia" w:eastAsiaTheme="minorEastAsia" w:cstheme="minorEastAsia"/>
          <w:color w:val="000000"/>
          <w:kern w:val="0"/>
          <w:sz w:val="24"/>
          <w:lang w:eastAsia="zh-CN"/>
        </w:rPr>
        <w:t>管理主机</w:t>
      </w:r>
      <w:r>
        <w:rPr>
          <w:rFonts w:hint="eastAsia" w:asciiTheme="minorEastAsia" w:hAnsiTheme="minorEastAsia" w:eastAsiaTheme="minorEastAsia" w:cstheme="minorEastAsia"/>
          <w:b w:val="0"/>
          <w:bCs w:val="0"/>
          <w:color w:val="000000"/>
          <w:kern w:val="0"/>
          <w:sz w:val="24"/>
          <w:u w:val="none"/>
          <w:lang w:eastAsia="zh-CN"/>
        </w:rPr>
        <w:t>应满足对市面上的智能屏的通用标准接入和国产系统兼容适配要求</w:t>
      </w:r>
      <w:r>
        <w:rPr>
          <w:rStyle w:val="30"/>
          <w:rFonts w:hint="eastAsia" w:ascii="宋体" w:hAnsi="宋体" w:eastAsia="宋体" w:cs="宋体"/>
          <w:b/>
          <w:bCs/>
          <w:sz w:val="24"/>
          <w:szCs w:val="24"/>
          <w:u w:val="none"/>
          <w:lang w:eastAsia="zh-CN"/>
        </w:rPr>
        <w:t>【针对此项，投标人在投标文件技术商务中</w:t>
      </w:r>
      <w:r>
        <w:rPr>
          <w:rStyle w:val="30"/>
          <w:rFonts w:hint="eastAsia" w:ascii="宋体" w:hAnsi="宋体" w:eastAsia="宋体" w:cs="宋体"/>
          <w:b/>
          <w:bCs/>
          <w:sz w:val="24"/>
          <w:szCs w:val="24"/>
          <w:u w:val="none"/>
        </w:rPr>
        <w:t>单独提供专项承诺函</w:t>
      </w:r>
      <w:r>
        <w:rPr>
          <w:rStyle w:val="30"/>
          <w:rFonts w:hint="eastAsia" w:ascii="宋体" w:hAnsi="宋体" w:eastAsia="宋体" w:cs="宋体"/>
          <w:b/>
          <w:bCs/>
          <w:sz w:val="24"/>
          <w:szCs w:val="24"/>
          <w:u w:val="none"/>
          <w:lang w:eastAsia="zh-CN"/>
        </w:rPr>
        <w:t>（格式自拟）】</w:t>
      </w:r>
      <w:r>
        <w:rPr>
          <w:rFonts w:hint="eastAsia" w:asciiTheme="minorEastAsia" w:hAnsiTheme="minorEastAsia" w:eastAsiaTheme="minorEastAsia" w:cstheme="minorEastAsia"/>
          <w:b/>
          <w:bCs/>
          <w:color w:val="000000"/>
          <w:kern w:val="0"/>
          <w:sz w:val="24"/>
          <w:u w:val="single"/>
          <w:shd w:val="clear" w:color="FFFFFF" w:fill="D9D9D9"/>
          <w:lang w:val="en-US" w:eastAsia="zh-CN"/>
        </w:rPr>
        <w:t>（▲</w:t>
      </w:r>
      <w:r>
        <w:rPr>
          <w:rFonts w:hint="eastAsia" w:asciiTheme="minorEastAsia" w:hAnsiTheme="minorEastAsia" w:eastAsiaTheme="minorEastAsia" w:cstheme="minorEastAsia"/>
          <w:b/>
          <w:bCs/>
          <w:color w:val="000000"/>
          <w:kern w:val="0"/>
          <w:sz w:val="24"/>
          <w:u w:val="single"/>
          <w:shd w:val="clear" w:color="FFFFFF" w:fill="D9D9D9"/>
          <w:lang w:eastAsia="zh-CN"/>
        </w:rPr>
        <w:t>评审项</w:t>
      </w:r>
      <w:r>
        <w:rPr>
          <w:rFonts w:hint="eastAsia" w:asciiTheme="minorEastAsia" w:hAnsiTheme="minorEastAsia" w:eastAsiaTheme="minorEastAsia" w:cstheme="minorEastAsia"/>
          <w:b/>
          <w:bCs/>
          <w:color w:val="000000"/>
          <w:kern w:val="0"/>
          <w:sz w:val="24"/>
          <w:u w:val="single"/>
          <w:shd w:val="clear" w:color="FFFFFF" w:fill="D9D9D9"/>
          <w:lang w:val="en-US" w:eastAsia="zh-CN"/>
        </w:rPr>
        <w:t>3，完全响应此项的得0.5分）</w:t>
      </w:r>
      <w:r>
        <w:rPr>
          <w:rFonts w:hint="eastAsia" w:asciiTheme="minorEastAsia" w:hAnsiTheme="minorEastAsia" w:eastAsiaTheme="minorEastAsia" w:cstheme="minorEastAsia"/>
          <w:b/>
          <w:bCs/>
          <w:color w:val="000000"/>
          <w:kern w:val="0"/>
          <w:sz w:val="24"/>
          <w:u w:val="single"/>
          <w:shd w:val="clear" w:color="FFFFFF" w:fill="D9D9D9"/>
          <w:lang w:val="en-US" w:eastAsia="zh-CN"/>
        </w:rPr>
        <w:br w:type="textWrapping"/>
      </w:r>
      <w:r>
        <w:rPr>
          <w:rFonts w:hint="eastAsia" w:asciiTheme="minorEastAsia" w:hAnsiTheme="minorEastAsia" w:eastAsiaTheme="minorEastAsia" w:cstheme="minorEastAsia"/>
          <w:b/>
          <w:bCs/>
          <w:color w:val="000000"/>
          <w:kern w:val="0"/>
          <w:sz w:val="24"/>
          <w:u w:val="none"/>
          <w:shd w:val="clear" w:color="auto" w:fill="auto"/>
          <w:lang w:val="en-US" w:eastAsia="zh-CN"/>
        </w:rPr>
        <w:t>2.设备采购清单：</w:t>
      </w:r>
    </w:p>
    <w:bookmarkEnd w:id="71"/>
    <w:bookmarkEnd w:id="72"/>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770"/>
        <w:gridCol w:w="7352"/>
        <w:gridCol w:w="645"/>
        <w:gridCol w:w="646"/>
      </w:tblGrid>
      <w:tr w14:paraId="73D8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34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6AA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设备名称</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67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参数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4DB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6B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r>
      <w:tr w14:paraId="12137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D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48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监室内交互终端</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3EB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w:t>
            </w: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4（</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仅包含“监室内交互终端”参数项下内容，</w:t>
            </w:r>
            <w:r>
              <w:rPr>
                <w:rFonts w:hint="eastAsia" w:asciiTheme="minorEastAsia" w:hAnsiTheme="minorEastAsia" w:eastAsiaTheme="minorEastAsia" w:cstheme="minorEastAsia"/>
                <w:b/>
                <w:bCs/>
                <w:sz w:val="24"/>
                <w:szCs w:val="24"/>
                <w:highlight w:val="none"/>
                <w:u w:val="double"/>
                <w:shd w:val="clear" w:color="FFFFFF" w:fill="D9D9D9"/>
                <w:lang w:val="en-US" w:eastAsia="zh-CN"/>
              </w:rPr>
              <w:t>完全响应此项的得0.5分）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1.性能参数:CPU最高主频≥1.9GHz,核心数≥4核心;内存DDR≥8GB;存储EMMC/NAND≥32GB；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2.屏幕参数:尺寸≥15寸,分辨率≥1920*1080,触控方式电容式多点触控；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3.验证方式:人脸识别、刷卡识别,支持活体人脸识别验证、支持刷卡验证，需提供设备自带的人脸采集、特征值生成及人脸识别比对的SDK或API服务；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4.视频参数:摄像头,内置宽动态高清广角摄像头，强光、弱光下可清晰拍摄到人脸画面并进行人脸识别；像素≥200W，分辨率≥1920*1080,编码能力H.264,解码能力 H.264或H.265；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报警对讲参数:报警要求,具有2个实体按钮一键报警和呼叫对讲；设备在通电情况下，触摸功能无法正常使用或设备应用无法正常运行时，应满足一键报警和呼叫对讲功能正常使用；对讲要求,支持与对讲主机间双向1080P高清可视全双工对讲，对讲音频采样率不低于16KHz；①要求在系统的管理服务器离线时仍可实现与值班室、指挥中心管理端呼叫对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②要求在系统的管理服务器离线时仍可实现与值班室、指挥中心管理端呼叫对讲；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6.音频参数:音频输入 内置麦克风音频输入,音频输出 立体扬声器,外接音频输入/输出 各≥1路；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7.外部接口:以太网 1路千兆,视频输出 1路HDMI；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8.其他参数:供电方式支持POE供电或DC12-24V宽电压输入供电;工作温度-20℃-70℃;工作湿度 10%-90%,外观要求：硬质铝合金外壳，一体化结构设计，全触摸式操作;防暴要求,采用多点触控电容式钢化防暴触摸屏，触摸屏防暴等级≥IK8;防护要求,防尘防水等级≥IP54;防拆要求,强拆自动报警;安装方式,嵌入式或壁挂式安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9.操作系统 采用 ≥Android 9.0或 鸿蒙；</w:t>
            </w:r>
          </w:p>
          <w:p w14:paraId="3C71323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10.其他要求：提供设备接入sdk或api服务，满足统一管理平台设备接入管控，如设备基本信息获取、设备控制、设备状态监测、设备运行环境参数信息等，并可全面具备各标准和国产系统的接入。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48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9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6E86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8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4F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监室外发布终端</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8DC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▲评审项5（</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仅包含“监室外发布终端”参数项下内容，</w:t>
            </w: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完全响应此项的得0.5分）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1.性能参数:CPU最高主频≥1.9 GHz,核心数≥4核心;内存DDR≥4GB;存储EMMC/NAND≥32GB；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2.屏幕参数:尺寸≥15寸;分辨率≥1920*1080;触控方式,电容式多点触控；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3.外部接口:以太网1路百兆及以上;开关量输出/输入,各≥1路；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4.其他参数:供电方式支持宽电压DC12-24V供电;工作温度 -20℃-70℃;工作湿度10%-90%;外观要求,金属外壳，一体化结构设计;防暴要求,采用多点触控电容式钢化防暴触摸屏，触摸屏防暴等级≥IK8;安装方式,壁挂式或嵌入式；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5.操作系统 采用 ≥Android 9.0或鸿蒙；</w:t>
            </w:r>
          </w:p>
          <w:p w14:paraId="425CBBA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6.其他要求：提供设备接入sdk或api服务，满足统一管理平台设备接入管控，如设备基本信息获取、设备控制、设备状态监测、设备运行环境参数信息等，并可全面具备各标准和国产系统的接入。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7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8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4940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6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F0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子部门走廊对讲终端</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D8D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▲评审项6（</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仅包含“子部门走廊对讲终端”参数项下内容，</w:t>
            </w: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完全响应此项的得0.5分）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1.性能参数:CPU最高主频≥1.9GHz,核心数≥4核心;内存DDR≥4GB;存储EMMC/NAND≥32GB；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2.对讲参数:参数要求,支持一键报警和可视对讲，支持与对讲主机1920*1080高清可视全双工对讲，对讲音频采样率不低于16KHz；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内置200万以上像素高清摄像头，支持1080P全高清视频对讲，设备需使用开放通用的标准SIP协议，便于后续与其他支持SIP协议的对讲系统和融合通讯系统、应急指挥系统进行对接；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3.屏幕参数:尺寸≥21寸;分辨率≥1920*1080;触控方式,电容式多点触控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4.验证方式:人脸识别、刷卡识别,支持活体人脸识别验证、支持刷卡验证，需提供设备自带的人脸采集、特征值生成及人脸识别比对的SDK或API服务；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5.视频参数:摄像头,内置宽动态高清广角摄像头，强光、弱光下可清晰拍摄到人脸画面并进行人脸识别；像素≥200W，分辨率≥1920*1080；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6.音频参数:音频输入,内置麦克风音频输入;音频输出,立体声扬声器；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7.外部接口:以太网1路千兆;开关量输出/输入,各≥1路;音频输出/输入,各≥1路；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8.其他参数:工作温度,-20℃-70℃;安装方式,壁挂或嵌入式;供电方式,支持宽电压输入供电（DC12~24V）;外观要求,金属外壳，触摸屏防暴等级≥IK08；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9.操作系统 采用 ≥Android 9.0或 鸿蒙；</w:t>
            </w:r>
          </w:p>
          <w:p w14:paraId="22D2B16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10.提供设备接入sdk或api服务，满足统一管理平台设备接入管控，如设备基本信息获取、设备控制、设备状态监测、设备运行环境参数信息等，并可全面具备各标准和国产系统的接入。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6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C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46E5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1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EC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值班室管理端</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CD5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▲评审项7（</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仅包含“值班室管理端”参数项下内容，</w:t>
            </w: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完全响应此项的得0.5分）</w:t>
            </w: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1.性能参数:CPU最高主频≥1.9GHz,核心数≥4核心;内存DDR≥4GB;存储EMMC/NAND≥32GB；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2.屏幕参数:尺寸≥15寸;分辨率≥1920*1080;触控方式:电容式多点触控；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3.视频参数:摄像头:内置宽动态高清广角摄像头，强光、弱光下可清晰拍摄到人脸画面并进行人脸识别；像素≥200W，分辨率≥1920*1080;编码方式:H.264或H.265；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对讲参数及方式:参数要求:支持实体按钮一键呼叫报警和可视对讲，支持与对讲主机间双向1080P高清可视全双工对讲，对讲音频采样率不低于16KHz，设备需使用开放通用的标准SIP协议，便于后续与其他支持SIP协议的对讲系统和融合通讯系统、应急指挥系统进行对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5.工作模式:离线工作:支持系统管理服务器平台离线工作，离线时仍可实现与系统内其它设备进行呼叫、接听、可视对讲、广播播放及监听监视交互终端等基础功能；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6.音频参数:音频输入:内置麦克风音频输入;音频输出:内置免提扬声器;外接音频输入/输出:各1路（可外接耳麦）；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7.外部接口:以太网:1路千兆;视频输出:1路HDMI（支持1080P）;RS485≥1路;开关量输出/输入:各≥1路；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8.其他参数:供电方式:支持DC12-24V供电;工作温度:-20℃-70℃;工作湿度:10%-90%;外观要求:一体化结构设计，具有手柄话筒和长杆话筒2种对讲方式;安装方式:桌面放置或壁挂式；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9.操作系统 采用 ≥Android 9.0或 鸿蒙；</w:t>
            </w:r>
          </w:p>
          <w:p w14:paraId="492A709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10.其他要求：提供设备接入sdk或api服务，满足统一管理平台设备接入管控，如设备基本信息获取、设备控制、设备状态监测、设备运行环境参数信息等，并可全面具备各标准和国产系统的接入。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8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8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18A4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9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CE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指挥中心管理端</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BF8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8（</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仅包含“指挥中心管理端”参数项下内容，</w:t>
            </w:r>
            <w:r>
              <w:rPr>
                <w:rFonts w:hint="eastAsia" w:asciiTheme="minorEastAsia" w:hAnsiTheme="minorEastAsia" w:eastAsiaTheme="minorEastAsia" w:cstheme="minorEastAsia"/>
                <w:b/>
                <w:bCs/>
                <w:sz w:val="24"/>
                <w:szCs w:val="24"/>
                <w:highlight w:val="none"/>
                <w:u w:val="double"/>
                <w:shd w:val="clear" w:color="FFFFFF" w:fill="D9D9D9"/>
                <w:lang w:val="en-US" w:eastAsia="zh-CN"/>
              </w:rPr>
              <w:t>完全响应此项的得0.5分）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1.性能参数:CPU最高主频≥1.9GHz,核心数≥4核心;内存DDR≥4GB;存储EMMC/NAND≥32GB；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2.屏幕参数:尺寸≥15寸;分辨率≥1920*1080;触控方式:电容式多点触控；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3.视频参数:摄像头:内置宽动态高清广角摄像头，强光、弱光下可清晰拍摄到人脸画面并进行人脸识别；像素≥200W，分辨率≥1920*1080;编码方式:H.264或H.265；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对讲参数及方式:参数要求:支持实体按钮一键呼叫报警和可视对讲，支持与对讲主机间双向1080P高清可视全双工对讲，对讲音频采样率不低于16KHz，设备需使用开放通用的标准SIP协议，便于后续与其他支持SIP协议的对讲系统和融合通讯系统、应急指挥系统进行对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5.工作模式:离线工作:支持系统管理服务器平台离线工作，离线时仍可实现与系统内其它设备进行呼叫、接听、可视对讲、广播播放及监听监视交互终端等基础功能；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6.音频参数:音频输入:内置麦克风音频输入;音频输出:内置免提扬声器;外接音频输入/输出:各1路（可外接耳麦）；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7.外部接口:以太网:1路千兆;视频输出:1路HDMI（支持1080P）;RS485≥1路;开关量输出/输入:各≥1路；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8.其他参数:供电方式:支持DC12-24V供电;工作温度:-20℃-70℃;工作湿度:10%-90%;外观要求:一体化结构设计，具有手柄话筒和长杆话筒2种对讲方式;安装方式:桌面放置或壁挂式；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9.操作系统 采用 ≥Android 9.0或 鸿蒙；</w:t>
            </w:r>
          </w:p>
          <w:p w14:paraId="07AAE58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10.其他要求：提供设备接入sdk或api服务，满足统一管理平台设备接入管控，如设备基本信息获取、设备控制、设备状态监测、设备运行环境参数信息等，并可全面具备各标准和国产系统的接入。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F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A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7085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4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B9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超融合服务器</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282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shd w:val="clear" w:color="FFFFFF" w:fill="D9D9D9"/>
                <w:lang w:val="en-US" w:eastAsia="zh-CN" w:bidi="ar"/>
              </w:rPr>
            </w:pPr>
            <w:r>
              <w:rPr>
                <w:rFonts w:hint="eastAsia" w:asciiTheme="minorEastAsia" w:hAnsiTheme="minorEastAsia" w:eastAsiaTheme="minorEastAsia" w:cstheme="minorEastAsia"/>
                <w:b/>
                <w:bCs/>
                <w:color w:val="auto"/>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9（仅包含“超融合服务器”参数项下内容，完全响应此项的得1分，</w:t>
            </w:r>
            <w:r>
              <w:rPr>
                <w:rFonts w:hint="eastAsia" w:asciiTheme="minorEastAsia" w:hAnsiTheme="minorEastAsia" w:eastAsiaTheme="minorEastAsia" w:cstheme="minorEastAsia"/>
                <w:b/>
                <w:bCs/>
                <w:color w:val="auto"/>
                <w:kern w:val="0"/>
                <w:sz w:val="24"/>
                <w:szCs w:val="24"/>
                <w:highlight w:val="none"/>
                <w:u w:val="single"/>
                <w:shd w:val="clear" w:color="FFFFFF" w:fill="D9D9D9"/>
                <w:lang w:val="en-US" w:eastAsia="zh-CN"/>
              </w:rPr>
              <w:t>投标人须在投标文件技术商务部分中提供第10项技术参数由检验检测机构出具的带有CMA或CNAS标识的检验检测报告</w:t>
            </w:r>
            <w:r>
              <w:rPr>
                <w:rFonts w:hint="eastAsia" w:asciiTheme="minorEastAsia" w:hAnsiTheme="minorEastAsia" w:eastAsiaTheme="minorEastAsia" w:cstheme="minorEastAsia"/>
                <w:b/>
                <w:bCs/>
                <w:color w:val="auto"/>
                <w:kern w:val="0"/>
                <w:sz w:val="24"/>
                <w:szCs w:val="24"/>
                <w:highlight w:val="none"/>
                <w:u w:val="single"/>
                <w:shd w:val="clear" w:color="FFFFFF" w:fill="D9D9D9"/>
                <w:lang w:eastAsia="zh-CN"/>
              </w:rPr>
              <w:t>进行佐证，</w:t>
            </w:r>
            <w:r>
              <w:rPr>
                <w:rFonts w:hint="eastAsia" w:asciiTheme="minorEastAsia" w:hAnsiTheme="minorEastAsia" w:eastAsiaTheme="minorEastAsia" w:cstheme="minorEastAsia"/>
                <w:b/>
                <w:bCs/>
                <w:color w:val="auto"/>
                <w:kern w:val="0"/>
                <w:sz w:val="24"/>
                <w:szCs w:val="24"/>
                <w:highlight w:val="none"/>
                <w:u w:val="single"/>
                <w:shd w:val="clear" w:color="FFFFFF" w:fill="D9D9D9"/>
                <w:lang w:val="en-US" w:eastAsia="zh-CN"/>
              </w:rPr>
              <w:t>否则不得分。</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w:t>
            </w:r>
          </w:p>
          <w:p w14:paraId="296678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1.配置≥2颗国产处理器，核数≥32核，主频≥2.7GHz；</w:t>
            </w:r>
          </w:p>
          <w:p w14:paraId="1D20E6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2.配置≥256G DDR4；</w:t>
            </w:r>
          </w:p>
          <w:p w14:paraId="1D1A36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3.配置≥2块480GB SSD系统盘；配置≥2块960G NVMe缓存盘；配置≥4块4T HDD数据盘；</w:t>
            </w:r>
          </w:p>
          <w:p w14:paraId="60ADE3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4.RAID卡：配置1块≥2GB缓存RAID，配置超级电容模块；</w:t>
            </w:r>
          </w:p>
          <w:p w14:paraId="71CD4B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5.配置≥2个万兆光口（配置相应的光模块），配置≥4个千兆电口；</w:t>
            </w:r>
          </w:p>
          <w:p w14:paraId="704E93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6.最多提供≥10个标准PCIe 3.0插槽；</w:t>
            </w:r>
          </w:p>
          <w:p w14:paraId="2819D3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7.配置2个≥1300W交流电源；</w:t>
            </w:r>
          </w:p>
          <w:p w14:paraId="450C58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8.配置2个CPU管理授权的超融合管理软件、超融合计算虚拟化软件、超融合存储虚拟化软件、超融合安全虚拟化软件；</w:t>
            </w:r>
          </w:p>
          <w:p w14:paraId="3C70541D">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管理平台支持一键存储清理功能，用于扫描和检测虚拟机和后端存储文件的关联关系，对于未被任何虚拟机挂载的存储文件，同时又不是虚拟机操作系统安装包（IOS）以及虚拟化驱动程序的文件，将其视为空闲存储文件，可以对扫描出的空闲的存储文件进行选择性的清理，以释放存储空间；</w:t>
            </w:r>
          </w:p>
          <w:p w14:paraId="4BD53698">
            <w:pPr>
              <w:pStyle w:val="2"/>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10.支持虚拟机桌面预览功能，在不打开控制台的情况下能够观察到虚拟机当前内部状态；</w:t>
            </w:r>
          </w:p>
          <w:p w14:paraId="2D28AED2">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11.支持异构平台迁移，将其他云平台的源设备（虚拟机或物理机）迁移至超融合平台进行管理。支持异构虚拟化平台在线迁移；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5D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6562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6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E7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超融合仲裁节点</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5C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1、处理器：国产处理器，主频≥2.8GHz、核心≥8个；</w:t>
            </w:r>
          </w:p>
          <w:p w14:paraId="0962BD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2、主板：与处理器相匹配芯片组主板；</w:t>
            </w:r>
          </w:p>
          <w:p w14:paraId="3367BC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3、内存：≥8GB DDR4 内存；</w:t>
            </w:r>
          </w:p>
          <w:p w14:paraId="2D3ED1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4、硬盘：≥512GB M.2 NVME SSD；</w:t>
            </w:r>
          </w:p>
          <w:p w14:paraId="353683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5、显示器：≥23英寸液晶显示器；</w:t>
            </w:r>
          </w:p>
          <w:p w14:paraId="4D426B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6、显卡：≥2GB显存；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5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4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3C9A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3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2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超融合存储万兆交换机</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8A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color w:val="auto"/>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10（仅包含“超融合存储万兆交换机”参数项下内容，完全响应此项的得1分，</w:t>
            </w:r>
            <w:r>
              <w:rPr>
                <w:rFonts w:hint="eastAsia" w:asciiTheme="minorEastAsia" w:hAnsiTheme="minorEastAsia" w:eastAsiaTheme="minorEastAsia" w:cstheme="minorEastAsia"/>
                <w:b/>
                <w:bCs/>
                <w:color w:val="auto"/>
                <w:kern w:val="0"/>
                <w:sz w:val="24"/>
                <w:szCs w:val="24"/>
                <w:highlight w:val="none"/>
                <w:u w:val="single"/>
                <w:shd w:val="clear" w:color="FFFFFF" w:fill="D9D9D9"/>
                <w:lang w:val="en-US" w:eastAsia="zh-CN"/>
              </w:rPr>
              <w:t>投标人须在投标文件技术商务部分中提供第7项技术参数由检验检测机构出具的带有CMA或CNAS标识的检验检测报告</w:t>
            </w:r>
            <w:r>
              <w:rPr>
                <w:rFonts w:hint="eastAsia" w:asciiTheme="minorEastAsia" w:hAnsiTheme="minorEastAsia" w:eastAsiaTheme="minorEastAsia" w:cstheme="minorEastAsia"/>
                <w:b/>
                <w:bCs/>
                <w:color w:val="auto"/>
                <w:kern w:val="0"/>
                <w:sz w:val="24"/>
                <w:szCs w:val="24"/>
                <w:highlight w:val="none"/>
                <w:u w:val="single"/>
                <w:shd w:val="clear" w:color="FFFFFF" w:fill="D9D9D9"/>
                <w:lang w:eastAsia="zh-CN"/>
              </w:rPr>
              <w:t>进行佐证，</w:t>
            </w:r>
            <w:r>
              <w:rPr>
                <w:rFonts w:hint="eastAsia" w:asciiTheme="minorEastAsia" w:hAnsiTheme="minorEastAsia" w:eastAsiaTheme="minorEastAsia" w:cstheme="minorEastAsia"/>
                <w:b/>
                <w:bCs/>
                <w:color w:val="auto"/>
                <w:kern w:val="0"/>
                <w:sz w:val="24"/>
                <w:szCs w:val="24"/>
                <w:highlight w:val="none"/>
                <w:u w:val="single"/>
                <w:shd w:val="clear" w:color="FFFFFF" w:fill="D9D9D9"/>
                <w:lang w:val="en-US" w:eastAsia="zh-CN"/>
              </w:rPr>
              <w:t>否则不得分。</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w:t>
            </w:r>
          </w:p>
          <w:p w14:paraId="2B58A8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1.交换容量≥2.56Tbps，包转发率≥720Mpps；</w:t>
            </w:r>
          </w:p>
          <w:p w14:paraId="606335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2.支持≥2个电源插槽,≥2个风扇插槽,≥2个接口扩展槽位；</w:t>
            </w:r>
          </w:p>
          <w:p w14:paraId="7F166F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3.提供≥24个1/10G SFP Plus端口，≥2个QSFP+端口，配置≥2个万兆光模块；</w:t>
            </w:r>
          </w:p>
          <w:p w14:paraId="2135A2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4.支持M-LAG（MultichassisLinkAggregationGroup）跨设备链路聚合技术；</w:t>
            </w:r>
          </w:p>
          <w:p w14:paraId="0B48B0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5.支持业界专业的10KV业务端口防雷能力；</w:t>
            </w:r>
          </w:p>
          <w:p w14:paraId="4322AE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6.支持硬件层级双boot，采用两个FLASH芯片存储boot软件（系统引导程序），实现硬件级boot冗余备份；</w:t>
            </w:r>
          </w:p>
          <w:p w14:paraId="4735F2C7">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设备支持防火墙插卡；</w:t>
            </w:r>
          </w:p>
          <w:p w14:paraId="66F76089">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内置智能管理功能，支持通过图形化界面设备配置及命令一键下发和版本智能升级；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5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4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2F7A8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E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B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超融合业务管理交换机</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BE4F">
            <w:pPr>
              <w:pStyle w:val="2"/>
              <w:rPr>
                <w:rFonts w:hint="eastAsia" w:asciiTheme="minorEastAsia" w:hAnsiTheme="minorEastAsia" w:eastAsiaTheme="minorEastAsia" w:cstheme="minorEastAsia"/>
                <w:i w:val="0"/>
                <w:iCs w:val="0"/>
                <w:color w:val="000000"/>
                <w:kern w:val="0"/>
                <w:sz w:val="24"/>
                <w:szCs w:val="24"/>
                <w:highlight w:val="none"/>
                <w:u w:val="none"/>
                <w:shd w:val="clear" w:color="FFFFFF" w:fill="D9D9D9"/>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11（</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仅包含“超融合业务管理交换机”参数项下内容，完全响应此项的得1分</w:t>
            </w: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p>
          <w:p w14:paraId="796E54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1.交换容量≥336Gbps，包转发率≥126Mpps；</w:t>
            </w:r>
          </w:p>
          <w:p w14:paraId="0A8908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2.提供千兆电口≥24个，千兆光口≥4个；</w:t>
            </w:r>
          </w:p>
          <w:p w14:paraId="28FB51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3.路由表容量≥1K（支持OSPF），MAC地址表≥16K；</w:t>
            </w:r>
          </w:p>
          <w:p w14:paraId="36B731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4.支持OPENFLOW 1.3标准，支持普通模式和Openflow 模式切换；</w:t>
            </w:r>
          </w:p>
          <w:p w14:paraId="3F26F1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5.支持IPv4静态路由、RIP V1/V2、OSPF；支持IPv6静态路由、RIPng；</w:t>
            </w:r>
          </w:p>
          <w:p w14:paraId="345344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6.采用专业的内置防雷技术，支持业界专业的10KV防雷能力，使其在比较恶劣的工作环境中也能极大的降低雷击对设备的损坏率；</w:t>
            </w:r>
          </w:p>
          <w:p w14:paraId="770CB0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7.支持与云平台交换机连接管理，支持蓝牙连接管理功能；</w:t>
            </w:r>
          </w:p>
          <w:p w14:paraId="55C02EBD">
            <w:pPr>
              <w:keepNext w:val="0"/>
              <w:keepLines w:val="0"/>
              <w:widowControl/>
              <w:suppressLineNumbers w:val="0"/>
              <w:jc w:val="left"/>
              <w:textAlignment w:val="center"/>
              <w:rPr>
                <w:rFonts w:hint="eastAsia"/>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8.内置智能管理功能，以图形化操作的方式，实现对网络的统一运维及管理，包括智能管理、智能运维、可视化等。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D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8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6B83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A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4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网闸</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44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shd w:val="clear" w:color="FFFFFF" w:fill="D9D9D9"/>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12（</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w:t>
            </w:r>
            <w:r>
              <w:rPr>
                <w:rFonts w:hint="eastAsia" w:asciiTheme="minorEastAsia" w:hAnsiTheme="minorEastAsia" w:eastAsiaTheme="minorEastAsia" w:cstheme="minorEastAsia"/>
                <w:b/>
                <w:bCs/>
                <w:i w:val="0"/>
                <w:iCs w:val="0"/>
                <w:color w:val="000000"/>
                <w:kern w:val="0"/>
                <w:sz w:val="24"/>
                <w:szCs w:val="24"/>
                <w:highlight w:val="none"/>
                <w:u w:val="double"/>
                <w:shd w:val="clear" w:color="FFFFFF" w:fill="D9D9D9"/>
                <w:lang w:val="en-US" w:eastAsia="zh-CN" w:bidi="ar"/>
              </w:rPr>
              <w:t>网闸</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”参数项下内容，完全响应此项的得1分</w:t>
            </w: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p>
          <w:p w14:paraId="0223BA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1、设备采用国产化芯片和操作系统</w:t>
            </w:r>
          </w:p>
          <w:p w14:paraId="41753B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2、内网提供≥6个10/100/1000M RJ45接口，≥4个1000M的SFP光口，外网提供≥6个10/100/1000M RJ45接口，提供≥4个1000M的SFP光口；</w:t>
            </w:r>
          </w:p>
          <w:p w14:paraId="6CCF00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3、内外网各提供≥2个拓展插槽，配置双交流电源；</w:t>
            </w:r>
          </w:p>
          <w:p w14:paraId="0FB12D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4、网络吞吐量≥900Mbps，并发数≥20万；整体时延＜5ms；</w:t>
            </w:r>
          </w:p>
          <w:p w14:paraId="219945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5、采用2+1架构，专用传输隔离部件完全自主开发且外部无法编程控制；</w:t>
            </w:r>
          </w:p>
          <w:p w14:paraId="7F6F99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6、支持多种方式认证，用户名密码和指纹认证，指纹认证需配合专用指纹仪使用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3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7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5F23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5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D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交互终端交换机</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7B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1、交换容量≥336Gbps；转发性能≥126Mpps</w:t>
            </w:r>
          </w:p>
          <w:p w14:paraId="67508D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2、提供≥48*10/100/1000Base-T以太网端口，≥4*1000 Base-X SFP光口</w:t>
            </w:r>
          </w:p>
          <w:p w14:paraId="442E58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3、支持POE+；POE供电功率≥370W</w:t>
            </w:r>
          </w:p>
          <w:p w14:paraId="7F695F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4、支持802.1Q (最大4K个VLAN)、支持基于协议的VLAN、IP子网的VLAN、MAC的VLAN</w:t>
            </w:r>
          </w:p>
          <w:p w14:paraId="530B9A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5、支持静态路由、RIP、支持IPv6静态路由、双协议栈</w:t>
            </w:r>
          </w:p>
          <w:p w14:paraId="7CD0DC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6、支持安全日志功能，日志内容包括安全事件来源、发生时间、事件描述等；</w:t>
            </w:r>
          </w:p>
          <w:p w14:paraId="77511A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7、在本地操作日志中对用户登陆IP地址、登陆时间、所进行的操作、退出时间进行记录，可以将操作日志输出至日志服务器；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4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7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521C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B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1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防火墙</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D660">
            <w:pPr>
              <w:pStyle w:val="2"/>
              <w:rPr>
                <w:rFonts w:hint="eastAsia" w:asciiTheme="minorEastAsia" w:hAnsiTheme="minorEastAsia" w:eastAsiaTheme="minorEastAsia" w:cstheme="minorEastAsia"/>
                <w:i w:val="0"/>
                <w:iCs w:val="0"/>
                <w:color w:val="000000"/>
                <w:kern w:val="0"/>
                <w:sz w:val="24"/>
                <w:szCs w:val="24"/>
                <w:highlight w:val="none"/>
                <w:u w:val="none"/>
                <w:shd w:val="clear" w:color="FFFFFF" w:fill="D9D9D9"/>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13（</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仅包含“防火墙”参数项下内容，完全响应此项的得1分，</w:t>
            </w:r>
            <w:r>
              <w:rPr>
                <w:rFonts w:hint="eastAsia" w:asciiTheme="minorEastAsia" w:hAnsiTheme="minorEastAsia" w:eastAsiaTheme="minorEastAsia" w:cstheme="minorEastAsia"/>
                <w:b/>
                <w:bCs/>
                <w:color w:val="000000"/>
                <w:kern w:val="0"/>
                <w:sz w:val="24"/>
                <w:szCs w:val="24"/>
                <w:highlight w:val="none"/>
                <w:u w:val="single"/>
                <w:shd w:val="clear" w:color="FFFFFF" w:fill="D9D9D9"/>
                <w:lang w:val="en-US" w:eastAsia="zh-CN"/>
              </w:rPr>
              <w:t>投标人须在投标文件技术商务部分中提供第7项技术参数由</w:t>
            </w:r>
            <w:r>
              <w:rPr>
                <w:rFonts w:hint="eastAsia" w:asciiTheme="minorEastAsia" w:hAnsiTheme="minorEastAsia" w:eastAsiaTheme="minorEastAsia" w:cstheme="minorEastAsia"/>
                <w:b/>
                <w:bCs/>
                <w:color w:val="auto"/>
                <w:kern w:val="0"/>
                <w:sz w:val="24"/>
                <w:szCs w:val="24"/>
                <w:highlight w:val="none"/>
                <w:u w:val="single"/>
                <w:shd w:val="clear" w:color="FFFFFF" w:fill="D9D9D9"/>
                <w:lang w:val="en-US" w:eastAsia="zh-CN"/>
              </w:rPr>
              <w:t>检验检测机构出具的带有CMA或CNAS标识的检验检测</w:t>
            </w:r>
            <w:r>
              <w:rPr>
                <w:rFonts w:hint="eastAsia" w:asciiTheme="minorEastAsia" w:hAnsiTheme="minorEastAsia" w:eastAsiaTheme="minorEastAsia" w:cstheme="minorEastAsia"/>
                <w:b/>
                <w:bCs/>
                <w:color w:val="000000"/>
                <w:kern w:val="0"/>
                <w:sz w:val="24"/>
                <w:szCs w:val="24"/>
                <w:highlight w:val="none"/>
                <w:u w:val="single"/>
                <w:shd w:val="clear" w:color="FFFFFF" w:fill="D9D9D9"/>
                <w:lang w:val="en-US" w:eastAsia="zh-CN"/>
              </w:rPr>
              <w:t>报告</w:t>
            </w:r>
            <w:r>
              <w:rPr>
                <w:rFonts w:hint="eastAsia" w:asciiTheme="minorEastAsia" w:hAnsiTheme="minorEastAsia" w:eastAsiaTheme="minorEastAsia" w:cstheme="minorEastAsia"/>
                <w:b/>
                <w:bCs/>
                <w:color w:val="000000"/>
                <w:kern w:val="0"/>
                <w:sz w:val="24"/>
                <w:szCs w:val="24"/>
                <w:highlight w:val="none"/>
                <w:u w:val="single"/>
                <w:shd w:val="clear" w:color="FFFFFF" w:fill="D9D9D9"/>
                <w:lang w:eastAsia="zh-CN"/>
              </w:rPr>
              <w:t>进行佐证，</w:t>
            </w:r>
            <w:r>
              <w:rPr>
                <w:rFonts w:hint="eastAsia" w:asciiTheme="minorEastAsia" w:hAnsiTheme="minorEastAsia" w:eastAsiaTheme="minorEastAsia" w:cstheme="minorEastAsia"/>
                <w:b/>
                <w:bCs/>
                <w:color w:val="auto"/>
                <w:kern w:val="0"/>
                <w:sz w:val="24"/>
                <w:szCs w:val="24"/>
                <w:highlight w:val="none"/>
                <w:u w:val="single"/>
                <w:shd w:val="clear" w:color="FFFFFF" w:fill="D9D9D9"/>
                <w:lang w:val="en-US" w:eastAsia="zh-CN"/>
              </w:rPr>
              <w:t>否则不得分。</w:t>
            </w: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p>
          <w:p w14:paraId="099B8B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1、设备采用国产化CPU；</w:t>
            </w:r>
          </w:p>
          <w:p w14:paraId="5E2BE5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2、整机支持千兆电口≥6个，千兆光口≥4个，万兆SFP+光接口≥4个，配置万兆多模光模块≥2个；</w:t>
            </w:r>
          </w:p>
          <w:p w14:paraId="00C121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3、吞吐量≥10Gbps，并发连接数≥200 万，新建连接数≥5万；</w:t>
            </w:r>
          </w:p>
          <w:p w14:paraId="12645C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4、支持多虚一虚拟化能力，也支持一虚多虚拟化能力；</w:t>
            </w:r>
          </w:p>
          <w:p w14:paraId="20C605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5、支持NAT44、NAT46、NAT64、NAT66，支持一对一、多对一、多对多等多种形式的NAT；</w:t>
            </w:r>
          </w:p>
          <w:p w14:paraId="47A056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6、支持IPsec VPN智能选路，根据隧道质量调度流量；</w:t>
            </w:r>
          </w:p>
          <w:p w14:paraId="75FF2433">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支持2台设备堆叠成一台设备使用，实现统一管理，统一配置，并支持主备/主主模式的部署；</w:t>
            </w:r>
          </w:p>
          <w:p w14:paraId="0047C09F">
            <w:pPr>
              <w:pStyle w:val="2"/>
              <w:numPr>
                <w:ilvl w:val="0"/>
                <w:numId w:val="0"/>
              </w:numPr>
              <w:rPr>
                <w:rFonts w:hint="eastAsia"/>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B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A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024F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B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6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负载均衡器</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C902">
            <w:pPr>
              <w:pStyle w:val="2"/>
              <w:rPr>
                <w:rFonts w:hint="eastAsia" w:asciiTheme="minorEastAsia" w:hAnsiTheme="minorEastAsia" w:eastAsiaTheme="minorEastAsia" w:cstheme="minorEastAsia"/>
                <w:i w:val="0"/>
                <w:iCs w:val="0"/>
                <w:color w:val="000000"/>
                <w:kern w:val="0"/>
                <w:sz w:val="24"/>
                <w:szCs w:val="24"/>
                <w:highlight w:val="none"/>
                <w:u w:val="none"/>
                <w:shd w:val="clear" w:color="FFFFFF" w:fill="D9D9D9"/>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14（</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仅包含“负载均衡器”参数项下内容，完全响应此项的得1分</w:t>
            </w: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p>
          <w:p w14:paraId="56DD1B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1、设备采用国产化芯片，支持千兆电口≥10，万兆光口≥16,40G光口≥4，为方便后续扩容，支持扩展槽位≥2，满足一定时间内的组网需求。</w:t>
            </w:r>
          </w:p>
          <w:p w14:paraId="562BD9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2、须提供SSD固态硬盘，硬盘容量≥480GB。</w:t>
            </w:r>
          </w:p>
          <w:p w14:paraId="578DE4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3、设备具备可插拔冗余电源模块，电源模块≥4，保障极端情况下设备的供电稳定性。</w:t>
            </w:r>
          </w:p>
          <w:p w14:paraId="051F5A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4、链路规格要求：同一台设备提供不少128条链路负载均衡（LLB）功能</w:t>
            </w:r>
          </w:p>
          <w:p w14:paraId="0F9BD9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5、支持多种链路检测方法，能够通过ICMP、UDP、TCP、FTP、DNS、HTTP、RADIUS、SSL、HTTPS、TCP half-open、SNMP-DCA、RADIUS-ACCOUNT等方式监控链路的连通性</w:t>
            </w:r>
          </w:p>
          <w:p w14:paraId="52509E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6、基于TCP/IP协议字段的流量调度，支持基于ToS、五元组条件（源IP地址，源端口，目的IP地址，目的端口，传输层协议号）来配置出站访问的链路调度策略</w:t>
            </w:r>
          </w:p>
          <w:p w14:paraId="0D5DE5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7、基于用户的流量调度，支持基于静态用户以及其他设备导入用户的链路调度</w:t>
            </w:r>
          </w:p>
          <w:p w14:paraId="081AE3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8、基于时间的流量调度，支持基于管理员自定义的时间计划来配置出站访问的链路调度策略</w:t>
            </w:r>
          </w:p>
          <w:p w14:paraId="558CF0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9、基于应用的流量调度，支持基于应用协议的智能选路，能识别主流互联网应用如P2P、微信、网银，进行调度</w:t>
            </w:r>
          </w:p>
          <w:p w14:paraId="6A0983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10、出口地址池探测，通过ICMP、TCP、DNS等方式，检验SNAT地址池中的地址有效性，避免出口SNAT池中地址被意外封杀后仍然被使用造成网络访问中断</w:t>
            </w:r>
          </w:p>
          <w:p w14:paraId="365BDE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服务器负载算法，支持包括轮询、加权轮询、随机、最小连接、加权最小连接、带宽、最大带宽、源IP地址哈希、源IP地址和端口哈希、目的IP地址哈希、基于实服务器优先级调度、最快响应算法、动态反馈、HTTP哈希、HTTP CARP哈希、源IP地址CARP哈希、源IP地址和端口CARP哈希、目的地址CARP哈希、加权最小连接（基于成员）、最快响应（基于成员）、UDP强制负载分担（基于SIP的负载分担）、基于源地址调度、本地优先级等服务器负载均衡算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0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5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00C9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D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BA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管线系统</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DA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1、新设200*100</w:t>
            </w:r>
            <w:r>
              <w:rPr>
                <w:rFonts w:hint="eastAsia"/>
                <w:sz w:val="24"/>
                <w:szCs w:val="24"/>
                <w:lang w:val="en-US" w:eastAsia="zh-CN"/>
              </w:rPr>
              <w:t>mm</w:t>
            </w:r>
            <w:r>
              <w:rPr>
                <w:rFonts w:hint="eastAsia" w:asciiTheme="minorEastAsia" w:hAnsiTheme="minorEastAsia" w:eastAsiaTheme="minorEastAsia" w:cstheme="minorEastAsia"/>
                <w:i w:val="0"/>
                <w:iCs w:val="0"/>
                <w:color w:val="000000"/>
                <w:kern w:val="0"/>
                <w:sz w:val="24"/>
                <w:szCs w:val="24"/>
                <w:u w:val="none"/>
                <w:lang w:val="en-US" w:eastAsia="zh-CN" w:bidi="ar"/>
              </w:rPr>
              <w:t>双槽吊装金属桥架</w:t>
            </w:r>
          </w:p>
          <w:p w14:paraId="7963F2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2、超五类网络线缆</w:t>
            </w:r>
          </w:p>
          <w:p w14:paraId="585EE6E3">
            <w:pPr>
              <w:keepNext w:val="0"/>
              <w:keepLines w:val="0"/>
              <w:widowControl/>
              <w:suppressLineNumbers w:val="0"/>
              <w:jc w:val="left"/>
              <w:textAlignment w:val="center"/>
              <w:rPr>
                <w:rFonts w:hint="eastAsia"/>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3、充分响应招标人要求：拆除项目范围内桥架中废旧线缆，更换为新敷设超五类线，符合强弱分离原则，具体数量以招标人需求及现场实际情况为准</w:t>
            </w:r>
            <w:r>
              <w:rPr>
                <w:rStyle w:val="30"/>
                <w:rFonts w:hint="eastAsia" w:ascii="宋体" w:hAnsi="宋体" w:eastAsia="宋体" w:cs="宋体"/>
                <w:b/>
                <w:bCs w:val="0"/>
                <w:sz w:val="24"/>
                <w:szCs w:val="24"/>
                <w:highlight w:val="none"/>
                <w:u w:val="single"/>
                <w:lang w:eastAsia="zh-CN"/>
              </w:rPr>
              <w:t>【针对此项，投标人</w:t>
            </w:r>
            <w:r>
              <w:rPr>
                <w:rStyle w:val="30"/>
                <w:rFonts w:hint="eastAsia" w:ascii="宋体" w:hAnsi="宋体" w:eastAsia="宋体" w:cs="宋体"/>
                <w:b/>
                <w:bCs w:val="0"/>
                <w:sz w:val="24"/>
                <w:szCs w:val="24"/>
                <w:highlight w:val="none"/>
                <w:u w:val="single"/>
              </w:rPr>
              <w:t>须</w:t>
            </w:r>
            <w:r>
              <w:rPr>
                <w:rStyle w:val="30"/>
                <w:rFonts w:hint="eastAsia" w:ascii="宋体" w:hAnsi="宋体" w:eastAsia="宋体" w:cs="宋体"/>
                <w:b/>
                <w:bCs w:val="0"/>
                <w:sz w:val="24"/>
                <w:szCs w:val="24"/>
                <w:highlight w:val="none"/>
                <w:u w:val="single"/>
                <w:lang w:eastAsia="zh-CN"/>
              </w:rPr>
              <w:t>在投标文件技术商务中</w:t>
            </w:r>
            <w:r>
              <w:rPr>
                <w:rStyle w:val="30"/>
                <w:rFonts w:hint="eastAsia" w:ascii="宋体" w:hAnsi="宋体" w:eastAsia="宋体" w:cs="宋体"/>
                <w:b/>
                <w:bCs w:val="0"/>
                <w:sz w:val="24"/>
                <w:szCs w:val="24"/>
                <w:highlight w:val="none"/>
                <w:u w:val="single"/>
              </w:rPr>
              <w:t>单独提供专项承诺函</w:t>
            </w:r>
            <w:r>
              <w:rPr>
                <w:rStyle w:val="30"/>
                <w:rFonts w:hint="eastAsia" w:ascii="宋体" w:hAnsi="宋体" w:eastAsia="宋体" w:cs="宋体"/>
                <w:b/>
                <w:bCs w:val="0"/>
                <w:sz w:val="24"/>
                <w:szCs w:val="24"/>
                <w:highlight w:val="none"/>
                <w:u w:val="single"/>
                <w:lang w:eastAsia="zh-CN"/>
              </w:rPr>
              <w:t>（格式自拟）</w:t>
            </w:r>
            <w:r>
              <w:rPr>
                <w:rStyle w:val="30"/>
                <w:rFonts w:hint="eastAsia" w:ascii="宋体" w:hAnsi="宋体" w:eastAsia="宋体" w:cs="宋体"/>
                <w:b/>
                <w:bCs w:val="0"/>
                <w:sz w:val="24"/>
                <w:szCs w:val="24"/>
                <w:highlight w:val="none"/>
                <w:u w:val="single"/>
              </w:rPr>
              <w:t>，</w:t>
            </w:r>
            <w:r>
              <w:rPr>
                <w:rStyle w:val="30"/>
                <w:rFonts w:hint="eastAsia" w:ascii="宋体" w:hAnsi="宋体" w:eastAsia="宋体" w:cs="宋体"/>
                <w:b/>
                <w:bCs w:val="0"/>
                <w:sz w:val="24"/>
                <w:szCs w:val="24"/>
                <w:highlight w:val="none"/>
                <w:u w:val="single"/>
                <w:lang w:eastAsia="zh-CN"/>
              </w:rPr>
              <w:t>否则</w:t>
            </w:r>
            <w:r>
              <w:rPr>
                <w:rStyle w:val="30"/>
                <w:rFonts w:hint="eastAsia" w:ascii="宋体" w:hAnsi="宋体" w:eastAsia="宋体" w:cs="宋体"/>
                <w:b/>
                <w:bCs w:val="0"/>
                <w:sz w:val="24"/>
                <w:szCs w:val="24"/>
                <w:highlight w:val="none"/>
                <w:u w:val="single"/>
              </w:rPr>
              <w:t>按无效投标处理</w:t>
            </w:r>
            <w:r>
              <w:rPr>
                <w:rStyle w:val="30"/>
                <w:rFonts w:hint="eastAsia" w:ascii="宋体" w:hAnsi="宋体" w:eastAsia="宋体" w:cs="宋体"/>
                <w:b/>
                <w:bCs w:val="0"/>
                <w:sz w:val="24"/>
                <w:szCs w:val="24"/>
                <w:highlight w:val="none"/>
                <w:u w:val="single"/>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37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C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r>
      <w:tr w14:paraId="6B5D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3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C0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智能微型断路器</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ED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输入电压：AC220；</w:t>
            </w:r>
          </w:p>
          <w:p w14:paraId="5F0757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额定电流：32A；</w:t>
            </w:r>
          </w:p>
          <w:p w14:paraId="41BCF6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分断能力：≥6KA；</w:t>
            </w:r>
          </w:p>
          <w:p w14:paraId="748A86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智能功能：短路保护、功率限定、电流限定、过压（欠压）保护、超过250V预警，低于190V预警、漏电保护功能自动检测、自动送电、线路打火报警、手自一体控制、定时控制功能</w:t>
            </w:r>
          </w:p>
          <w:p w14:paraId="46F953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安装方式：导轨卡口；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E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9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r>
      <w:tr w14:paraId="76F1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3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26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以太网通讯模组</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D8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有线网络通信，WIFI调试</w:t>
            </w:r>
          </w:p>
          <w:p w14:paraId="10D81B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数据计算分析存储功能</w:t>
            </w:r>
          </w:p>
          <w:p w14:paraId="2FF679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工作电压：DC12V</w:t>
            </w:r>
          </w:p>
          <w:p w14:paraId="751DC7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安装方式：导轨卡口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6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6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r>
      <w:tr w14:paraId="54D8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1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49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电源及防浪涌模组</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AB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输入电压：AC220V</w:t>
            </w:r>
          </w:p>
          <w:p w14:paraId="217703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额定输出电压：DC12V</w:t>
            </w:r>
          </w:p>
          <w:p w14:paraId="005269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额定输出电流MAX DC2A</w:t>
            </w:r>
          </w:p>
          <w:p w14:paraId="17BBA7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防雷击浪涌保护最大泄放电流：20kA</w:t>
            </w:r>
          </w:p>
          <w:p w14:paraId="6C47EA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安装方式：导轨卡口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6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C4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r>
      <w:tr w14:paraId="4D34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75F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7C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应用软件</w:t>
            </w:r>
          </w:p>
          <w:p w14:paraId="62B8DD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00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参数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5F2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3B3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r>
      <w:tr w14:paraId="7A39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4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14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数据库</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8D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15（仅包含“数据库”</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参数项下内容</w:t>
            </w:r>
            <w:r>
              <w:rPr>
                <w:rFonts w:hint="eastAsia" w:asciiTheme="minorEastAsia" w:hAnsiTheme="minorEastAsia" w:eastAsiaTheme="minorEastAsia" w:cstheme="minorEastAsia"/>
                <w:b/>
                <w:bCs/>
                <w:sz w:val="24"/>
                <w:szCs w:val="24"/>
                <w:highlight w:val="none"/>
                <w:u w:val="double"/>
                <w:shd w:val="clear" w:color="FFFFFF" w:fill="D9D9D9"/>
                <w:lang w:val="en-US" w:eastAsia="zh-CN"/>
              </w:rPr>
              <w:t>，完全响应此项的得0.5分）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1.要求数据库软件能够支持各种国际和国内相关标准，具有可靠性和易用性，支持多库、库之间相对独立性，支持多CPU，支持TB级以上的大量数据和大用户并发处理、支持集群、应支撑系统的系统平台业务应用。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2、满足国产化软件的要求。</w:t>
            </w:r>
          </w:p>
          <w:p w14:paraId="5484C8D2">
            <w:pPr>
              <w:keepNext w:val="0"/>
              <w:keepLines w:val="0"/>
              <w:widowControl/>
              <w:suppressLineNumbers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lang w:val="en-US" w:eastAsia="zh-CN" w:bidi="ar"/>
              </w:rPr>
              <w:t>注:投标人所投的数据库具有国产化数据库兼容性认证证书，须提供认证证书。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5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14:paraId="5E9A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C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A5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操作系统</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C8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国产化服务器操作系统，支持国内外主流的芯片，包括飞腾、鲲鹏、龙芯、兆芯、海光、intel等处理器；兼容国内外主流的服务器、存储等硬件产品，包括华为、紫光、长城、同方、宝德、黄河、四川虹信、星网锐捷、海康威视、浙江华创、中兴通讯、联想长凤、中科、百信、曙光、浪潮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在各领域关键业务研制的自主服务器操作系统；适应虚拟化、云计算、大数据、工业互联网时代对主机系统可靠性、安全性、性能、扩展性和实时性的需求。产品同源支持飞腾、鲲鹏、龙芯申威等自主CPU及x86平台，可支撑构建大型数据中心服务器高可用集负载均衡集群、分布式集群文件系统、虚拟化应用和容器云平台群、可部署在物理服务器和虚拟化环境、及各类云环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1、架构支持支持飞腾、龙芯、兆芯、海光等主流国产CPU处理器；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2、产品符合GB18030-2005 标准，产品研发过程符合CMMI5 标准；符合IS020000 信息技术服务管理体系标准；通过27001 信息安全管理体系认证；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3、输入法：支持中文输入法，支持搜狗输入法（拼音/五笔，中文/英文/藏文）；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4、文件系统：支持Ext3、Ext4、GFS2、XFS、NTFS等文件系统；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5、开发环境：支持Eclipse、Qt、VScode、PyCharm等开发环境; 支持C/C++、Java、php、python 等多种开发语言；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6、显示卡兼容：支持两款以上的国产显卡；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7、应用商店：提供统一应用商店，并支持软件数字签名，支持应用签名、审批、上架功能。可查看历史安装应用，支持上架软件代码扫描。提供私有化部署和局域网应用商店服务；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8、常用应用：支持主流国产办公款件，支持金山wps、永中office、数科OFD 阅读器; 提供自研软件，包括视频播放器、文件保护箱、截图软件、刻录软件和系统助手，具有图形化粉碎工具；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9、备份还原：系统默认提供备份还原工具，支持数据备份、数据还原，支持系统全量备份、系统增量备份，提供一键还原，一键Ghost 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10、系统安全级别管理：系统可提供安全增强组件，支持三员分立、强制访问控制、应用程序完整性检测等安全功能。</w:t>
            </w:r>
          </w:p>
          <w:p w14:paraId="3D5129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11、可管理性：支持RPM 软件包管理工具DNF，提供自主研发的rpm 和deb 软件包格式转换工具和模块。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E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5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14:paraId="0396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6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94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中间件</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817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中间件位于操作系统与应用之间，作为基础架构软件，可为应用提供便捷的开发、随需应变的灵活部署、丰富的运行监视、高效易管理等关键支撑。需支持系统的集中管理，包括：节点安装、负载集群的自动配置，资源管理、实例管理、集中监控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2、提供灵活的日志配置功能，应用在这种微内核的设计模式，使上层标准的服务实现与底层 的系统资源管理分离，保持了软件模块间松散耦合的优点。</w:t>
            </w:r>
          </w:p>
          <w:p w14:paraId="37198BD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lang w:val="en-US" w:eastAsia="zh-CN" w:bidi="ar"/>
              </w:rPr>
              <w:t>注：投标人所投“中间件”具有国产化中间件兼容性认证证书。</w:t>
            </w: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16，完全响应此项的得0.5分）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8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8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bl>
    <w:p w14:paraId="587A34DD">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outlineLvl w:val="2"/>
        <w:rPr>
          <w:rFonts w:hint="eastAsia" w:ascii="Times New Roman" w:hAnsi="Times New Roman" w:eastAsia="宋体" w:cs="Times New Roman"/>
          <w:b/>
          <w:bCs/>
          <w:sz w:val="24"/>
          <w:lang w:val="en-US" w:eastAsia="zh-CN"/>
        </w:rPr>
      </w:pPr>
      <w:r>
        <w:rPr>
          <w:rFonts w:hint="eastAsia"/>
          <w:b/>
          <w:bCs/>
          <w:sz w:val="24"/>
          <w:lang w:val="en-US" w:eastAsia="zh-CN"/>
        </w:rPr>
        <w:t>3.</w:t>
      </w:r>
      <w:r>
        <w:rPr>
          <w:rFonts w:hint="eastAsia" w:ascii="Times New Roman" w:hAnsi="Times New Roman" w:eastAsia="宋体" w:cs="Times New Roman"/>
          <w:b/>
          <w:bCs/>
          <w:sz w:val="24"/>
          <w:lang w:val="en-US" w:eastAsia="zh-CN"/>
        </w:rPr>
        <w:t>软件功能</w:t>
      </w:r>
      <w:r>
        <w:rPr>
          <w:rFonts w:hint="eastAsia" w:cs="Times New Roman"/>
          <w:b/>
          <w:bCs/>
          <w:sz w:val="24"/>
          <w:lang w:val="en-US" w:eastAsia="zh-CN"/>
        </w:rPr>
        <w:t>需求</w:t>
      </w:r>
    </w:p>
    <w:p w14:paraId="0BD6918A">
      <w:pPr>
        <w:spacing w:line="360" w:lineRule="auto"/>
        <w:outlineLvl w:val="3"/>
        <w:rPr>
          <w:rFonts w:hint="eastAsia"/>
          <w:b/>
          <w:bCs/>
          <w:sz w:val="24"/>
          <w:lang w:val="en-US" w:eastAsia="zh-CN"/>
        </w:rPr>
      </w:pPr>
      <w:r>
        <w:rPr>
          <w:rFonts w:hint="eastAsia"/>
          <w:b/>
          <w:bCs/>
          <w:sz w:val="24"/>
          <w:lang w:val="en-US" w:eastAsia="zh-CN"/>
        </w:rPr>
        <w:t>（1）统一管理平台</w:t>
      </w:r>
    </w:p>
    <w:p w14:paraId="194C0CE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统一管理平台功能应包括十一个“统一”，分别是统一门户页面、统一身份认证、统一权限管理、统一资源管理、统一应用管理、统一设备管理、统一消息管理、统一安全管控、统一日志管理、统一业务办理和统一开发者中心。功能</w:t>
      </w:r>
      <w:r>
        <w:rPr>
          <w:rFonts w:hint="eastAsia" w:ascii="宋体" w:hAnsi="宋体" w:eastAsia="宋体" w:cs="宋体"/>
          <w:color w:val="auto"/>
          <w:sz w:val="24"/>
          <w:szCs w:val="24"/>
          <w:shd w:val="clear" w:color="auto" w:fill="FFFFFF"/>
          <w:lang w:val="en-US" w:eastAsia="zh-CN"/>
        </w:rPr>
        <w:t>需求</w:t>
      </w:r>
      <w:r>
        <w:rPr>
          <w:rFonts w:hint="eastAsia" w:ascii="宋体" w:hAnsi="宋体" w:eastAsia="宋体" w:cs="宋体"/>
          <w:color w:val="auto"/>
          <w:sz w:val="24"/>
          <w:szCs w:val="24"/>
          <w:shd w:val="clear" w:color="auto" w:fill="FFFFFF"/>
        </w:rPr>
        <w:t>描述如下：</w:t>
      </w:r>
    </w:p>
    <w:p w14:paraId="21517C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统一门户管理</w:t>
      </w:r>
    </w:p>
    <w:p w14:paraId="2B8EDBE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针对不同权限用户实现个性化定制操作平台界面。通过一站登录，实现对不同岗位职责定制不同的工作事务操作界面，把跟职责相关的工作事务、工作消息、可视化分析等推送至工作台，收到各类工作事务回复、审批和处理等信息之后可点击进入到相关系统进行处置和消息管理，实现一键式工作处理。</w:t>
      </w:r>
    </w:p>
    <w:p w14:paraId="7F374F05">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lang w:val="en-US" w:eastAsia="zh-CN"/>
        </w:rPr>
        <w:t>A.</w:t>
      </w:r>
      <w:r>
        <w:rPr>
          <w:rFonts w:hint="eastAsia" w:ascii="宋体" w:hAnsi="宋体" w:eastAsia="宋体" w:cs="宋体"/>
          <w:color w:val="auto"/>
          <w:sz w:val="24"/>
          <w:szCs w:val="24"/>
        </w:rPr>
        <w:t>数据驾驶舱</w:t>
      </w:r>
      <w:r>
        <w:rPr>
          <w:rFonts w:hint="eastAsia" w:ascii="宋体" w:hAnsi="宋体" w:cs="宋体"/>
          <w:color w:val="auto"/>
          <w:sz w:val="24"/>
          <w:szCs w:val="24"/>
          <w:lang w:eastAsia="zh-CN"/>
        </w:rPr>
        <w:t>：</w:t>
      </w:r>
      <w:r>
        <w:rPr>
          <w:rFonts w:hint="eastAsia" w:ascii="宋体" w:hAnsi="宋体" w:eastAsia="宋体" w:cs="宋体"/>
          <w:color w:val="auto"/>
          <w:sz w:val="24"/>
          <w:szCs w:val="24"/>
          <w:shd w:val="clear" w:color="auto" w:fill="FFFFFF"/>
        </w:rPr>
        <w:t>数据驾驶舱是为</w:t>
      </w:r>
      <w:r>
        <w:rPr>
          <w:rFonts w:hint="eastAsia" w:ascii="宋体" w:hAnsi="宋体" w:cs="宋体"/>
          <w:color w:val="auto"/>
          <w:sz w:val="24"/>
          <w:szCs w:val="24"/>
          <w:shd w:val="clear" w:color="auto" w:fill="FFFFFF"/>
          <w:lang w:val="en-US" w:eastAsia="zh-CN"/>
        </w:rPr>
        <w:t>集团</w:t>
      </w:r>
      <w:r>
        <w:rPr>
          <w:rFonts w:hint="eastAsia" w:ascii="宋体" w:hAnsi="宋体" w:eastAsia="宋体" w:cs="宋体"/>
          <w:color w:val="auto"/>
          <w:sz w:val="24"/>
          <w:szCs w:val="24"/>
          <w:shd w:val="clear" w:color="auto" w:fill="FFFFFF"/>
        </w:rPr>
        <w:t>领导岗位提供的一个综合的管理和可视化展示界面，包括自助查询、信息公示、人员点名、安全管控、预约服务、自助购物、法律援助、安全报警等数据信息。通过数据可视化展示实现对智能监舍终端应用程序、移动工作终端、管理人员工作站等各系统数据的在PC终端和移动终端上的可视化展示，提供更形象、更直观的可视化展示界面，进一步提升日常管理、指挥决策和信息服务能力。</w:t>
      </w:r>
      <w:r>
        <w:rPr>
          <w:rFonts w:hint="eastAsia" w:ascii="宋体" w:hAnsi="宋体" w:eastAsia="宋体" w:cs="宋体"/>
          <w:b/>
          <w:bCs/>
          <w:color w:val="auto"/>
          <w:sz w:val="24"/>
          <w:szCs w:val="24"/>
          <w:shd w:val="clear" w:color="auto" w:fill="FFFFFF"/>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17，完全响应此项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的得0.5分</w:t>
      </w:r>
      <w:r>
        <w:rPr>
          <w:rFonts w:hint="eastAsia" w:ascii="宋体" w:hAnsi="宋体" w:eastAsia="宋体" w:cs="宋体"/>
          <w:b/>
          <w:bCs/>
          <w:color w:val="auto"/>
          <w:sz w:val="24"/>
          <w:szCs w:val="24"/>
          <w:shd w:val="clear" w:color="auto" w:fill="FFFFFF"/>
        </w:rPr>
        <w:t>）</w:t>
      </w:r>
    </w:p>
    <w:p w14:paraId="12FFC34E">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B.</w:t>
      </w:r>
      <w:r>
        <w:rPr>
          <w:rFonts w:hint="eastAsia" w:ascii="宋体" w:hAnsi="宋体" w:eastAsia="宋体" w:cs="宋体"/>
          <w:color w:val="auto"/>
          <w:sz w:val="24"/>
          <w:szCs w:val="24"/>
        </w:rPr>
        <w:t>统计分析</w:t>
      </w:r>
      <w:r>
        <w:rPr>
          <w:rFonts w:hint="eastAsia" w:ascii="宋体" w:hAnsi="宋体" w:cs="宋体"/>
          <w:color w:val="auto"/>
          <w:sz w:val="24"/>
          <w:szCs w:val="24"/>
          <w:lang w:eastAsia="zh-CN"/>
        </w:rPr>
        <w:t>：</w:t>
      </w:r>
      <w:r>
        <w:rPr>
          <w:rFonts w:hint="eastAsia" w:ascii="宋体" w:hAnsi="宋体" w:eastAsia="宋体" w:cs="宋体"/>
          <w:color w:val="auto"/>
          <w:sz w:val="24"/>
          <w:szCs w:val="24"/>
          <w:shd w:val="clear" w:color="auto" w:fill="FFFFFF"/>
        </w:rPr>
        <w:t>统计分析功能实现企业管理人员对各项预约、电子书信、点名情况、法律法规学习、媒体点播等数据进行分析和统计</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以图、表的形式予以展示</w:t>
      </w:r>
      <w:r>
        <w:rPr>
          <w:rFonts w:hint="eastAsia" w:ascii="宋体" w:hAnsi="宋体" w:eastAsia="宋体" w:cs="宋体"/>
          <w:color w:val="auto"/>
          <w:sz w:val="24"/>
          <w:szCs w:val="24"/>
          <w:shd w:val="clear" w:color="auto" w:fill="FFFFFF"/>
        </w:rPr>
        <w:t>。</w:t>
      </w:r>
    </w:p>
    <w:p w14:paraId="21FA7461">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C.</w:t>
      </w:r>
      <w:r>
        <w:rPr>
          <w:rFonts w:hint="eastAsia" w:ascii="宋体" w:hAnsi="宋体" w:eastAsia="宋体" w:cs="宋体"/>
          <w:color w:val="auto"/>
          <w:sz w:val="24"/>
          <w:szCs w:val="24"/>
          <w:lang w:val="en-US" w:eastAsia="zh-CN"/>
        </w:rPr>
        <w:t>态势感知</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态势感知是一种基于大数据的综合性洞悉管理风险和安全风险的能力，可以从全局视角提升对企业管理规范问题的发现识别、理解分析、响应处置能力。具体来说，态势感知可根据</w:t>
      </w:r>
      <w:r>
        <w:rPr>
          <w:rFonts w:hint="eastAsia" w:ascii="宋体" w:hAnsi="宋体" w:cs="宋体"/>
          <w:color w:val="auto"/>
          <w:sz w:val="24"/>
          <w:szCs w:val="24"/>
          <w:shd w:val="clear" w:color="auto" w:fill="FFFFFF"/>
          <w:lang w:val="en-US" w:eastAsia="zh-CN"/>
        </w:rPr>
        <w:t>集团</w:t>
      </w:r>
      <w:r>
        <w:rPr>
          <w:rFonts w:hint="eastAsia" w:ascii="宋体" w:hAnsi="宋体" w:eastAsia="宋体" w:cs="宋体"/>
          <w:color w:val="auto"/>
          <w:sz w:val="24"/>
          <w:szCs w:val="24"/>
          <w:shd w:val="clear" w:color="auto" w:fill="FFFFFF"/>
          <w:lang w:val="en-US" w:eastAsia="zh-CN"/>
        </w:rPr>
        <w:t>管理要求设计各项安全指标和管理指标模型，当检测到系统中的设备异常、应用异常、资源异常、安全异常的时候，能进行实时预警，并给出详细信息与处理建议。尤其是对涉及到系统安全的内容包括安全局势、资产管理、攻击分析、追根溯源、事故处理、漏洞风险通知等，能够协助管理人员进行处置。</w:t>
      </w:r>
    </w:p>
    <w:p w14:paraId="3DF11C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shd w:val="clear" w:color="auto" w:fill="FFFFFF"/>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统一身份认证</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18，完全响应此项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通过统一身份认证的建设，实现单次登录功能。当用户登录门户之后，不用再输入账号信息就可以直接访问所有已授权的业务系统，执行各种业务处理。不需要重新登录，在提供方便性的同时保证系统的安全性。 统一认证授权中心主要通过统一认证授权实现统一的用户身份管理、统一的访问控制、统一的身份认证、统一的授权和鉴权。认证方式本项目采用用户名密码</w:t>
      </w:r>
      <w:r>
        <w:rPr>
          <w:rFonts w:hint="eastAsia" w:ascii="宋体" w:hAnsi="宋体" w:cs="宋体"/>
          <w:color w:val="auto"/>
          <w:sz w:val="24"/>
          <w:szCs w:val="24"/>
          <w:shd w:val="clear" w:color="auto" w:fill="FFFFFF"/>
          <w:lang w:eastAsia="zh-CN"/>
        </w:rPr>
        <w:t>，生物特征等方式认证</w:t>
      </w:r>
      <w:r>
        <w:rPr>
          <w:rFonts w:hint="eastAsia" w:ascii="宋体" w:hAnsi="宋体" w:eastAsia="宋体" w:cs="宋体"/>
          <w:color w:val="auto"/>
          <w:sz w:val="24"/>
          <w:szCs w:val="24"/>
          <w:shd w:val="clear" w:color="auto" w:fill="FFFFFF"/>
        </w:rPr>
        <w:t>。授权方式可以基于用户和角色方式。统一认证授权中心主要有如下几部分功能：</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rPr>
        <w:t>访问控制功能</w:t>
      </w:r>
      <w:r>
        <w:rPr>
          <w:rFonts w:hint="eastAsia" w:ascii="宋体" w:hAnsi="宋体" w:cs="宋体"/>
          <w:color w:val="auto"/>
          <w:sz w:val="24"/>
          <w:szCs w:val="24"/>
          <w:lang w:eastAsia="zh-CN"/>
        </w:rPr>
        <w:t>：</w:t>
      </w:r>
      <w:r>
        <w:rPr>
          <w:rFonts w:hint="eastAsia" w:ascii="宋体" w:hAnsi="宋体" w:eastAsia="宋体" w:cs="宋体"/>
          <w:color w:val="auto"/>
          <w:sz w:val="24"/>
          <w:szCs w:val="24"/>
          <w:shd w:val="clear" w:color="auto" w:fill="FFFFFF"/>
        </w:rPr>
        <w:t>访问控制功能能保护应用系统资源，面向用户提供统一访问入口，并根据预置策略决定用户，在用户进行登录验证时，提供决策服务，实现访问控制，并根据用户验证和权限验证结果，提供页面跳转和数据转换。</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rPr>
        <w:t>身份认证功能</w:t>
      </w:r>
      <w:r>
        <w:rPr>
          <w:rFonts w:hint="eastAsia" w:ascii="宋体" w:hAnsi="宋体" w:cs="宋体"/>
          <w:color w:val="auto"/>
          <w:sz w:val="24"/>
          <w:szCs w:val="24"/>
          <w:lang w:eastAsia="zh-CN"/>
        </w:rPr>
        <w:t>：</w:t>
      </w:r>
      <w:r>
        <w:rPr>
          <w:rFonts w:hint="eastAsia" w:ascii="宋体" w:hAnsi="宋体" w:eastAsia="宋体" w:cs="宋体"/>
          <w:color w:val="auto"/>
          <w:sz w:val="24"/>
          <w:szCs w:val="24"/>
          <w:shd w:val="clear" w:color="auto" w:fill="FFFFFF"/>
        </w:rPr>
        <w:t>在用户访问受保护应用系统资源的统一入口时，身份认证功能为用户提供统一的身份认证服务。</w:t>
      </w: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rPr>
        <w:t>权限认证功能</w:t>
      </w:r>
      <w:r>
        <w:rPr>
          <w:rFonts w:hint="eastAsia" w:ascii="宋体" w:hAnsi="宋体" w:cs="宋体"/>
          <w:color w:val="auto"/>
          <w:sz w:val="24"/>
          <w:szCs w:val="24"/>
          <w:lang w:eastAsia="zh-CN"/>
        </w:rPr>
        <w:t>：</w:t>
      </w:r>
      <w:r>
        <w:rPr>
          <w:rFonts w:hint="eastAsia" w:ascii="宋体" w:hAnsi="宋体" w:eastAsia="宋体" w:cs="宋体"/>
          <w:color w:val="auto"/>
          <w:sz w:val="24"/>
          <w:szCs w:val="24"/>
          <w:shd w:val="clear" w:color="auto" w:fill="FFFFFF"/>
        </w:rPr>
        <w:t>在身份认证时，进行权限认证，返回用户是否具有权限，根据应用系统情况和权限分配情况认证用户能访问哪些应用资源。</w:t>
      </w:r>
    </w:p>
    <w:p w14:paraId="33B84D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统一权限管理</w:t>
      </w:r>
    </w:p>
    <w:p w14:paraId="6DFB89A2">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A.</w:t>
      </w:r>
      <w:r>
        <w:rPr>
          <w:rFonts w:hint="eastAsia" w:ascii="宋体" w:hAnsi="宋体" w:eastAsia="宋体" w:cs="宋体"/>
          <w:color w:val="auto"/>
          <w:sz w:val="24"/>
          <w:szCs w:val="24"/>
        </w:rPr>
        <w:t>用户管理</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用户管理为本单位提供统一用户基本信息管理，实现对用户的用户账号和密码的设置、组织机构调整和角色权限分配等功能。考虑到未来全省推广，要支持基于</w:t>
      </w:r>
      <w:r>
        <w:rPr>
          <w:rFonts w:hint="eastAsia" w:ascii="宋体" w:hAnsi="宋体" w:cs="宋体"/>
          <w:color w:val="auto"/>
          <w:kern w:val="0"/>
          <w:sz w:val="24"/>
          <w:szCs w:val="24"/>
          <w:lang w:val="en-US" w:eastAsia="zh-CN"/>
        </w:rPr>
        <w:t>景弘集团</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各子公司</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部门</w:t>
      </w:r>
      <w:r>
        <w:rPr>
          <w:rFonts w:hint="eastAsia" w:ascii="宋体" w:hAnsi="宋体" w:eastAsia="宋体" w:cs="宋体"/>
          <w:color w:val="auto"/>
          <w:kern w:val="0"/>
          <w:sz w:val="24"/>
          <w:szCs w:val="24"/>
        </w:rPr>
        <w:t>多级组织架构的用户管理。用户分为员工用户和企业管理人员用户，员工一体化交互平台的用户数据分别来源于狱政刑执软件的员工基本信息和数智一体化平台管理人员信息库中管理人员基本信息。</w:t>
      </w:r>
    </w:p>
    <w:p w14:paraId="5549E506">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B.</w:t>
      </w:r>
      <w:r>
        <w:rPr>
          <w:rFonts w:hint="eastAsia" w:ascii="宋体" w:hAnsi="宋体" w:eastAsia="宋体" w:cs="宋体"/>
          <w:color w:val="auto"/>
          <w:sz w:val="24"/>
          <w:szCs w:val="24"/>
        </w:rPr>
        <w:t>角色管理</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支持将系统中功能权限、数据权限通过角色批量授权给不同用户。可根据任务场景设置角色有效期，可针对不同角色设置不同的功能权限、数据表权限，可撤销角色拥有的权限。</w:t>
      </w:r>
      <w:r>
        <w:rPr>
          <w:rFonts w:hint="eastAsia" w:ascii="宋体" w:hAnsi="宋体" w:eastAsia="宋体" w:cs="宋体"/>
          <w:color w:val="auto"/>
          <w:kern w:val="0"/>
          <w:sz w:val="24"/>
          <w:szCs w:val="24"/>
          <w:lang w:eastAsia="zh-Hans"/>
        </w:rPr>
        <w:t>对不同的用户和角色进行数据权限管理，实现数据权限的精细化管控，以保证数据的安全性和保密性。</w:t>
      </w:r>
      <w:r>
        <w:rPr>
          <w:rFonts w:hint="eastAsia" w:ascii="宋体" w:hAnsi="宋体" w:eastAsia="宋体" w:cs="宋体"/>
          <w:color w:val="auto"/>
          <w:kern w:val="0"/>
          <w:sz w:val="24"/>
          <w:szCs w:val="24"/>
        </w:rPr>
        <w:t>其中</w:t>
      </w:r>
      <w:r>
        <w:rPr>
          <w:rFonts w:hint="eastAsia" w:ascii="宋体" w:hAnsi="宋体" w:eastAsia="宋体" w:cs="宋体"/>
          <w:color w:val="auto"/>
          <w:kern w:val="0"/>
          <w:sz w:val="24"/>
          <w:szCs w:val="24"/>
          <w:lang w:eastAsia="zh-Hans"/>
        </w:rPr>
        <w:t>数据权限的管控级别如下：</w:t>
      </w:r>
      <w:r>
        <w:rPr>
          <w:rFonts w:hint="eastAsia" w:ascii="宋体" w:hAnsi="宋体" w:cs="宋体"/>
          <w:color w:val="auto"/>
          <w:kern w:val="0"/>
          <w:sz w:val="24"/>
          <w:szCs w:val="24"/>
          <w:lang w:val="en-US" w:eastAsia="zh-CN"/>
        </w:rPr>
        <w:t>a.</w:t>
      </w:r>
      <w:r>
        <w:rPr>
          <w:rFonts w:hint="eastAsia" w:ascii="宋体" w:hAnsi="宋体" w:eastAsia="宋体" w:cs="宋体"/>
          <w:color w:val="auto"/>
          <w:kern w:val="0"/>
          <w:sz w:val="24"/>
          <w:szCs w:val="24"/>
          <w:shd w:val="clear"/>
          <w:lang w:val="en-US" w:eastAsia="zh-Hans" w:bidi="ar-SA"/>
        </w:rPr>
        <w:t>表级别：根据不同用户和角色的访问权限，授权不同可以访问不同的数据表；</w:t>
      </w:r>
      <w:r>
        <w:rPr>
          <w:rFonts w:hint="eastAsia" w:ascii="宋体" w:hAnsi="宋体" w:cs="宋体"/>
          <w:color w:val="auto"/>
          <w:kern w:val="0"/>
          <w:sz w:val="24"/>
          <w:szCs w:val="24"/>
          <w:shd w:val="clear"/>
          <w:lang w:val="en-US" w:eastAsia="zh-CN" w:bidi="ar-SA"/>
        </w:rPr>
        <w:t>b.</w:t>
      </w:r>
      <w:r>
        <w:rPr>
          <w:rFonts w:hint="eastAsia" w:ascii="宋体" w:hAnsi="宋体" w:eastAsia="宋体" w:cs="宋体"/>
          <w:color w:val="auto"/>
          <w:kern w:val="0"/>
          <w:sz w:val="24"/>
          <w:szCs w:val="24"/>
          <w:shd w:val="clear"/>
          <w:lang w:val="en-US" w:eastAsia="zh-Hans" w:bidi="ar-SA"/>
        </w:rPr>
        <w:t>字段级别：针对同一张表，可以根据用户的权限和字段的分级管理规范，设置不同角色可以访问同一张数据表的不同字段项，也可以设置授权的字段内容是否脱敏显示。</w:t>
      </w:r>
      <w:r>
        <w:rPr>
          <w:rFonts w:hint="eastAsia" w:ascii="宋体" w:hAnsi="宋体" w:cs="宋体"/>
          <w:color w:val="auto"/>
          <w:kern w:val="0"/>
          <w:sz w:val="24"/>
          <w:szCs w:val="24"/>
          <w:shd w:val="clear"/>
          <w:lang w:val="en-US" w:eastAsia="zh-CN" w:bidi="ar-SA"/>
        </w:rPr>
        <w:t>c.</w:t>
      </w:r>
      <w:r>
        <w:rPr>
          <w:rFonts w:hint="eastAsia" w:ascii="宋体" w:hAnsi="宋体" w:eastAsia="宋体" w:cs="宋体"/>
          <w:color w:val="auto"/>
          <w:kern w:val="0"/>
          <w:sz w:val="24"/>
          <w:szCs w:val="24"/>
          <w:shd w:val="clear"/>
          <w:lang w:val="en-US" w:eastAsia="zh-Hans" w:bidi="ar-SA"/>
        </w:rPr>
        <w:t>数据级别：可以设置不同用户对同一张表查看的数据内容不同，如采购单，可以设置每个部门只能查看本部门、本人所提交的采购申请；也可以根据表任意字段进行数据筛选后再授权给指定的角色。实现数据的灵活精准、按需授权访问。</w:t>
      </w:r>
      <w:r>
        <w:rPr>
          <w:rFonts w:hint="eastAsia" w:ascii="宋体" w:hAnsi="宋体" w:cs="宋体"/>
          <w:color w:val="auto"/>
          <w:kern w:val="0"/>
          <w:sz w:val="24"/>
          <w:szCs w:val="24"/>
          <w:shd w:val="clear"/>
          <w:lang w:val="en-US" w:eastAsia="zh-CN" w:bidi="ar-SA"/>
        </w:rPr>
        <w:t>d.</w:t>
      </w:r>
      <w:r>
        <w:rPr>
          <w:rFonts w:hint="eastAsia" w:ascii="宋体" w:hAnsi="宋体" w:eastAsia="宋体" w:cs="宋体"/>
          <w:color w:val="auto"/>
          <w:kern w:val="0"/>
          <w:sz w:val="24"/>
          <w:szCs w:val="24"/>
          <w:shd w:val="clear"/>
          <w:lang w:val="en-US" w:eastAsia="zh-Hans" w:bidi="ar-SA"/>
        </w:rPr>
        <w:t>数据导出权限：可以根据不同用户或角色的权限，设置可被允许导出的数据表及导出的数据量。</w:t>
      </w:r>
      <w:r>
        <w:rPr>
          <w:rFonts w:hint="eastAsia" w:ascii="宋体" w:hAnsi="宋体" w:eastAsia="宋体" w:cs="宋体"/>
          <w:color w:val="auto"/>
          <w:kern w:val="0"/>
          <w:sz w:val="24"/>
          <w:szCs w:val="24"/>
          <w:shd w:val="clear"/>
          <w:lang w:val="en-US" w:eastAsia="zh-Hans" w:bidi="ar-SA"/>
        </w:rPr>
        <w:br w:type="textWrapping"/>
      </w:r>
      <w:r>
        <w:rPr>
          <w:rFonts w:hint="eastAsia" w:ascii="宋体" w:hAnsi="宋体" w:cs="宋体"/>
          <w:color w:val="auto"/>
          <w:kern w:val="0"/>
          <w:sz w:val="24"/>
          <w:szCs w:val="24"/>
          <w:shd w:val="clear"/>
          <w:lang w:val="en-US" w:eastAsia="zh-CN" w:bidi="ar-SA"/>
        </w:rPr>
        <w:t xml:space="preserve">   </w:t>
      </w:r>
      <w:r>
        <w:rPr>
          <w:rFonts w:hint="eastAsia" w:ascii="宋体" w:hAnsi="宋体" w:cs="宋体"/>
          <w:color w:val="auto"/>
          <w:sz w:val="24"/>
          <w:szCs w:val="24"/>
          <w:lang w:val="en-US" w:eastAsia="zh-CN"/>
        </w:rPr>
        <w:t>C.</w:t>
      </w:r>
      <w:r>
        <w:rPr>
          <w:rFonts w:hint="eastAsia" w:ascii="宋体" w:hAnsi="宋体" w:eastAsia="宋体" w:cs="宋体"/>
          <w:color w:val="auto"/>
          <w:sz w:val="24"/>
          <w:szCs w:val="24"/>
        </w:rPr>
        <w:t>组织机构</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为本单位提供统一的组织机构管理，组织机构管理主要是针对内部行政管理体系，提供基于树状结构的组织机构管理，包括部门管理、和基于角色的管理。平台提供机构管理功能，实现</w:t>
      </w:r>
      <w:r>
        <w:rPr>
          <w:rFonts w:hint="eastAsia" w:ascii="宋体" w:hAnsi="宋体" w:cs="宋体"/>
          <w:color w:val="auto"/>
          <w:kern w:val="0"/>
          <w:sz w:val="24"/>
          <w:szCs w:val="24"/>
          <w:lang w:val="en-US" w:eastAsia="zh-CN"/>
        </w:rPr>
        <w:t>子公司</w:t>
      </w:r>
      <w:r>
        <w:rPr>
          <w:rFonts w:hint="eastAsia" w:ascii="宋体" w:hAnsi="宋体" w:eastAsia="宋体" w:cs="宋体"/>
          <w:color w:val="auto"/>
          <w:kern w:val="0"/>
          <w:sz w:val="24"/>
          <w:szCs w:val="24"/>
          <w:lang w:eastAsia="zh-CN"/>
        </w:rPr>
        <w:t>单位</w:t>
      </w:r>
      <w:r>
        <w:rPr>
          <w:rFonts w:hint="eastAsia" w:ascii="宋体" w:hAnsi="宋体" w:eastAsia="宋体" w:cs="宋体"/>
          <w:color w:val="auto"/>
          <w:kern w:val="0"/>
          <w:sz w:val="24"/>
          <w:szCs w:val="24"/>
        </w:rPr>
        <w:t>部门信息的管理,包括组织机构的新增、删除、修改、查询功能。此功能需满足实现与数智一体化平台的组织机构信息的自动实时同步和手动同步。</w:t>
      </w:r>
    </w:p>
    <w:p w14:paraId="0E408084">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D.</w:t>
      </w:r>
      <w:r>
        <w:rPr>
          <w:rFonts w:hint="eastAsia" w:ascii="宋体" w:hAnsi="宋体" w:eastAsia="宋体" w:cs="宋体"/>
          <w:color w:val="auto"/>
          <w:sz w:val="24"/>
          <w:szCs w:val="24"/>
        </w:rPr>
        <w:t>权限管理</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权限管理是指根据系统设置的安全规则或者安全策略，平台支持权限管理方式包括应用系统授权、工作台授权、组织机构分级授权等，基于统一的权限体现。实现各应用系统访问的控制，功能应用的访问控制以及数据权限的控制进行统一管理和分配。同时支持根据用户岗位设置对应角色，用户可以访问而且只能访问自己被授权的系统功能菜单或应用程序，权限管理分为员工权限管理和企业管理人员权限管理。员工权限管理实现对员工应用程序的访问权限控制和相应功能菜单操作，企业管理人员权限管理实现对管理人员段业务系统的访问权限的控制和相应功能菜单操作。</w:t>
      </w:r>
    </w:p>
    <w:p w14:paraId="61DCBB5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统一资源分配</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19，完全响应</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此项并提供功能截图进行佐证的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lang w:val="en-US" w:eastAsia="zh-CN"/>
        </w:rPr>
        <w:t>资源管理是实现系统功能菜单及按钮的资源定义和维护及分配，以及应用程序资源的定义和维护及分配</w:t>
      </w:r>
      <w:r>
        <w:rPr>
          <w:rFonts w:hint="eastAsia" w:ascii="宋体" w:hAnsi="宋体" w:eastAsia="宋体" w:cs="宋体"/>
          <w:color w:val="auto"/>
          <w:sz w:val="24"/>
          <w:szCs w:val="24"/>
          <w:shd w:val="clear" w:color="auto" w:fill="FFFFFF"/>
        </w:rPr>
        <w:t>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资源管理还包括音视频资源进行分类维护管理，包括娱乐类、学习类等。</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lang w:val="en-US" w:eastAsia="zh-CN"/>
        </w:rPr>
        <w:t>系统菜单定义与维护</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系统菜单定义与维护是实现对平台的功能菜单和按钮资源进行创建、修改、删除和查询，并支持将相应菜单功能资源配置对应的角色。</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lang w:val="en-US" w:eastAsia="zh-CN"/>
        </w:rPr>
        <w:t>应用程序资源的定义和维护</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应用程序资源的定义和维护是实现对已上架的各应用程序资源进行创建、修改、删除和查询，并支持将相应应用程序资源配置对应的角色。</w:t>
      </w: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lang w:val="en-US" w:eastAsia="zh-CN"/>
        </w:rPr>
        <w:t>音视频资源分类与维护</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音视频资源的分类和维护是实现对已审核的音视频资源进行创建、修改、删除和查询、分类，并支持将相应音视频资源进行访问配置。</w:t>
      </w:r>
    </w:p>
    <w:p w14:paraId="3821B0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统一应用管理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20，完全响应此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统一应用管理从应用程序注册登记、应用市场入驻上下架和应用更新发布等方面对多种应用进行管理。满足</w:t>
      </w:r>
      <w:r>
        <w:rPr>
          <w:rFonts w:hint="eastAsia" w:ascii="宋体" w:hAnsi="宋体" w:eastAsia="宋体" w:cs="宋体"/>
          <w:color w:val="auto"/>
          <w:sz w:val="24"/>
          <w:szCs w:val="24"/>
        </w:rPr>
        <w:t>前端设备以信息交互终端、移动警务通等为基础交互载体，平台开发一套基于安卓系统统一应用池控制台，用于管理运行在该终端上Apk应用、web应用、人脸SDK、第三方应用等，提供基于前端硬件设备各类硬件服务，人脸SDK、中间件服务接口调用。</w:t>
      </w:r>
      <w:r>
        <w:rPr>
          <w:rFonts w:hint="eastAsia" w:ascii="宋体" w:hAnsi="宋体" w:cs="宋体"/>
          <w:color w:val="auto"/>
          <w:sz w:val="24"/>
          <w:szCs w:val="24"/>
          <w:lang w:val="en-US" w:eastAsia="zh-CN"/>
        </w:rPr>
        <w:t>A.</w:t>
      </w:r>
      <w:r>
        <w:rPr>
          <w:rFonts w:hint="eastAsia" w:ascii="宋体" w:hAnsi="宋体" w:eastAsia="宋体" w:cs="宋体"/>
          <w:color w:val="auto"/>
          <w:sz w:val="24"/>
          <w:szCs w:val="24"/>
          <w:lang w:val="en-US" w:eastAsia="zh-CN"/>
        </w:rPr>
        <w:t>应用注册</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应用注册是实现对应用程序在统一管理平台的登记注册，包括应用程序名称、供应厂商、应用功能描述、应用版本号、入驻日期、入驻时长等。</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lang w:val="en-US" w:eastAsia="zh-CN"/>
        </w:rPr>
        <w:t>应用版本</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在版本管理页面，可以创建、发布、测试和删除应用的版本。每个版本都有自己的标识符和发布说明，可以在这里记录版本的更新内容、修复的漏洞和改进的功能等信息。此外，还可以设置版本的更新策略和回滚计划，以确保应用版本的稳定性和安全性。</w:t>
      </w: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lang w:val="en-US" w:eastAsia="zh-CN"/>
        </w:rPr>
        <w:t>应用审核</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应用审核实现对开发者的应用程序进行审核，包括应用程序的完整性、合规性、安全性等方面进行评估和审查，确保其符合平台的标准和质量要求，审核完成后方可上架。</w:t>
      </w:r>
      <w:r>
        <w:rPr>
          <w:rFonts w:hint="eastAsia" w:ascii="宋体" w:hAnsi="宋体" w:cs="宋体"/>
          <w:color w:val="auto"/>
          <w:sz w:val="24"/>
          <w:szCs w:val="24"/>
          <w:shd w:val="clear" w:color="auto" w:fill="FFFFFF"/>
          <w:lang w:val="en-US" w:eastAsia="zh-CN"/>
        </w:rPr>
        <w:t>D.</w:t>
      </w:r>
      <w:r>
        <w:rPr>
          <w:rFonts w:hint="eastAsia" w:ascii="宋体" w:hAnsi="宋体" w:eastAsia="宋体" w:cs="宋体"/>
          <w:color w:val="auto"/>
          <w:sz w:val="24"/>
          <w:szCs w:val="24"/>
          <w:lang w:val="en-US" w:eastAsia="zh-CN"/>
        </w:rPr>
        <w:t>应用管控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应用管控是负责交互终端各类应用的管理和适配控制。调度各应用之间协作，监测各应用的运行情况，进程控制等</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E.</w:t>
      </w:r>
      <w:r>
        <w:rPr>
          <w:rFonts w:hint="eastAsia" w:ascii="宋体" w:hAnsi="宋体" w:eastAsia="宋体" w:cs="宋体"/>
          <w:b w:val="0"/>
          <w:bCs w:val="0"/>
          <w:color w:val="auto"/>
          <w:sz w:val="24"/>
          <w:szCs w:val="24"/>
          <w:lang w:val="en-US" w:eastAsia="zh-CN"/>
        </w:rPr>
        <w:t>应用管理与监测</w:t>
      </w:r>
      <w:r>
        <w:rPr>
          <w:rFonts w:hint="eastAsia" w:ascii="宋体" w:hAnsi="宋体" w:cs="宋体"/>
          <w:b w:val="0"/>
          <w:bCs w:val="0"/>
          <w:color w:val="auto"/>
          <w:sz w:val="24"/>
          <w:szCs w:val="24"/>
          <w:lang w:val="en-US" w:eastAsia="zh-CN"/>
        </w:rPr>
        <w:t>:</w:t>
      </w:r>
      <w:r>
        <w:rPr>
          <w:rFonts w:hint="eastAsia" w:ascii="宋体" w:hAnsi="宋体" w:eastAsia="宋体" w:cs="宋体"/>
          <w:color w:val="auto"/>
          <w:sz w:val="24"/>
          <w:szCs w:val="24"/>
          <w:lang w:val="en-US" w:eastAsia="zh-CN"/>
        </w:rPr>
        <w:t>应用控制台提供了强大的管理功能。管理员权限可以通过控制台停止，重新启动，或者删除您的应用程序。同时，它也提供了实时的应用程序性能监控，包括CPU使用率，内存使用，进程信息、IO等关键指标</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F.</w:t>
      </w:r>
      <w:r>
        <w:rPr>
          <w:rFonts w:hint="eastAsia" w:ascii="宋体" w:hAnsi="宋体" w:eastAsia="宋体" w:cs="宋体"/>
          <w:b w:val="0"/>
          <w:bCs w:val="0"/>
          <w:color w:val="auto"/>
          <w:sz w:val="24"/>
          <w:szCs w:val="24"/>
          <w:lang w:val="en-US" w:eastAsia="zh-CN"/>
        </w:rPr>
        <w:t>安全与权限管理</w:t>
      </w:r>
      <w:r>
        <w:rPr>
          <w:rFonts w:hint="eastAsia" w:ascii="宋体" w:hAnsi="宋体" w:cs="宋体"/>
          <w:b/>
          <w:bCs/>
          <w:color w:val="auto"/>
          <w:sz w:val="24"/>
          <w:szCs w:val="24"/>
          <w:lang w:val="en-US" w:eastAsia="zh-CN"/>
        </w:rPr>
        <w:t>:</w:t>
      </w:r>
      <w:r>
        <w:rPr>
          <w:rFonts w:hint="eastAsia" w:ascii="宋体" w:hAnsi="宋体" w:eastAsia="宋体" w:cs="宋体"/>
          <w:color w:val="auto"/>
          <w:sz w:val="24"/>
          <w:szCs w:val="24"/>
          <w:lang w:val="en-US" w:eastAsia="zh-CN"/>
        </w:rPr>
        <w:t>为了确保员工使用应用程序的安全性，应用池控制台与硬件和操作系统做深度适配，开机或程序切换过程中，员工无法进入安卓系统界面，可以根据系统后台赋予的权限，根据用户角色控制应用程序的访问权</w:t>
      </w:r>
      <w:r>
        <w:rPr>
          <w:rFonts w:hint="eastAsia" w:ascii="宋体" w:hAnsi="宋体" w:eastAsia="宋体" w:cs="宋体"/>
          <w:b w:val="0"/>
          <w:bCs w:val="0"/>
          <w:color w:val="auto"/>
          <w:sz w:val="24"/>
          <w:szCs w:val="24"/>
          <w:lang w:val="en-US" w:eastAsia="zh-CN"/>
        </w:rPr>
        <w:t>限。</w:t>
      </w:r>
      <w:r>
        <w:rPr>
          <w:rFonts w:hint="eastAsia" w:ascii="宋体" w:hAnsi="宋体" w:cs="宋体"/>
          <w:b w:val="0"/>
          <w:bCs w:val="0"/>
          <w:color w:val="auto"/>
          <w:sz w:val="24"/>
          <w:szCs w:val="24"/>
          <w:lang w:val="en-US" w:eastAsia="zh-CN"/>
        </w:rPr>
        <w:t>G.</w:t>
      </w:r>
      <w:r>
        <w:rPr>
          <w:rFonts w:hint="eastAsia" w:ascii="宋体" w:hAnsi="宋体" w:eastAsia="宋体" w:cs="宋体"/>
          <w:b w:val="0"/>
          <w:bCs w:val="0"/>
          <w:color w:val="auto"/>
          <w:sz w:val="24"/>
          <w:szCs w:val="24"/>
          <w:lang w:val="en-US" w:eastAsia="zh-CN"/>
        </w:rPr>
        <w:t>接口集成</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接口集成了人脸SDK或调用模块、摄像头SDK、读卡器等硬件接口，为第三方应用提供了在开发过</w:t>
      </w:r>
      <w:r>
        <w:rPr>
          <w:rFonts w:hint="eastAsia" w:ascii="宋体" w:hAnsi="宋体" w:eastAsia="宋体" w:cs="宋体"/>
          <w:color w:val="auto"/>
          <w:sz w:val="24"/>
          <w:szCs w:val="24"/>
          <w:lang w:val="en-US" w:eastAsia="zh-CN"/>
        </w:rPr>
        <w:t>程中直接调用的便捷性和高效性</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H.</w:t>
      </w:r>
      <w:r>
        <w:rPr>
          <w:rFonts w:hint="eastAsia" w:ascii="宋体" w:hAnsi="宋体" w:eastAsia="宋体" w:cs="宋体"/>
          <w:b w:val="0"/>
          <w:bCs w:val="0"/>
          <w:color w:val="auto"/>
          <w:sz w:val="24"/>
          <w:szCs w:val="24"/>
          <w:lang w:val="en-US" w:eastAsia="zh-CN"/>
        </w:rPr>
        <w:t>应用集成</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支持安卓APK应用、WEB应用及其他第三方应用的集中管理和功能调用，不同的应用调用对用的运行环境进行展示。</w:t>
      </w:r>
      <w:r>
        <w:rPr>
          <w:rFonts w:hint="eastAsia" w:ascii="宋体" w:hAnsi="宋体" w:cs="宋体"/>
          <w:b w:val="0"/>
          <w:bCs w:val="0"/>
          <w:color w:val="auto"/>
          <w:sz w:val="24"/>
          <w:szCs w:val="24"/>
          <w:lang w:val="en-US" w:eastAsia="zh-CN"/>
        </w:rPr>
        <w:t>I.</w:t>
      </w:r>
      <w:r>
        <w:rPr>
          <w:rFonts w:hint="eastAsia" w:ascii="宋体" w:hAnsi="宋体" w:eastAsia="宋体" w:cs="宋体"/>
          <w:b w:val="0"/>
          <w:bCs w:val="0"/>
          <w:color w:val="auto"/>
          <w:sz w:val="24"/>
          <w:szCs w:val="24"/>
          <w:lang w:val="en-US" w:eastAsia="zh-CN"/>
        </w:rPr>
        <w:t>应用适配</w:t>
      </w:r>
      <w:r>
        <w:rPr>
          <w:rFonts w:hint="eastAsia" w:ascii="宋体" w:hAnsi="宋体" w:cs="宋体"/>
          <w:b/>
          <w:bCs/>
          <w:color w:val="auto"/>
          <w:sz w:val="24"/>
          <w:szCs w:val="24"/>
          <w:lang w:val="en-US" w:eastAsia="zh-CN"/>
        </w:rPr>
        <w:t>:</w:t>
      </w:r>
      <w:r>
        <w:rPr>
          <w:rFonts w:hint="eastAsia" w:ascii="宋体" w:hAnsi="宋体" w:eastAsia="宋体" w:cs="宋体"/>
          <w:color w:val="auto"/>
          <w:sz w:val="24"/>
          <w:szCs w:val="24"/>
          <w:lang w:val="en-US" w:eastAsia="zh-CN"/>
        </w:rPr>
        <w:t>所有的员工APP应用兼容多款终端设备，应该能够在不同品牌、型号和操作系统的设备终端上运行，管理端通过APP包文件进行合规校验。</w:t>
      </w:r>
      <w:r>
        <w:rPr>
          <w:rFonts w:hint="eastAsia" w:ascii="宋体" w:hAnsi="宋体" w:cs="宋体"/>
          <w:b w:val="0"/>
          <w:bCs w:val="0"/>
          <w:color w:val="auto"/>
          <w:sz w:val="24"/>
          <w:szCs w:val="24"/>
          <w:lang w:val="en-US" w:eastAsia="zh-CN"/>
        </w:rPr>
        <w:t>J.</w:t>
      </w:r>
      <w:r>
        <w:rPr>
          <w:rFonts w:hint="eastAsia" w:ascii="宋体" w:hAnsi="宋体" w:eastAsia="宋体" w:cs="宋体"/>
          <w:color w:val="auto"/>
          <w:sz w:val="24"/>
          <w:szCs w:val="24"/>
          <w:lang w:val="en-US" w:eastAsia="zh-CN"/>
        </w:rPr>
        <w:t>应用上下架</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对已经注册入驻的应用APP，根据各单位、各部门管理权限和业务应用管理要求，进行相关应用APP的上架和下架管理，通过统一管理平台上架应用APP，终端自动检测后并进行自动安装；对已不再使用的应用APP，可以通过统一管理平台的下架停止提供应用APP程序服务。</w:t>
      </w:r>
      <w:r>
        <w:rPr>
          <w:rFonts w:hint="eastAsia" w:ascii="宋体" w:hAnsi="宋体" w:cs="宋体"/>
          <w:color w:val="auto"/>
          <w:sz w:val="24"/>
          <w:szCs w:val="24"/>
          <w:lang w:val="en-US" w:eastAsia="zh-CN"/>
        </w:rPr>
        <w:t>K.</w:t>
      </w:r>
      <w:r>
        <w:rPr>
          <w:rFonts w:hint="eastAsia" w:ascii="宋体" w:hAnsi="宋体" w:eastAsia="宋体" w:cs="宋体"/>
          <w:color w:val="auto"/>
          <w:sz w:val="24"/>
          <w:szCs w:val="24"/>
          <w:lang w:val="en-US" w:eastAsia="zh-CN"/>
        </w:rPr>
        <w:t>应用发布及更新</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应用更新发布是实现应用更新的版本控制和管理，支持原生APK包和H5应用程序的版本升级。强制统一更新。</w:t>
      </w:r>
      <w:r>
        <w:rPr>
          <w:rFonts w:hint="eastAsia" w:ascii="宋体" w:hAnsi="宋体" w:eastAsia="宋体" w:cs="宋体"/>
          <w:color w:val="auto"/>
          <w:sz w:val="24"/>
          <w:szCs w:val="24"/>
        </w:rPr>
        <w:t>支持自动升级，当检测到有应用版本升级包，系统自动在后台静默</w:t>
      </w:r>
      <w:r>
        <w:rPr>
          <w:rFonts w:hint="eastAsia" w:ascii="宋体" w:hAnsi="宋体" w:eastAsia="宋体" w:cs="宋体"/>
          <w:color w:val="auto"/>
          <w:sz w:val="24"/>
          <w:szCs w:val="24"/>
          <w:lang w:val="en-US" w:eastAsia="zh-CN"/>
        </w:rPr>
        <w:t>安装</w:t>
      </w:r>
      <w:r>
        <w:rPr>
          <w:rFonts w:hint="eastAsia" w:ascii="宋体" w:hAnsi="宋体" w:eastAsia="宋体" w:cs="宋体"/>
          <w:color w:val="auto"/>
          <w:sz w:val="24"/>
          <w:szCs w:val="24"/>
        </w:rPr>
        <w:t>升级，自动升级时间段支持自定义设置，避免在高频使用时间段升级导致应用无法使用的情况。</w:t>
      </w:r>
    </w:p>
    <w:p w14:paraId="5C71E18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统一设备管理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21，完全响应此项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的得1分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设备管理功能实现对终端设备登记管理、终端监控管控如终端重启、终端熄屏设置、设备运行状态监测等功能。设备管理的相关信息内容有设备名称、设备序号、设备品牌、设备型号、设备厂商、设备状态、生产日期、质保日期等。</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lang w:val="en-US" w:eastAsia="zh-CN"/>
        </w:rPr>
        <w:t>设备注册</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设备注册实现对设备的基础信息的登记注册以及修改完善，如设备名称、设备序号、设备品牌、设备型号、设备厂商、设备状态、生产日期、质保日期等信息。</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lang w:val="en-US" w:eastAsia="zh-CN"/>
        </w:rPr>
        <w:t>设备控制</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设备控制实现对已注册登记的设备通过一体化交互平台进行实时控制，如设备重启、设备熄屏、设备关机、温度阈值设置、CPU阈值设置以及终端底座更新。对超过阈值设置的进行预警并发送消息提醒给管理人员。</w:t>
      </w: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lang w:val="en-US" w:eastAsia="zh-CN"/>
        </w:rPr>
        <w:t>设备状态</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设备状态是实现对已注册接入设备的运行状态进行实时监测和显示，对离线和故障设备进行预警提醒。</w:t>
      </w:r>
      <w:r>
        <w:rPr>
          <w:rFonts w:hint="eastAsia" w:ascii="宋体" w:hAnsi="宋体" w:cs="宋体"/>
          <w:color w:val="auto"/>
          <w:sz w:val="24"/>
          <w:szCs w:val="24"/>
          <w:shd w:val="clear" w:color="auto" w:fill="FFFFFF"/>
          <w:lang w:val="en-US" w:eastAsia="zh-CN"/>
        </w:rPr>
        <w:t>D.</w:t>
      </w:r>
      <w:r>
        <w:rPr>
          <w:rFonts w:hint="eastAsia" w:ascii="宋体" w:hAnsi="宋体" w:eastAsia="宋体" w:cs="宋体"/>
          <w:color w:val="auto"/>
          <w:sz w:val="24"/>
          <w:szCs w:val="24"/>
          <w:lang w:val="en-US" w:eastAsia="zh-CN"/>
        </w:rPr>
        <w:t>设备运维</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设备运维是实现对现有设备进行定期巡检检查和维修，对巡检过程中发现异常和损坏的设备进行登记，并及时发起维修申请，提交管理人员安排厂家报修，管理人员应记录设备维修情况，如更换配件、更换设备等，并将维修好的设备及时反馈报修部门；系统对过保的设备和定期巡检的工作予以提前提醒管理人员，及时购买维保服务和开展设备定期巡检工作。</w:t>
      </w:r>
    </w:p>
    <w:p w14:paraId="6EDE02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color w:val="auto"/>
          <w:kern w:val="0"/>
          <w:sz w:val="24"/>
          <w:szCs w:val="24"/>
          <w:u w:val="single"/>
          <w:lang w:val="en-US" w:eastAsia="zh-CN" w:bidi="ar"/>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统一消息管理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22，完全响应此项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管理人员可以通过信息发布管理页面实现对信息的编辑和发布，员工可以通过监舍终端查看信息发布类信息，企业管理人员可以通过警务通、PC端、管理人员值班室终端查看信息发布类信息，也可以接收待办审批提醒类和一键告警类消息。主要包含如下方面：</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kern w:val="0"/>
          <w:sz w:val="24"/>
          <w:szCs w:val="24"/>
          <w:lang w:bidi="ar"/>
        </w:rPr>
        <w:t>信息发布类：如员工劳动情况、动态奖励、劳动报酬，月劳动改造考核等公示，如员工奖惩公示，如正课教育的排课通知，或其他重要事项的通知等等。</w:t>
      </w:r>
      <w:r>
        <w:rPr>
          <w:rFonts w:hint="eastAsia" w:ascii="宋体" w:hAnsi="宋体" w:cs="宋体"/>
          <w:color w:val="auto"/>
          <w:kern w:val="0"/>
          <w:sz w:val="24"/>
          <w:szCs w:val="24"/>
          <w:lang w:val="en-US" w:eastAsia="zh-CN" w:bidi="ar"/>
        </w:rPr>
        <w:t>B.</w:t>
      </w:r>
      <w:r>
        <w:rPr>
          <w:rFonts w:hint="eastAsia" w:ascii="宋体" w:hAnsi="宋体" w:eastAsia="宋体" w:cs="宋体"/>
          <w:color w:val="auto"/>
          <w:kern w:val="0"/>
          <w:sz w:val="24"/>
          <w:szCs w:val="24"/>
          <w:lang w:bidi="ar"/>
        </w:rPr>
        <w:t>待办事项类：预约、积分兑换、电子书信、点名确认等待处理的消息。</w:t>
      </w:r>
      <w:r>
        <w:rPr>
          <w:rFonts w:hint="eastAsia" w:ascii="宋体" w:hAnsi="宋体" w:cs="宋体"/>
          <w:color w:val="auto"/>
          <w:kern w:val="0"/>
          <w:sz w:val="24"/>
          <w:szCs w:val="24"/>
          <w:lang w:val="en-US" w:eastAsia="zh-CN" w:bidi="ar"/>
        </w:rPr>
        <w:t>C.</w:t>
      </w:r>
      <w:r>
        <w:rPr>
          <w:rFonts w:hint="eastAsia" w:ascii="宋体" w:hAnsi="宋体" w:eastAsia="宋体" w:cs="宋体"/>
          <w:color w:val="auto"/>
          <w:kern w:val="0"/>
          <w:sz w:val="24"/>
          <w:szCs w:val="24"/>
          <w:lang w:bidi="ar"/>
        </w:rPr>
        <w:t>报警预警类：如一键报警的信息。</w:t>
      </w:r>
      <w:r>
        <w:rPr>
          <w:rFonts w:hint="eastAsia" w:ascii="宋体" w:hAnsi="宋体" w:cs="宋体"/>
          <w:color w:val="auto"/>
          <w:kern w:val="0"/>
          <w:sz w:val="24"/>
          <w:szCs w:val="24"/>
          <w:u w:val="single"/>
          <w:lang w:val="en-US" w:eastAsia="zh-CN" w:bidi="ar"/>
        </w:rPr>
        <w:t>D.</w:t>
      </w:r>
      <w:r>
        <w:rPr>
          <w:rFonts w:hint="eastAsia" w:ascii="宋体" w:hAnsi="宋体" w:eastAsia="宋体" w:cs="宋体"/>
          <w:b/>
          <w:bCs/>
          <w:color w:val="auto"/>
          <w:kern w:val="0"/>
          <w:sz w:val="24"/>
          <w:szCs w:val="24"/>
          <w:u w:val="single"/>
          <w:lang w:val="en-US" w:eastAsia="zh-CN" w:bidi="ar"/>
        </w:rPr>
        <w:t>由于本次建设警务通APP作为闽狱通的子应用开放给管理人员使用，涉及到提醒管理人员消息推送到警务通端的应基于集成对接已建的数智一体化平台的闽狱通的统一消息服务实现消息推送。</w:t>
      </w:r>
      <w:r>
        <w:rPr>
          <w:rFonts w:hint="eastAsia" w:ascii="宋体" w:hAnsi="宋体" w:cs="宋体"/>
          <w:b/>
          <w:bCs/>
          <w:color w:val="auto"/>
          <w:kern w:val="0"/>
          <w:sz w:val="24"/>
          <w:szCs w:val="24"/>
          <w:u w:val="single"/>
          <w:lang w:val="en-US" w:eastAsia="zh-CN" w:bidi="ar"/>
        </w:rPr>
        <w:t>针对“</w:t>
      </w:r>
      <w:r>
        <w:rPr>
          <w:rFonts w:hint="eastAsia" w:ascii="宋体" w:hAnsi="宋体" w:cs="宋体"/>
          <w:color w:val="auto"/>
          <w:kern w:val="0"/>
          <w:sz w:val="24"/>
          <w:szCs w:val="24"/>
          <w:u w:val="single"/>
          <w:lang w:val="en-US" w:eastAsia="zh-CN" w:bidi="ar"/>
        </w:rPr>
        <w:t>D</w:t>
      </w:r>
      <w:r>
        <w:rPr>
          <w:rFonts w:hint="eastAsia" w:ascii="宋体" w:hAnsi="宋体" w:cs="宋体"/>
          <w:b/>
          <w:bCs/>
          <w:color w:val="auto"/>
          <w:kern w:val="0"/>
          <w:sz w:val="24"/>
          <w:szCs w:val="24"/>
          <w:u w:val="single"/>
          <w:lang w:val="en-US" w:eastAsia="zh-CN" w:bidi="ar"/>
        </w:rPr>
        <w:t>”项内容，</w:t>
      </w:r>
      <w:r>
        <w:rPr>
          <w:rFonts w:hint="eastAsia" w:ascii="宋体" w:hAnsi="宋体" w:eastAsia="宋体" w:cs="宋体"/>
          <w:b/>
          <w:bCs/>
          <w:color w:val="auto"/>
          <w:kern w:val="0"/>
          <w:sz w:val="24"/>
          <w:szCs w:val="24"/>
          <w:u w:val="single"/>
          <w:lang w:val="en-US" w:eastAsia="zh-CN" w:bidi="ar"/>
        </w:rPr>
        <w:t>投标人</w:t>
      </w:r>
      <w:r>
        <w:rPr>
          <w:rFonts w:hint="eastAsia" w:ascii="宋体" w:hAnsi="宋体" w:cs="宋体"/>
          <w:b/>
          <w:bCs/>
          <w:color w:val="auto"/>
          <w:kern w:val="0"/>
          <w:sz w:val="24"/>
          <w:szCs w:val="24"/>
          <w:u w:val="single"/>
          <w:lang w:val="en-US" w:eastAsia="zh-CN" w:bidi="ar"/>
        </w:rPr>
        <w:t>须在投标文件技术商务部分中</w:t>
      </w:r>
      <w:r>
        <w:rPr>
          <w:rFonts w:hint="eastAsia" w:ascii="宋体" w:hAnsi="宋体" w:eastAsia="宋体" w:cs="宋体"/>
          <w:b/>
          <w:bCs/>
          <w:color w:val="auto"/>
          <w:kern w:val="0"/>
          <w:sz w:val="24"/>
          <w:szCs w:val="24"/>
          <w:u w:val="single"/>
          <w:lang w:val="en-US" w:eastAsia="zh-CN" w:bidi="ar"/>
        </w:rPr>
        <w:t>提供对接闽狱通的承诺函。</w:t>
      </w:r>
    </w:p>
    <w:p w14:paraId="71C9230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统一安全管控</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color w:val="auto"/>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23，完全响应此项并提供功能截图进行佐证的得</w:t>
      </w:r>
      <w:r>
        <w:rPr>
          <w:rFonts w:hint="eastAsia" w:asciiTheme="minorEastAsia" w:hAnsiTheme="minorEastAsia" w:eastAsiaTheme="minorEastAsia" w:cstheme="minorEastAsia"/>
          <w:b/>
          <w:bCs/>
          <w:sz w:val="24"/>
          <w:szCs w:val="32"/>
          <w:highlight w:val="none"/>
          <w:u w:val="double"/>
          <w:shd w:val="clear" w:color="FFFFFF" w:fill="D9D9D9"/>
          <w:lang w:val="en-US" w:eastAsia="zh-CN"/>
        </w:rPr>
        <w:t>1分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lang w:val="en-US" w:eastAsia="zh-CN"/>
        </w:rPr>
        <w:t>安全管控包括交互终端硬件集成模块的管控，如系统安全、设备安全、一键报警和监仓对讲、广播的安全操作管控，包括报警接收设置、监仓对讲呼叫、切断等控制</w:t>
      </w:r>
      <w:r>
        <w:rPr>
          <w:rFonts w:hint="eastAsia" w:ascii="宋体" w:hAnsi="宋体" w:cs="宋体"/>
          <w:color w:val="auto"/>
          <w:sz w:val="24"/>
          <w:szCs w:val="24"/>
          <w:shd w:val="clear" w:color="auto" w:fill="FFFFFF"/>
          <w:lang w:val="en-US" w:eastAsia="zh-CN"/>
        </w:rPr>
        <w:t>。</w:t>
      </w:r>
      <w:r>
        <w:rPr>
          <w:rFonts w:hint="eastAsia" w:ascii="宋体" w:hAnsi="宋体" w:cs="宋体"/>
          <w:color w:val="auto"/>
          <w:sz w:val="24"/>
          <w:szCs w:val="24"/>
          <w:lang w:val="en-US" w:eastAsia="zh-CN"/>
        </w:rPr>
        <w:t>A.</w:t>
      </w:r>
      <w:r>
        <w:rPr>
          <w:rFonts w:hint="eastAsia" w:ascii="宋体" w:hAnsi="宋体" w:eastAsia="宋体" w:cs="宋体"/>
          <w:color w:val="auto"/>
          <w:sz w:val="24"/>
          <w:szCs w:val="24"/>
          <w:lang w:val="en-US" w:eastAsia="zh-CN"/>
        </w:rPr>
        <w:t>设备安全管控</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为保护终端设备的安全，设备安全管控是实现对恶意破坏、异常操作设备的行为进行报警，将报警信息直接推送值班室或指挥中心。</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lang w:val="en-US" w:eastAsia="zh-CN"/>
        </w:rPr>
        <w:t>报警联动设置</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报警联动设置实现监室、值班室、指挥中心三级联动报警的规则设置，如报警信息发出超过10秒未接收，系统将报警信息自动上报指挥中心等；同时还支持报警消息接收人或部门的配置。</w:t>
      </w: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lang w:val="en-US" w:eastAsia="zh-CN"/>
        </w:rPr>
        <w:t>可视对讲控制</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可视对讲控制是实现管理人员对监室终端设备的可视对讲模块进行呼叫、转接、切断、关闭视频画面等进行控制管理。</w:t>
      </w:r>
      <w:r>
        <w:rPr>
          <w:rFonts w:hint="eastAsia" w:ascii="宋体" w:hAnsi="宋体" w:cs="宋体"/>
          <w:color w:val="auto"/>
          <w:sz w:val="24"/>
          <w:szCs w:val="24"/>
          <w:shd w:val="clear" w:color="auto" w:fill="FFFFFF"/>
          <w:lang w:val="en-US" w:eastAsia="zh-CN"/>
        </w:rPr>
        <w:t>D.</w:t>
      </w:r>
      <w:r>
        <w:rPr>
          <w:rFonts w:hint="eastAsia" w:ascii="宋体" w:hAnsi="宋体" w:eastAsia="宋体" w:cs="宋体"/>
          <w:color w:val="auto"/>
          <w:sz w:val="24"/>
          <w:szCs w:val="24"/>
          <w:lang w:val="en-US" w:eastAsia="zh-CN"/>
        </w:rPr>
        <w:t>一键报警控制</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一键报警控制是实现管理人员对监室终端设备的一键报警模块进行开启和禁用等进行控制管理。</w:t>
      </w:r>
      <w:r>
        <w:rPr>
          <w:rFonts w:hint="eastAsia" w:ascii="宋体" w:hAnsi="宋体" w:cs="宋体"/>
          <w:color w:val="auto"/>
          <w:sz w:val="24"/>
          <w:szCs w:val="24"/>
          <w:shd w:val="clear" w:color="auto" w:fill="FFFFFF"/>
          <w:lang w:val="en-US" w:eastAsia="zh-CN"/>
        </w:rPr>
        <w:t>E.</w:t>
      </w:r>
      <w:r>
        <w:rPr>
          <w:rFonts w:hint="eastAsia" w:ascii="宋体" w:hAnsi="宋体" w:eastAsia="宋体" w:cs="宋体"/>
          <w:color w:val="auto"/>
          <w:sz w:val="24"/>
          <w:szCs w:val="24"/>
          <w:lang w:val="en-US" w:eastAsia="zh-CN"/>
        </w:rPr>
        <w:t>黑白名单设置</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通过设置黑白名单实现对平台、APP应用及接口服务的操作访问约束控制，防止平台、APP应用及接口服务受到非法授权的恶意访问和破坏。</w:t>
      </w:r>
    </w:p>
    <w:p w14:paraId="52886D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lang w:val="zh-CN"/>
        </w:rPr>
      </w:pP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rPr>
        <w:t>统一日志管理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24，完全响应此项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并提供功能截图进行佐证的得</w:t>
      </w:r>
      <w:r>
        <w:rPr>
          <w:rFonts w:hint="eastAsia" w:asciiTheme="minorEastAsia" w:hAnsiTheme="minorEastAsia" w:eastAsiaTheme="minorEastAsia" w:cstheme="minorEastAsia"/>
          <w:b/>
          <w:bCs/>
          <w:sz w:val="24"/>
          <w:szCs w:val="32"/>
          <w:highlight w:val="none"/>
          <w:u w:val="double"/>
          <w:shd w:val="clear" w:color="FFFFFF" w:fill="D9D9D9"/>
          <w:lang w:val="en-US" w:eastAsia="zh-CN"/>
        </w:rPr>
        <w:t>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日志管理功能是实现对门户操作日志、业务办理操作日志、终端应用操作日志等查询。主要分为以下三方面的日志：</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lang w:val="en-US" w:eastAsia="zh-CN"/>
        </w:rPr>
        <w:t>门户操作日志</w:t>
      </w:r>
      <w:r>
        <w:rPr>
          <w:rFonts w:hint="eastAsia" w:ascii="宋体" w:hAnsi="宋体" w:cs="宋体"/>
          <w:color w:val="auto"/>
          <w:sz w:val="24"/>
          <w:szCs w:val="24"/>
          <w:lang w:val="en-US" w:eastAsia="zh-CN"/>
        </w:rPr>
        <w:t>：</w:t>
      </w:r>
      <w:r>
        <w:rPr>
          <w:rFonts w:hint="eastAsia" w:ascii="宋体" w:hAnsi="宋体" w:eastAsia="宋体" w:cs="宋体"/>
          <w:color w:val="auto"/>
          <w:kern w:val="0"/>
          <w:sz w:val="24"/>
          <w:szCs w:val="24"/>
        </w:rPr>
        <w:t>平台对用户在工作台中操作门户的信息进行日志记录。包括日志类型、操作对象、操作对象ID、操作类型、操作用户、时间段和操作结果等属性，同时提供查询功能以便于管理员或领导对各级用户的门户操作内容进行追溯。</w:t>
      </w:r>
      <w:r>
        <w:rPr>
          <w:rFonts w:hint="eastAsia" w:ascii="宋体" w:hAnsi="宋体" w:cs="宋体"/>
          <w:color w:val="auto"/>
          <w:kern w:val="0"/>
          <w:sz w:val="24"/>
          <w:szCs w:val="24"/>
          <w:lang w:val="en-US" w:eastAsia="zh-CN"/>
        </w:rPr>
        <w:t>B.</w:t>
      </w:r>
      <w:r>
        <w:rPr>
          <w:rFonts w:hint="eastAsia" w:ascii="宋体" w:hAnsi="宋体" w:eastAsia="宋体" w:cs="宋体"/>
          <w:color w:val="auto"/>
          <w:sz w:val="24"/>
          <w:szCs w:val="24"/>
          <w:lang w:val="en-US" w:eastAsia="zh-CN"/>
        </w:rPr>
        <w:t>终端应用访问日志</w:t>
      </w:r>
      <w:r>
        <w:rPr>
          <w:rFonts w:hint="eastAsia" w:ascii="宋体" w:hAnsi="宋体" w:cs="宋体"/>
          <w:color w:val="auto"/>
          <w:sz w:val="24"/>
          <w:szCs w:val="24"/>
          <w:lang w:val="en-US" w:eastAsia="zh-CN"/>
        </w:rPr>
        <w:t>：</w:t>
      </w:r>
      <w:r>
        <w:rPr>
          <w:rFonts w:hint="eastAsia" w:ascii="宋体" w:hAnsi="宋体" w:eastAsia="宋体" w:cs="宋体"/>
          <w:color w:val="auto"/>
          <w:kern w:val="0"/>
          <w:sz w:val="24"/>
          <w:szCs w:val="24"/>
          <w:lang w:val="zh-CN"/>
        </w:rPr>
        <w:t>日志记录系统针对用户访问的</w:t>
      </w:r>
      <w:r>
        <w:rPr>
          <w:rFonts w:hint="eastAsia" w:ascii="宋体" w:hAnsi="宋体" w:eastAsia="宋体" w:cs="宋体"/>
          <w:color w:val="auto"/>
          <w:kern w:val="0"/>
          <w:sz w:val="24"/>
          <w:szCs w:val="24"/>
        </w:rPr>
        <w:t>终端上的</w:t>
      </w:r>
      <w:r>
        <w:rPr>
          <w:rFonts w:hint="eastAsia" w:ascii="宋体" w:hAnsi="宋体" w:eastAsia="宋体" w:cs="宋体"/>
          <w:color w:val="auto"/>
          <w:kern w:val="0"/>
          <w:sz w:val="24"/>
          <w:szCs w:val="24"/>
          <w:lang w:val="zh-CN"/>
        </w:rPr>
        <w:t>应用进行记录跟踪，实时查看操作用户对于应用系统的访问情况。</w:t>
      </w:r>
      <w:r>
        <w:rPr>
          <w:rFonts w:hint="eastAsia" w:ascii="宋体" w:hAnsi="宋体" w:cs="宋体"/>
          <w:color w:val="auto"/>
          <w:sz w:val="24"/>
          <w:szCs w:val="24"/>
          <w:lang w:val="en-US" w:eastAsia="zh-CN"/>
        </w:rPr>
        <w:t>C.</w:t>
      </w:r>
      <w:r>
        <w:rPr>
          <w:rFonts w:hint="eastAsia" w:ascii="宋体" w:hAnsi="宋体" w:eastAsia="宋体" w:cs="宋体"/>
          <w:color w:val="auto"/>
          <w:sz w:val="24"/>
          <w:szCs w:val="24"/>
          <w:lang w:val="en-US" w:eastAsia="zh-CN"/>
        </w:rPr>
        <w:t>业务处理日志</w:t>
      </w:r>
      <w:r>
        <w:rPr>
          <w:rFonts w:hint="eastAsia" w:ascii="宋体" w:hAnsi="宋体" w:cs="宋体"/>
          <w:color w:val="auto"/>
          <w:sz w:val="24"/>
          <w:szCs w:val="24"/>
          <w:lang w:val="en-US" w:eastAsia="zh-CN"/>
        </w:rPr>
        <w:t>：</w:t>
      </w:r>
      <w:r>
        <w:rPr>
          <w:rFonts w:hint="eastAsia" w:ascii="宋体" w:hAnsi="宋体" w:eastAsia="宋体" w:cs="宋体"/>
          <w:color w:val="auto"/>
          <w:kern w:val="0"/>
          <w:sz w:val="24"/>
          <w:szCs w:val="24"/>
          <w:lang w:val="zh-CN"/>
        </w:rPr>
        <w:t>日志记录系统针对一些审批处理流程</w:t>
      </w:r>
      <w:r>
        <w:rPr>
          <w:rFonts w:hint="eastAsia" w:ascii="宋体" w:hAnsi="宋体" w:eastAsia="宋体" w:cs="宋体"/>
          <w:color w:val="auto"/>
          <w:kern w:val="0"/>
          <w:sz w:val="24"/>
          <w:szCs w:val="24"/>
        </w:rPr>
        <w:t>如预约申请、积分兑换和电子书信</w:t>
      </w:r>
      <w:r>
        <w:rPr>
          <w:rFonts w:hint="eastAsia" w:ascii="宋体" w:hAnsi="宋体" w:eastAsia="宋体" w:cs="宋体"/>
          <w:color w:val="auto"/>
          <w:kern w:val="0"/>
          <w:sz w:val="24"/>
          <w:szCs w:val="24"/>
          <w:lang w:val="zh-CN"/>
        </w:rPr>
        <w:t>等处理进行日志记录跟踪，以备精确定位系统问题。</w:t>
      </w:r>
    </w:p>
    <w:p w14:paraId="369F22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rPr>
        <w:t>统一业务办理</w:t>
      </w:r>
    </w:p>
    <w:p w14:paraId="498DEE42">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lang w:val="en-US" w:eastAsia="zh-CN"/>
        </w:rPr>
        <w:t>A.</w:t>
      </w:r>
      <w:r>
        <w:rPr>
          <w:rFonts w:hint="eastAsia" w:ascii="宋体" w:hAnsi="宋体" w:eastAsia="宋体" w:cs="宋体"/>
          <w:color w:val="auto"/>
          <w:sz w:val="24"/>
          <w:szCs w:val="24"/>
          <w:lang w:val="en-US" w:eastAsia="zh-CN"/>
        </w:rPr>
        <w:t>审批管理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fill="FFFFFF"/>
          <w:lang w:val="en-US" w:eastAsia="zh-CN" w:bidi="ar"/>
        </w:rPr>
        <w:t>审批管理是实现对从业人员的物品申领、积分兑换、电子书信等业务进行审批办理。审批管理需要支持流程自定义，可增减审批环节与人员，支持多人会签、或签等条件设置，支持根据不同的审批条件自动切换不同的审批流程。支持表单组件编辑，通过拖拉拽的方式自定义表单内容和字段。管理员可根据日常管理需要，手动新增或删减审批项目，不需要对系统本身进行更新、升级等操作</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rPr>
        <w:br w:type="textWrapping"/>
      </w:r>
      <w:r>
        <w:rPr>
          <w:rFonts w:hint="eastAsia" w:ascii="宋体" w:hAnsi="宋体" w:cs="宋体"/>
          <w:color w:val="auto"/>
          <w:sz w:val="24"/>
          <w:szCs w:val="24"/>
          <w:shd w:val="clear" w:color="auto" w:fill="FFFFFF"/>
          <w:lang w:val="en-US" w:eastAsia="zh-CN"/>
        </w:rPr>
        <w:t xml:space="preserve">   B.</w:t>
      </w:r>
      <w:r>
        <w:rPr>
          <w:rFonts w:hint="eastAsia" w:ascii="宋体" w:hAnsi="宋体" w:eastAsia="宋体" w:cs="宋体"/>
          <w:color w:val="auto"/>
          <w:sz w:val="24"/>
          <w:szCs w:val="24"/>
          <w:lang w:val="en-US" w:eastAsia="zh-CN"/>
        </w:rPr>
        <w:t>回复管理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回复管理是实现对员工的相关应用</w:t>
      </w:r>
      <w:r>
        <w:rPr>
          <w:rFonts w:hint="eastAsia" w:ascii="宋体" w:hAnsi="宋体" w:eastAsia="宋体" w:cs="宋体"/>
          <w:color w:val="auto"/>
          <w:sz w:val="24"/>
          <w:szCs w:val="24"/>
          <w:shd w:val="clear" w:color="auto" w:fill="FFFFFF"/>
          <w:lang w:val="en-US" w:eastAsia="zh-CN"/>
        </w:rPr>
        <w:t>如警囚沟通的</w:t>
      </w:r>
      <w:r>
        <w:rPr>
          <w:rFonts w:hint="eastAsia" w:ascii="宋体" w:hAnsi="宋体" w:eastAsia="宋体" w:cs="宋体"/>
          <w:color w:val="auto"/>
          <w:sz w:val="24"/>
          <w:szCs w:val="24"/>
          <w:shd w:val="clear" w:color="auto" w:fill="FFFFFF"/>
        </w:rPr>
        <w:t>回复</w:t>
      </w:r>
      <w:r>
        <w:rPr>
          <w:rFonts w:hint="eastAsia" w:ascii="宋体" w:hAnsi="宋体" w:eastAsia="宋体" w:cs="宋体"/>
          <w:color w:val="auto"/>
          <w:sz w:val="24"/>
          <w:szCs w:val="24"/>
          <w:shd w:val="clear" w:color="auto" w:fill="FFFFFF"/>
          <w:lang w:val="en-US" w:eastAsia="zh-CN"/>
        </w:rPr>
        <w:t>进行</w:t>
      </w:r>
      <w:r>
        <w:rPr>
          <w:rFonts w:hint="eastAsia" w:ascii="宋体" w:hAnsi="宋体" w:eastAsia="宋体" w:cs="宋体"/>
          <w:color w:val="auto"/>
          <w:sz w:val="24"/>
          <w:szCs w:val="24"/>
          <w:shd w:val="clear" w:color="auto" w:fill="FFFFFF"/>
        </w:rPr>
        <w:t>统一处置办理。</w:t>
      </w:r>
      <w:r>
        <w:rPr>
          <w:rFonts w:hint="eastAsia" w:ascii="宋体" w:hAnsi="宋体" w:eastAsia="宋体" w:cs="宋体"/>
          <w:color w:val="auto"/>
          <w:sz w:val="24"/>
          <w:szCs w:val="24"/>
          <w:shd w:val="clear" w:color="auto" w:fill="FFFFFF"/>
        </w:rPr>
        <w:br w:type="textWrapping"/>
      </w:r>
      <w:r>
        <w:rPr>
          <w:rFonts w:hint="eastAsia" w:ascii="宋体" w:hAnsi="宋体" w:cs="宋体"/>
          <w:color w:val="auto"/>
          <w:sz w:val="24"/>
          <w:szCs w:val="24"/>
          <w:shd w:val="clear" w:color="auto" w:fill="FFFFFF"/>
          <w:lang w:val="en-US" w:eastAsia="zh-CN"/>
        </w:rPr>
        <w:t xml:space="preserve">   C.</w:t>
      </w:r>
      <w:r>
        <w:rPr>
          <w:rFonts w:hint="eastAsia" w:ascii="宋体" w:hAnsi="宋体" w:eastAsia="宋体" w:cs="宋体"/>
          <w:color w:val="auto"/>
          <w:sz w:val="24"/>
          <w:szCs w:val="24"/>
          <w:lang w:val="en-US" w:eastAsia="zh-CN"/>
        </w:rPr>
        <w:t>预约管理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预约管理是实现对员工的就诊预约、心理咨询预约、法律援助等各项和预约有关的业务审批办理，同时根据对应预约业务安排相应对象开展相应工作事项。</w:t>
      </w:r>
    </w:p>
    <w:p w14:paraId="55254CD7">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2" w:firstLineChars="20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D.</w:t>
      </w:r>
      <w:r>
        <w:rPr>
          <w:rFonts w:hint="eastAsia" w:ascii="宋体" w:hAnsi="宋体" w:eastAsia="宋体" w:cs="宋体"/>
          <w:color w:val="auto"/>
          <w:sz w:val="24"/>
          <w:szCs w:val="24"/>
          <w:lang w:val="en-US" w:eastAsia="zh-CN"/>
        </w:rPr>
        <w:t>监室管理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25，完全响应此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lang w:eastAsia="zh-CN"/>
        </w:rPr>
        <w:t>）</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可由管理人员指定后勤犯进行监室信息管理，主要包括以下内容：</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shd w:val="clear" w:color="auto" w:fill="FFFFFF"/>
        </w:rPr>
        <w:t>监室类型</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管理人员通过管理平台可以设置监室管理等级，例如宽管、一般、严管等，以区分不同监舍的管理模式，在监室智能终端设备上可快速查询当前监舍的类型；</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shd w:val="clear" w:color="auto" w:fill="FFFFFF"/>
        </w:rPr>
        <w:t>监室流动红旗评定、优秀监室评定（管理人员设定）</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rPr>
        <w:t>可对指定监室设置流动红旗及优秀监室，流动红旗以及优秀监室具备特殊标识，标识将默认显示则指定监室的智能终端设备中，管理人员或员工可快速进行判别，未获得流动红旗或优秀评定的监室，也可以查询当期的优秀监室信息，以建立良性监管模式。</w:t>
      </w:r>
      <w:r>
        <w:rPr>
          <w:rFonts w:hint="eastAsia" w:ascii="宋体" w:hAnsi="宋体" w:cs="宋体"/>
          <w:color w:val="auto"/>
          <w:sz w:val="24"/>
          <w:szCs w:val="24"/>
          <w:lang w:val="en-US" w:eastAsia="zh-CN"/>
        </w:rPr>
        <w:t>c.</w:t>
      </w:r>
      <w:r>
        <w:rPr>
          <w:rFonts w:hint="eastAsia" w:ascii="宋体" w:hAnsi="宋体" w:eastAsia="宋体" w:cs="宋体"/>
          <w:color w:val="auto"/>
          <w:sz w:val="24"/>
          <w:szCs w:val="24"/>
          <w:shd w:val="clear" w:color="auto" w:fill="FFFFFF"/>
        </w:rPr>
        <w:t>门牌管理</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rPr>
        <w:t>实现对监室员工的卫生责任区、床位、分管管理人员的设置管理功能，由责任管理人员设置每个员工的所属责任区以及床铺信息，通过智能终端的监室信息可查询员工个人所属小组、床铺等情况。实现员工一体化交互平台的监舍信息与业务一体化平台监舍小组管理信息同步。</w:t>
      </w:r>
      <w:r>
        <w:rPr>
          <w:rFonts w:hint="eastAsia" w:ascii="宋体" w:hAnsi="宋体" w:cs="宋体"/>
          <w:color w:val="auto"/>
          <w:sz w:val="24"/>
          <w:szCs w:val="24"/>
          <w:lang w:val="en-US" w:eastAsia="zh-CN"/>
        </w:rPr>
        <w:t>d.</w:t>
      </w:r>
      <w:r>
        <w:rPr>
          <w:rFonts w:hint="eastAsia" w:ascii="宋体" w:hAnsi="宋体" w:eastAsia="宋体" w:cs="宋体"/>
          <w:color w:val="auto"/>
          <w:sz w:val="24"/>
          <w:szCs w:val="24"/>
          <w:shd w:val="clear" w:color="auto" w:fill="FFFFFF"/>
        </w:rPr>
        <w:t>员工调动</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rPr>
        <w:t>支持对接狱政刑执软件，实时同步员工调动数据，在员工发生</w:t>
      </w:r>
      <w:r>
        <w:rPr>
          <w:rFonts w:hint="eastAsia" w:ascii="宋体" w:hAnsi="宋体" w:cs="宋体"/>
          <w:color w:val="auto"/>
          <w:sz w:val="24"/>
          <w:szCs w:val="24"/>
          <w:lang w:eastAsia="zh-CN"/>
        </w:rPr>
        <w:t>车间</w:t>
      </w:r>
      <w:r>
        <w:rPr>
          <w:rFonts w:hint="eastAsia" w:ascii="宋体" w:hAnsi="宋体" w:eastAsia="宋体" w:cs="宋体"/>
          <w:color w:val="auto"/>
          <w:sz w:val="24"/>
          <w:szCs w:val="24"/>
        </w:rPr>
        <w:t>、</w:t>
      </w:r>
      <w:r>
        <w:rPr>
          <w:rFonts w:hint="eastAsia" w:ascii="宋体" w:hAnsi="宋体" w:cs="宋体"/>
          <w:color w:val="auto"/>
          <w:sz w:val="24"/>
          <w:szCs w:val="24"/>
          <w:lang w:eastAsia="zh-CN"/>
        </w:rPr>
        <w:t>分厂区</w:t>
      </w:r>
      <w:r>
        <w:rPr>
          <w:rFonts w:hint="eastAsia" w:ascii="宋体" w:hAnsi="宋体" w:eastAsia="宋体" w:cs="宋体"/>
          <w:color w:val="auto"/>
          <w:sz w:val="24"/>
          <w:szCs w:val="24"/>
        </w:rPr>
        <w:t>调动时同步在一体化交互平台中完成信息维护，改变员工对应的业务权限，同步调整智能设备中的员工个人信息与归属。</w:t>
      </w:r>
      <w:r>
        <w:rPr>
          <w:rFonts w:hint="eastAsia" w:ascii="宋体" w:hAnsi="宋体" w:cs="宋体"/>
          <w:color w:val="auto"/>
          <w:sz w:val="24"/>
          <w:szCs w:val="24"/>
          <w:lang w:val="en-US" w:eastAsia="zh-CN"/>
        </w:rPr>
        <w:t>e.</w:t>
      </w:r>
      <w:r>
        <w:rPr>
          <w:rFonts w:hint="eastAsia" w:ascii="宋体" w:hAnsi="宋体" w:eastAsia="宋体" w:cs="宋体"/>
          <w:color w:val="auto"/>
          <w:sz w:val="24"/>
          <w:szCs w:val="24"/>
          <w:shd w:val="clear" w:color="auto" w:fill="FFFFFF"/>
        </w:rPr>
        <w:t>监室日动态</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rPr>
        <w:t>支持员工输入日动态的情况信息，号长输入，考虑语音识别录入，考虑数据的分类结构化。通过智能终端设备实现员工个人每日动态收集，由责任管理人员自主设置每日动态收集统计时间，员工自主通过终端完成信息填写，记录今日事宜、不足之处、明日改进方法等信息，平台将每日定时自动汇总各监室所有人员的日报，</w:t>
      </w:r>
      <w:r>
        <w:rPr>
          <w:rFonts w:hint="eastAsia" w:ascii="宋体" w:hAnsi="宋体" w:cs="宋体"/>
          <w:color w:val="auto"/>
          <w:sz w:val="24"/>
          <w:szCs w:val="24"/>
          <w:lang w:eastAsia="zh-CN"/>
        </w:rPr>
        <w:t>车间管理人员</w:t>
      </w:r>
      <w:r>
        <w:rPr>
          <w:rFonts w:hint="eastAsia" w:ascii="宋体" w:hAnsi="宋体" w:eastAsia="宋体" w:cs="宋体"/>
          <w:color w:val="auto"/>
          <w:sz w:val="24"/>
          <w:szCs w:val="24"/>
        </w:rPr>
        <w:t>可直观了解各个员工的动态详情，了解未提交日动态人员信息。</w:t>
      </w:r>
      <w:r>
        <w:rPr>
          <w:rFonts w:hint="eastAsia" w:ascii="宋体" w:hAnsi="宋体" w:cs="宋体"/>
          <w:color w:val="auto"/>
          <w:sz w:val="24"/>
          <w:szCs w:val="24"/>
          <w:lang w:val="en-US" w:eastAsia="zh-CN"/>
        </w:rPr>
        <w:t>f.</w:t>
      </w:r>
      <w:r>
        <w:rPr>
          <w:rFonts w:hint="eastAsia" w:ascii="宋体" w:hAnsi="宋体" w:eastAsia="宋体" w:cs="宋体"/>
          <w:color w:val="auto"/>
          <w:sz w:val="24"/>
          <w:szCs w:val="24"/>
          <w:lang w:val="en-US" w:eastAsia="zh-CN"/>
        </w:rPr>
        <w:t>食谱管理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管理人员通过一体化交互平台实现对每周、月食谱菜单信息进行编辑维护和发布，支持实现一体化交互平台与生产管理系统的周、月食谱信息同步，实现员工可以在终端查看每周、月食谱菜单。</w:t>
      </w:r>
    </w:p>
    <w:p w14:paraId="6858741A">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E.</w:t>
      </w:r>
      <w:r>
        <w:rPr>
          <w:rFonts w:hint="eastAsia" w:ascii="宋体" w:hAnsi="宋体" w:eastAsia="宋体" w:cs="宋体"/>
          <w:color w:val="auto"/>
          <w:sz w:val="24"/>
          <w:szCs w:val="24"/>
          <w:lang w:val="en-US" w:eastAsia="zh-CN"/>
        </w:rPr>
        <w:t>路费办理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26，完全响应此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的得0.5分</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w:t>
      </w:r>
      <w:r>
        <w:rPr>
          <w:rFonts w:hint="eastAsia" w:ascii="宋体" w:hAnsi="宋体" w:eastAsia="宋体" w:cs="宋体"/>
          <w:color w:val="auto"/>
          <w:sz w:val="24"/>
          <w:szCs w:val="24"/>
        </w:rPr>
        <w:t xml:space="preserve"> 根据</w:t>
      </w:r>
      <w:r>
        <w:rPr>
          <w:rFonts w:hint="eastAsia" w:ascii="宋体" w:hAnsi="宋体" w:cs="宋体"/>
          <w:color w:val="auto"/>
          <w:sz w:val="24"/>
          <w:szCs w:val="24"/>
          <w:lang w:val="en-US" w:eastAsia="zh-CN"/>
        </w:rPr>
        <w:t>景弘集团</w:t>
      </w:r>
      <w:r>
        <w:rPr>
          <w:rFonts w:hint="eastAsia" w:ascii="宋体" w:hAnsi="宋体" w:eastAsia="宋体" w:cs="宋体"/>
          <w:color w:val="auto"/>
          <w:sz w:val="24"/>
          <w:szCs w:val="24"/>
        </w:rPr>
        <w:t>路费发放计算规则实现路费自动计算，由</w:t>
      </w:r>
      <w:r>
        <w:rPr>
          <w:rFonts w:hint="eastAsia" w:ascii="宋体" w:hAnsi="宋体" w:cs="宋体"/>
          <w:color w:val="auto"/>
          <w:sz w:val="24"/>
          <w:szCs w:val="24"/>
          <w:lang w:val="en-US" w:eastAsia="zh-CN"/>
        </w:rPr>
        <w:t>狱政管理部门</w:t>
      </w:r>
      <w:r>
        <w:rPr>
          <w:rFonts w:hint="eastAsia" w:ascii="宋体" w:hAnsi="宋体" w:eastAsia="宋体" w:cs="宋体"/>
          <w:color w:val="auto"/>
          <w:sz w:val="24"/>
          <w:szCs w:val="24"/>
        </w:rPr>
        <w:t>工作人员对即将刑满释放的员工路费进行核对确认，并提请路费发放申请，由财务</w:t>
      </w:r>
      <w:r>
        <w:rPr>
          <w:rFonts w:hint="eastAsia" w:ascii="宋体" w:hAnsi="宋体" w:cs="宋体"/>
          <w:color w:val="auto"/>
          <w:sz w:val="24"/>
          <w:szCs w:val="24"/>
          <w:lang w:val="en-US" w:eastAsia="zh-CN"/>
        </w:rPr>
        <w:t>部门</w:t>
      </w:r>
      <w:r>
        <w:rPr>
          <w:rFonts w:hint="eastAsia" w:ascii="宋体" w:hAnsi="宋体" w:eastAsia="宋体" w:cs="宋体"/>
          <w:color w:val="auto"/>
          <w:sz w:val="24"/>
          <w:szCs w:val="24"/>
        </w:rPr>
        <w:t>是对路费发放申请进行审批确认，审批通过后直接提交资金管理系统，最终有资金管理系统完成转账操作，实现路费从单位银行账户转到</w:t>
      </w:r>
      <w:r>
        <w:rPr>
          <w:rFonts w:hint="eastAsia" w:ascii="宋体" w:hAnsi="宋体" w:cs="宋体"/>
          <w:color w:val="auto"/>
          <w:sz w:val="24"/>
          <w:szCs w:val="24"/>
          <w:lang w:val="en-US" w:eastAsia="zh-CN"/>
        </w:rPr>
        <w:t>员工</w:t>
      </w:r>
      <w:r>
        <w:rPr>
          <w:rFonts w:hint="eastAsia" w:ascii="宋体" w:hAnsi="宋体" w:eastAsia="宋体" w:cs="宋体"/>
          <w:color w:val="auto"/>
          <w:sz w:val="24"/>
          <w:szCs w:val="24"/>
        </w:rPr>
        <w:t>个人银行账户。</w:t>
      </w:r>
    </w:p>
    <w:p w14:paraId="54F7CD4D">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F.</w:t>
      </w:r>
      <w:r>
        <w:rPr>
          <w:rFonts w:hint="eastAsia" w:ascii="宋体" w:hAnsi="宋体" w:eastAsia="宋体" w:cs="宋体"/>
          <w:color w:val="auto"/>
          <w:sz w:val="24"/>
          <w:szCs w:val="24"/>
          <w:lang w:val="en-US" w:eastAsia="zh-CN"/>
        </w:rPr>
        <w:t>信息发布</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27，完全响应此项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的得0.5分</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w:t>
      </w:r>
      <w:r>
        <w:rPr>
          <w:rFonts w:hint="eastAsia" w:ascii="宋体" w:hAnsi="宋体" w:eastAsia="宋体" w:cs="宋体"/>
          <w:color w:val="auto"/>
          <w:kern w:val="0"/>
          <w:sz w:val="24"/>
          <w:szCs w:val="24"/>
        </w:rPr>
        <w:t>实现对政策法规、通知公告、公示信息等信息编辑维护、发布。实现分级信息发布，</w:t>
      </w:r>
      <w:r>
        <w:rPr>
          <w:rFonts w:hint="eastAsia" w:ascii="宋体" w:hAnsi="宋体" w:cs="宋体"/>
          <w:color w:val="auto"/>
          <w:kern w:val="0"/>
          <w:sz w:val="24"/>
          <w:szCs w:val="24"/>
          <w:lang w:eastAsia="zh-CN"/>
        </w:rPr>
        <w:t>车间</w:t>
      </w:r>
      <w:r>
        <w:rPr>
          <w:rFonts w:hint="eastAsia" w:ascii="宋体" w:hAnsi="宋体" w:eastAsia="宋体" w:cs="宋体"/>
          <w:color w:val="auto"/>
          <w:kern w:val="0"/>
          <w:sz w:val="24"/>
          <w:szCs w:val="24"/>
        </w:rPr>
        <w:t>管理人员可发布</w:t>
      </w:r>
      <w:r>
        <w:rPr>
          <w:rFonts w:hint="eastAsia" w:ascii="宋体" w:hAnsi="宋体" w:cs="宋体"/>
          <w:color w:val="auto"/>
          <w:kern w:val="0"/>
          <w:sz w:val="24"/>
          <w:szCs w:val="24"/>
          <w:lang w:eastAsia="zh-CN"/>
        </w:rPr>
        <w:t>车间</w:t>
      </w:r>
      <w:r>
        <w:rPr>
          <w:rFonts w:hint="eastAsia" w:ascii="宋体" w:hAnsi="宋体" w:eastAsia="宋体" w:cs="宋体"/>
          <w:color w:val="auto"/>
          <w:kern w:val="0"/>
          <w:sz w:val="24"/>
          <w:szCs w:val="24"/>
        </w:rPr>
        <w:t>信息，所属</w:t>
      </w:r>
      <w:r>
        <w:rPr>
          <w:rFonts w:hint="eastAsia" w:ascii="宋体" w:hAnsi="宋体" w:cs="宋体"/>
          <w:color w:val="auto"/>
          <w:kern w:val="0"/>
          <w:sz w:val="24"/>
          <w:szCs w:val="24"/>
          <w:lang w:eastAsia="zh-CN"/>
        </w:rPr>
        <w:t>车间</w:t>
      </w:r>
      <w:r>
        <w:rPr>
          <w:rFonts w:hint="eastAsia" w:ascii="宋体" w:hAnsi="宋体" w:eastAsia="宋体" w:cs="宋体"/>
          <w:color w:val="auto"/>
          <w:kern w:val="0"/>
          <w:sz w:val="24"/>
          <w:szCs w:val="24"/>
        </w:rPr>
        <w:t>员工可查看，</w:t>
      </w:r>
      <w:r>
        <w:rPr>
          <w:rFonts w:hint="eastAsia" w:ascii="宋体" w:hAnsi="宋体" w:cs="宋体"/>
          <w:color w:val="auto"/>
          <w:kern w:val="0"/>
          <w:sz w:val="24"/>
          <w:szCs w:val="24"/>
          <w:lang w:eastAsia="zh-CN"/>
        </w:rPr>
        <w:t>分厂区领导</w:t>
      </w:r>
      <w:r>
        <w:rPr>
          <w:rFonts w:hint="eastAsia" w:ascii="宋体" w:hAnsi="宋体" w:eastAsia="宋体" w:cs="宋体"/>
          <w:color w:val="auto"/>
          <w:kern w:val="0"/>
          <w:sz w:val="24"/>
          <w:szCs w:val="24"/>
        </w:rPr>
        <w:t>可发布</w:t>
      </w:r>
      <w:r>
        <w:rPr>
          <w:rFonts w:hint="eastAsia" w:ascii="宋体" w:hAnsi="宋体" w:cs="宋体"/>
          <w:color w:val="auto"/>
          <w:kern w:val="0"/>
          <w:sz w:val="24"/>
          <w:szCs w:val="24"/>
          <w:lang w:eastAsia="zh-CN"/>
        </w:rPr>
        <w:t>分厂区</w:t>
      </w:r>
      <w:r>
        <w:rPr>
          <w:rFonts w:hint="eastAsia" w:ascii="宋体" w:hAnsi="宋体" w:eastAsia="宋体" w:cs="宋体"/>
          <w:color w:val="auto"/>
          <w:kern w:val="0"/>
          <w:sz w:val="24"/>
          <w:szCs w:val="24"/>
        </w:rPr>
        <w:t>信息，所属</w:t>
      </w:r>
      <w:r>
        <w:rPr>
          <w:rFonts w:hint="eastAsia" w:ascii="宋体" w:hAnsi="宋体" w:cs="宋体"/>
          <w:color w:val="auto"/>
          <w:kern w:val="0"/>
          <w:sz w:val="24"/>
          <w:szCs w:val="24"/>
          <w:lang w:eastAsia="zh-CN"/>
        </w:rPr>
        <w:t>分厂区</w:t>
      </w:r>
      <w:r>
        <w:rPr>
          <w:rFonts w:hint="eastAsia" w:ascii="宋体" w:hAnsi="宋体" w:eastAsia="宋体" w:cs="宋体"/>
          <w:color w:val="auto"/>
          <w:kern w:val="0"/>
          <w:sz w:val="24"/>
          <w:szCs w:val="24"/>
        </w:rPr>
        <w:t>员工可查看，科室管理人员可发布</w:t>
      </w:r>
      <w:r>
        <w:rPr>
          <w:rFonts w:hint="eastAsia" w:ascii="宋体" w:hAnsi="宋体" w:cs="宋体"/>
          <w:color w:val="auto"/>
          <w:kern w:val="0"/>
          <w:sz w:val="24"/>
          <w:szCs w:val="24"/>
          <w:lang w:val="en-US" w:eastAsia="zh-CN"/>
        </w:rPr>
        <w:t>子公司企业</w:t>
      </w:r>
      <w:r>
        <w:rPr>
          <w:rFonts w:hint="eastAsia" w:ascii="宋体" w:hAnsi="宋体" w:eastAsia="宋体" w:cs="宋体"/>
          <w:color w:val="auto"/>
          <w:kern w:val="0"/>
          <w:sz w:val="24"/>
          <w:szCs w:val="24"/>
        </w:rPr>
        <w:t>信息，所属</w:t>
      </w:r>
      <w:r>
        <w:rPr>
          <w:rFonts w:hint="eastAsia" w:ascii="宋体" w:hAnsi="宋体" w:cs="宋体"/>
          <w:color w:val="auto"/>
          <w:kern w:val="0"/>
          <w:sz w:val="24"/>
          <w:szCs w:val="24"/>
          <w:lang w:val="en-US" w:eastAsia="zh-CN"/>
        </w:rPr>
        <w:t>子公司企业</w:t>
      </w:r>
      <w:r>
        <w:rPr>
          <w:rFonts w:hint="eastAsia" w:ascii="宋体" w:hAnsi="宋体" w:eastAsia="宋体" w:cs="宋体"/>
          <w:color w:val="auto"/>
          <w:kern w:val="0"/>
          <w:sz w:val="24"/>
          <w:szCs w:val="24"/>
        </w:rPr>
        <w:t>员工可查看，省局管理人员可发布省局信息，全省员工可查看。信息发布支持自定义分类，不同的发布信息可以同时属于一种或者多种分类。</w:t>
      </w:r>
    </w:p>
    <w:p w14:paraId="4971AFF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G.</w:t>
      </w:r>
      <w:r>
        <w:rPr>
          <w:rFonts w:hint="eastAsia" w:ascii="宋体" w:hAnsi="宋体" w:eastAsia="宋体" w:cs="宋体"/>
          <w:color w:val="auto"/>
          <w:sz w:val="24"/>
          <w:szCs w:val="24"/>
          <w:lang w:val="en-US" w:eastAsia="zh-CN"/>
        </w:rPr>
        <w:t>其他管理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具有对未来新增应用的后台管理的标准化接口，确保后续应用通过标准化接口能把应用后台管理相关功能接入进来。</w:t>
      </w:r>
    </w:p>
    <w:p w14:paraId="208922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11）</w:t>
      </w:r>
      <w:r>
        <w:rPr>
          <w:rFonts w:hint="eastAsia" w:ascii="宋体" w:hAnsi="宋体" w:eastAsia="宋体" w:cs="宋体"/>
          <w:b/>
          <w:bCs/>
          <w:color w:val="auto"/>
          <w:sz w:val="24"/>
          <w:szCs w:val="24"/>
        </w:rPr>
        <w:t>统一开发者中心</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28，完全响应此项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得1.5分</w:t>
      </w:r>
      <w:r>
        <w:rPr>
          <w:rFonts w:hint="eastAsia" w:ascii="宋体" w:hAnsi="宋体" w:cs="宋体"/>
          <w:b/>
          <w:bCs/>
          <w:color w:val="auto"/>
          <w:sz w:val="24"/>
          <w:szCs w:val="24"/>
          <w:lang w:eastAsia="zh-CN"/>
        </w:rPr>
        <w:t>）：</w:t>
      </w:r>
      <w:r>
        <w:rPr>
          <w:rFonts w:hint="eastAsia" w:ascii="宋体" w:hAnsi="宋体" w:eastAsia="宋体" w:cs="宋体"/>
          <w:color w:val="auto"/>
          <w:kern w:val="0"/>
          <w:sz w:val="24"/>
          <w:szCs w:val="24"/>
        </w:rPr>
        <w:t>员工一体化交互平台统一开发者中心基于整合各方软硬件优势，统一业务应用接口标准、统一人脸数据标准、统一数据共享接口标准，方便各单位在</w:t>
      </w:r>
      <w:r>
        <w:rPr>
          <w:rFonts w:hint="eastAsia" w:ascii="宋体" w:hAnsi="宋体" w:cs="宋体"/>
          <w:color w:val="auto"/>
          <w:kern w:val="0"/>
          <w:sz w:val="24"/>
          <w:szCs w:val="24"/>
          <w:lang w:val="en-US" w:eastAsia="zh-CN"/>
        </w:rPr>
        <w:t>子公司</w:t>
      </w:r>
      <w:r>
        <w:rPr>
          <w:rFonts w:hint="eastAsia" w:ascii="宋体" w:hAnsi="宋体" w:eastAsia="宋体" w:cs="宋体"/>
          <w:color w:val="auto"/>
          <w:kern w:val="0"/>
          <w:sz w:val="24"/>
          <w:szCs w:val="24"/>
        </w:rPr>
        <w:t>管理业务创新的自主化和标准化。员工一体化交互平台开发者中心主要功能特点有：</w:t>
      </w:r>
      <w:r>
        <w:rPr>
          <w:rFonts w:hint="eastAsia" w:ascii="宋体" w:hAnsi="宋体" w:cs="宋体"/>
          <w:color w:val="auto"/>
          <w:kern w:val="0"/>
          <w:sz w:val="24"/>
          <w:szCs w:val="24"/>
          <w:lang w:val="en-US" w:eastAsia="zh-CN"/>
        </w:rPr>
        <w:t>A.</w:t>
      </w:r>
      <w:r>
        <w:rPr>
          <w:rFonts w:hint="eastAsia" w:ascii="宋体" w:hAnsi="宋体" w:eastAsia="宋体" w:cs="宋体"/>
          <w:color w:val="auto"/>
          <w:kern w:val="0"/>
          <w:sz w:val="24"/>
          <w:szCs w:val="24"/>
        </w:rPr>
        <w:t>开发资源整合：该平台整合了多种开发资源，包括开发文档、技术教程、案例分析、第三方库等，方便开发者快速获取所需资料。</w:t>
      </w:r>
      <w:r>
        <w:rPr>
          <w:rFonts w:hint="eastAsia" w:ascii="宋体" w:hAnsi="宋体" w:cs="宋体"/>
          <w:color w:val="auto"/>
          <w:kern w:val="0"/>
          <w:sz w:val="24"/>
          <w:szCs w:val="24"/>
          <w:lang w:val="en-US" w:eastAsia="zh-CN"/>
        </w:rPr>
        <w:t>B.</w:t>
      </w:r>
      <w:r>
        <w:rPr>
          <w:rFonts w:hint="eastAsia" w:ascii="宋体" w:hAnsi="宋体" w:eastAsia="宋体" w:cs="宋体"/>
          <w:color w:val="auto"/>
          <w:kern w:val="0"/>
          <w:sz w:val="24"/>
          <w:szCs w:val="24"/>
        </w:rPr>
        <w:t>开发工具支持：平台提供了包括在线测环境、调试工具、性能分析工具。</w:t>
      </w:r>
      <w:r>
        <w:rPr>
          <w:rFonts w:hint="eastAsia" w:ascii="宋体" w:hAnsi="宋体" w:cs="宋体"/>
          <w:color w:val="auto"/>
          <w:kern w:val="0"/>
          <w:sz w:val="24"/>
          <w:szCs w:val="24"/>
          <w:lang w:val="en-US" w:eastAsia="zh-CN"/>
        </w:rPr>
        <w:t>C.</w:t>
      </w:r>
      <w:r>
        <w:rPr>
          <w:rFonts w:hint="eastAsia" w:ascii="宋体" w:hAnsi="宋体" w:eastAsia="宋体" w:cs="宋体"/>
          <w:color w:val="auto"/>
          <w:kern w:val="0"/>
          <w:sz w:val="24"/>
          <w:szCs w:val="24"/>
        </w:rPr>
        <w:t>统一身份认证：通过与云平台身份认证系统的集成，开发者中心提供了统一的身份认证服务，方便开发者管理和使用自己的开发账号。</w:t>
      </w:r>
      <w:r>
        <w:rPr>
          <w:rFonts w:hint="eastAsia" w:ascii="宋体" w:hAnsi="宋体" w:cs="宋体"/>
          <w:color w:val="auto"/>
          <w:kern w:val="0"/>
          <w:sz w:val="24"/>
          <w:szCs w:val="24"/>
          <w:lang w:val="en-US" w:eastAsia="zh-CN"/>
        </w:rPr>
        <w:t>D.</w:t>
      </w:r>
      <w:r>
        <w:rPr>
          <w:rFonts w:hint="eastAsia" w:ascii="宋体" w:hAnsi="宋体" w:eastAsia="宋体" w:cs="宋体"/>
          <w:color w:val="auto"/>
          <w:kern w:val="0"/>
          <w:sz w:val="24"/>
          <w:szCs w:val="24"/>
        </w:rPr>
        <w:t>接口部署与审核：开发者可以将开发的接口服务上架到平台上，审核通过后可以进行实时监控、版本管理和运行状态维护。</w:t>
      </w:r>
      <w:r>
        <w:rPr>
          <w:rFonts w:hint="eastAsia" w:ascii="宋体" w:hAnsi="宋体" w:cs="宋体"/>
          <w:color w:val="auto"/>
          <w:kern w:val="0"/>
          <w:sz w:val="24"/>
          <w:szCs w:val="24"/>
          <w:lang w:val="en-US" w:eastAsia="zh-CN"/>
        </w:rPr>
        <w:t>E.</w:t>
      </w:r>
      <w:r>
        <w:rPr>
          <w:rFonts w:hint="eastAsia" w:ascii="宋体" w:hAnsi="宋体" w:eastAsia="宋体" w:cs="宋体"/>
          <w:color w:val="auto"/>
          <w:kern w:val="0"/>
          <w:sz w:val="24"/>
          <w:szCs w:val="24"/>
        </w:rPr>
        <w:t>安全保障：平台具备完善的安全保障机制，包括访问控制、数据加密、安全审计等措施，确保开发者及其应用的数据安全。</w:t>
      </w:r>
      <w:r>
        <w:rPr>
          <w:rFonts w:hint="eastAsia" w:ascii="宋体" w:hAnsi="宋体" w:cs="宋体"/>
          <w:color w:val="auto"/>
          <w:sz w:val="24"/>
          <w:szCs w:val="24"/>
          <w:lang w:val="en-US" w:eastAsia="zh-CN"/>
        </w:rPr>
        <w:t>F.</w:t>
      </w:r>
      <w:r>
        <w:rPr>
          <w:rFonts w:hint="eastAsia" w:ascii="宋体" w:hAnsi="宋体" w:eastAsia="宋体" w:cs="宋体"/>
          <w:color w:val="auto"/>
          <w:sz w:val="24"/>
          <w:szCs w:val="24"/>
          <w:lang w:val="en-US" w:eastAsia="zh-CN"/>
        </w:rPr>
        <w:t>接口开发中心</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接口服务中心是员工一体化交互平台开发者中心的重要组件模块，它为</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提供了一套统一的接口管理系统，</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可以在该功能模块实现接口检索，接口调用模拟与测试，编程示列等。</w:t>
      </w:r>
      <w:r>
        <w:rPr>
          <w:rFonts w:hint="eastAsia" w:ascii="宋体" w:hAnsi="宋体" w:eastAsia="宋体" w:cs="宋体"/>
          <w:color w:val="auto"/>
          <w:sz w:val="24"/>
          <w:szCs w:val="24"/>
          <w:lang w:val="en-US" w:eastAsia="zh-CN"/>
        </w:rPr>
        <w:t>具体功能包含接口统一管理、接口安全性保障、接口请求模拟与测试以及接口文档生成与导出。</w:t>
      </w:r>
      <w:r>
        <w:rPr>
          <w:rFonts w:hint="eastAsia" w:ascii="宋体" w:hAnsi="宋体" w:cs="宋体"/>
          <w:color w:val="auto"/>
          <w:sz w:val="24"/>
          <w:szCs w:val="24"/>
          <w:lang w:val="en-US" w:eastAsia="zh-CN"/>
        </w:rPr>
        <w:t>G.</w:t>
      </w:r>
      <w:r>
        <w:rPr>
          <w:rFonts w:hint="eastAsia" w:ascii="宋体" w:hAnsi="宋体" w:eastAsia="宋体" w:cs="宋体"/>
          <w:color w:val="auto"/>
          <w:sz w:val="24"/>
          <w:szCs w:val="24"/>
          <w:lang w:val="en-US" w:eastAsia="zh-CN"/>
        </w:rPr>
        <w:t>开发文档中心</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开发文档中心是员工一体化交互平台开发者中的一个重要组件，为</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提供一套完整的开发文档和工具，以支持他们在平台上进行应用程序的开发和集成。</w:t>
      </w:r>
      <w:r>
        <w:rPr>
          <w:rFonts w:hint="eastAsia" w:ascii="宋体" w:hAnsi="宋体" w:eastAsia="宋体" w:cs="宋体"/>
          <w:color w:val="auto"/>
          <w:sz w:val="24"/>
          <w:szCs w:val="24"/>
          <w:lang w:val="en-US" w:eastAsia="zh-CN"/>
        </w:rPr>
        <w:t>主要功能包含接口能力描述、接口响应含义、接口代码示例、接口开发工具、接口开发指南、接口技术教程、接口版本更新。</w:t>
      </w:r>
      <w:r>
        <w:rPr>
          <w:rFonts w:hint="eastAsia" w:ascii="宋体" w:hAnsi="宋体" w:cs="宋体"/>
          <w:color w:val="auto"/>
          <w:sz w:val="24"/>
          <w:szCs w:val="24"/>
          <w:lang w:val="en-US" w:eastAsia="zh-CN"/>
        </w:rPr>
        <w:t>H.</w:t>
      </w:r>
      <w:r>
        <w:rPr>
          <w:rFonts w:hint="eastAsia" w:ascii="宋体" w:hAnsi="宋体" w:eastAsia="宋体" w:cs="宋体"/>
          <w:color w:val="auto"/>
          <w:sz w:val="24"/>
          <w:szCs w:val="24"/>
          <w:lang w:val="en-US" w:eastAsia="zh-CN"/>
        </w:rPr>
        <w:t>接口服务管理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接口服务管理模块是</w:t>
      </w:r>
      <w:r>
        <w:rPr>
          <w:rFonts w:hint="eastAsia" w:ascii="宋体" w:hAnsi="宋体" w:cs="宋体"/>
          <w:color w:val="auto"/>
          <w:sz w:val="24"/>
          <w:szCs w:val="24"/>
          <w:lang w:val="en-US" w:eastAsia="zh-CN"/>
        </w:rPr>
        <w:t>统一开发者</w:t>
      </w:r>
      <w:r>
        <w:rPr>
          <w:rFonts w:hint="eastAsia" w:ascii="宋体" w:hAnsi="宋体" w:eastAsia="宋体" w:cs="宋体"/>
          <w:color w:val="auto"/>
          <w:sz w:val="24"/>
          <w:szCs w:val="24"/>
        </w:rPr>
        <w:t>中心的重要组成部分，主要负责管理开发者的信息和相关接口服务，为</w:t>
      </w:r>
      <w:r>
        <w:rPr>
          <w:rFonts w:hint="eastAsia" w:ascii="宋体" w:hAnsi="宋体" w:cs="宋体"/>
          <w:color w:val="auto"/>
          <w:sz w:val="24"/>
          <w:szCs w:val="24"/>
          <w:lang w:val="en-US" w:eastAsia="zh-CN"/>
        </w:rPr>
        <w:t>使用者</w:t>
      </w:r>
      <w:r>
        <w:rPr>
          <w:rFonts w:hint="eastAsia" w:ascii="宋体" w:hAnsi="宋体" w:eastAsia="宋体" w:cs="宋体"/>
          <w:color w:val="auto"/>
          <w:sz w:val="24"/>
          <w:szCs w:val="24"/>
        </w:rPr>
        <w:t>开发者提供全面的支持和服务。</w:t>
      </w:r>
      <w:r>
        <w:rPr>
          <w:rFonts w:hint="eastAsia" w:ascii="宋体" w:hAnsi="宋体" w:eastAsia="宋体" w:cs="宋体"/>
          <w:color w:val="auto"/>
          <w:sz w:val="24"/>
          <w:szCs w:val="24"/>
          <w:lang w:val="en-US" w:eastAsia="zh-CN"/>
        </w:rPr>
        <w:t>主要功能包括接口注册认证、接口审核、接口权限管理、密钥管理、用量监测和接口发布与下架。</w:t>
      </w:r>
    </w:p>
    <w:p w14:paraId="5FEA2A75">
      <w:pPr>
        <w:spacing w:line="360" w:lineRule="auto"/>
        <w:outlineLvl w:val="3"/>
        <w:rPr>
          <w:rFonts w:hint="eastAsia"/>
          <w:b/>
          <w:bCs/>
          <w:sz w:val="24"/>
          <w:lang w:val="en-US" w:eastAsia="zh-CN"/>
        </w:rPr>
      </w:pPr>
      <w:r>
        <w:rPr>
          <w:rFonts w:hint="eastAsia"/>
          <w:b/>
          <w:bCs/>
          <w:sz w:val="24"/>
          <w:lang w:val="en-US" w:eastAsia="zh-CN"/>
        </w:rPr>
        <w:t>（2）员工APP应用软件</w:t>
      </w:r>
    </w:p>
    <w:p w14:paraId="0E6726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员工APP应用软件为员工定制开发的，</w:t>
      </w:r>
      <w:r>
        <w:rPr>
          <w:rFonts w:hint="eastAsia" w:ascii="宋体" w:hAnsi="宋体" w:eastAsia="宋体" w:cs="宋体"/>
          <w:color w:val="auto"/>
          <w:kern w:val="0"/>
          <w:sz w:val="24"/>
          <w:szCs w:val="24"/>
          <w:lang w:val="en-US" w:eastAsia="zh-CN"/>
        </w:rPr>
        <w:t>主要功能有</w:t>
      </w:r>
      <w:r>
        <w:rPr>
          <w:rFonts w:hint="eastAsia" w:ascii="宋体" w:hAnsi="宋体" w:eastAsia="宋体" w:cs="宋体"/>
          <w:color w:val="auto"/>
          <w:kern w:val="0"/>
          <w:sz w:val="24"/>
          <w:szCs w:val="24"/>
        </w:rPr>
        <w:t>统一门户、自助购物、电子书信、信息发布、监室管理、人脸点名、积分兑换、可视对讲、一键报警、人像采集、个人中心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食谱查看、出监教育、监室日动态、警囚沟通、音视频点播。</w:t>
      </w:r>
      <w:r>
        <w:rPr>
          <w:rFonts w:hint="eastAsia" w:ascii="宋体" w:hAnsi="宋体" w:eastAsia="宋体" w:cs="宋体"/>
          <w:b w:val="0"/>
          <w:bCs w:val="0"/>
          <w:color w:val="auto"/>
          <w:sz w:val="24"/>
          <w:szCs w:val="24"/>
          <w:lang w:val="en-US" w:eastAsia="zh-CN"/>
        </w:rPr>
        <w:t>结合景弘集团的智能语音引擎，在信息交互终端仓内屏需要员工录入信息的相关应用APP增加语音专业、录音录像功能（如警囚沟通、电子书信）。交互终端在进行文字输入时，录入效率低下，应满足部分员工由于文化水平影响，甚至不会使用输入法输入文字。增加语音转写和录音录像功能后，员工可以使用语音输入自动转换成文字进行提问和咨询，使用录音录像功能将自己想说的话通过录音或录像的方式进行发布。管理人员可以在后台“回复管理”模块查看文字内容、录音或录像在线播放的方式了解员工的咨询诉求，并进行回复处理。能有效提升警囚沟通的效率。</w:t>
      </w:r>
    </w:p>
    <w:p w14:paraId="79F145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175"/>
        <w:textAlignment w:val="auto"/>
        <w:rPr>
          <w:rFonts w:hint="default" w:ascii="宋体" w:hAnsi="宋体" w:eastAsia="宋体" w:cs="宋体"/>
          <w:color w:val="auto"/>
          <w:sz w:val="24"/>
          <w:szCs w:val="24"/>
          <w:lang w:val="en-US"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2.1</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val="en-US" w:eastAsia="zh-CN"/>
        </w:rPr>
        <w:t>员工APP应用软件的开发，从统一门户到各业务APP子应用需适配主流终端设备的不同尺寸的屏幕、不同的分辨率和Android9.0及以上版本或鸿蒙操作系统，终端设备包含如主流不同厂家的监内屏、管理屏，PAD等，避免出现捆绑终端设备的情况。</w:t>
      </w:r>
      <w:r>
        <w:rPr>
          <w:rFonts w:hint="eastAsia" w:ascii="宋体" w:hAnsi="宋体" w:eastAsia="宋体" w:cs="宋体"/>
          <w:b/>
          <w:bCs/>
          <w:color w:val="auto"/>
          <w:sz w:val="24"/>
          <w:szCs w:val="24"/>
          <w:shd w:val="clear" w:color="FFFFFF" w:fill="D9D9D9"/>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29，</w:t>
      </w:r>
      <w:r>
        <w:rPr>
          <w:rFonts w:hint="eastAsia" w:ascii="宋体" w:hAnsi="宋体" w:cs="宋体"/>
          <w:b/>
          <w:bCs/>
          <w:color w:val="auto"/>
          <w:sz w:val="24"/>
          <w:szCs w:val="24"/>
          <w:shd w:val="clear" w:color="FFFFFF" w:fill="D9D9D9"/>
          <w:lang w:val="en-US" w:eastAsia="zh-CN"/>
        </w:rPr>
        <w:t>此项需</w:t>
      </w:r>
      <w:r>
        <w:rPr>
          <w:rFonts w:hint="eastAsia" w:ascii="宋体" w:hAnsi="宋体" w:eastAsia="宋体" w:cs="宋体"/>
          <w:b/>
          <w:bCs/>
          <w:color w:val="auto"/>
          <w:sz w:val="24"/>
          <w:szCs w:val="24"/>
          <w:shd w:val="clear" w:color="FFFFFF" w:fill="D9D9D9"/>
        </w:rPr>
        <w:t>完全响应</w:t>
      </w:r>
      <w:r>
        <w:rPr>
          <w:rFonts w:hint="eastAsia" w:ascii="宋体" w:hAnsi="宋体" w:cs="宋体"/>
          <w:b/>
          <w:bCs/>
          <w:color w:val="auto"/>
          <w:sz w:val="24"/>
          <w:szCs w:val="24"/>
          <w:shd w:val="clear" w:color="FFFFFF" w:fill="D9D9D9"/>
          <w:lang w:val="en-US" w:eastAsia="zh-CN"/>
        </w:rPr>
        <w:t>并提供承诺函</w:t>
      </w:r>
      <w:r>
        <w:rPr>
          <w:rFonts w:hint="eastAsia" w:ascii="宋体" w:hAnsi="宋体" w:eastAsia="宋体" w:cs="宋体"/>
          <w:b/>
          <w:bCs/>
          <w:color w:val="auto"/>
          <w:sz w:val="24"/>
          <w:szCs w:val="24"/>
          <w:shd w:val="clear" w:color="FFFFFF" w:fill="D9D9D9"/>
        </w:rPr>
        <w:t>此项</w:t>
      </w:r>
      <w:r>
        <w:rPr>
          <w:rFonts w:hint="eastAsia" w:ascii="宋体" w:hAnsi="宋体" w:cs="宋体"/>
          <w:b/>
          <w:bCs/>
          <w:color w:val="auto"/>
          <w:sz w:val="24"/>
          <w:szCs w:val="24"/>
          <w:shd w:val="clear" w:color="FFFFFF" w:fill="D9D9D9"/>
          <w:lang w:eastAsia="zh-CN"/>
        </w:rPr>
        <w:t>的</w:t>
      </w:r>
      <w:r>
        <w:rPr>
          <w:rFonts w:hint="eastAsia" w:ascii="宋体" w:hAnsi="宋体" w:eastAsia="宋体" w:cs="宋体"/>
          <w:b/>
          <w:bCs/>
          <w:color w:val="auto"/>
          <w:sz w:val="24"/>
          <w:szCs w:val="24"/>
          <w:shd w:val="clear" w:color="FFFFFF" w:fill="D9D9D9"/>
        </w:rPr>
        <w:t>得</w:t>
      </w:r>
      <w:r>
        <w:rPr>
          <w:rFonts w:hint="eastAsia" w:ascii="宋体" w:hAnsi="宋体" w:cs="宋体"/>
          <w:b/>
          <w:bCs/>
          <w:color w:val="auto"/>
          <w:sz w:val="24"/>
          <w:szCs w:val="24"/>
          <w:shd w:val="clear" w:color="FFFFFF" w:fill="D9D9D9"/>
          <w:lang w:val="en-US" w:eastAsia="zh-CN"/>
        </w:rPr>
        <w:t>0.5</w:t>
      </w:r>
      <w:r>
        <w:rPr>
          <w:rFonts w:hint="eastAsia" w:ascii="宋体" w:hAnsi="宋体" w:eastAsia="宋体" w:cs="宋体"/>
          <w:b/>
          <w:bCs/>
          <w:color w:val="auto"/>
          <w:sz w:val="24"/>
          <w:szCs w:val="24"/>
          <w:shd w:val="clear" w:color="FFFFFF" w:fill="D9D9D9"/>
        </w:rPr>
        <w:t>分）</w:t>
      </w:r>
    </w:p>
    <w:p w14:paraId="50EF6F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US" w:eastAsia="zh-CN"/>
        </w:rPr>
        <w:t>对于不同服务厂商开发的员工APP应用软件支持统一部署于应用服务服务器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若需要单独创建数据库，由管理人员统一分配数据库资源提供给服务厂商，有服务厂商建立与APP应用相关联的数据库表、视图、函数、存储过程等。</w:t>
      </w:r>
    </w:p>
    <w:p w14:paraId="6E8101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shd w:val="clear" w:color="auto" w:fill="FFFFFF"/>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统一门户</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30，完全响应此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统一门户是员工访问APP应用的统一入口，实现各种APP的统一集成接入、一键登录，包含各类通知公告、待办事项、应用程序等内容于一体的员工访问门户。符合满足已审核上架且有访问权限的应用程序才能在统一门户页面自动加载显示。</w:t>
      </w:r>
    </w:p>
    <w:p w14:paraId="06A962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自助购物</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31，完全响应此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的得1分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lang w:val="en-US" w:eastAsia="zh-CN"/>
        </w:rPr>
        <w:t>系统可与目前全省所有企业员工消费银行深度对接，可根据目前各个企业对接银行，建设相应网络链路，实现家属</w:t>
      </w:r>
      <w:r>
        <w:rPr>
          <w:rFonts w:hint="eastAsia" w:ascii="宋体" w:hAnsi="宋体" w:eastAsia="宋体" w:cs="宋体"/>
          <w:color w:val="auto"/>
          <w:sz w:val="24"/>
          <w:szCs w:val="24"/>
          <w:shd w:val="clear" w:color="auto" w:fill="FFFFFF"/>
          <w:lang w:val="en-US" w:eastAsia="zh-Hans"/>
        </w:rPr>
        <w:t>便捷</w:t>
      </w:r>
      <w:r>
        <w:rPr>
          <w:rFonts w:hint="eastAsia" w:ascii="宋体" w:hAnsi="宋体" w:eastAsia="宋体" w:cs="宋体"/>
          <w:color w:val="auto"/>
          <w:sz w:val="24"/>
          <w:szCs w:val="24"/>
          <w:shd w:val="clear" w:color="auto" w:fill="FFFFFF"/>
          <w:lang w:val="en-US" w:eastAsia="zh-CN"/>
        </w:rPr>
        <w:t>汇款、企业无钞化管理，同时构建狱内消费综合信息管理平台，支持一卡通及人脸识别，以智能触摸屏为应用载体搭建界面友好、操作便捷的企业生活用品电商平台，实现员工自助式购物，实现管理人员和供货超市利用系统完成备货、发货和退款等操作，资金数据与大账管理系统对接，实现员工购物全过程覆盖。支持管理人员端打印功能。其购物流程如下：</w:t>
      </w:r>
    </w:p>
    <w:p w14:paraId="672673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drawing>
          <wp:inline distT="0" distB="0" distL="114300" distR="114300">
            <wp:extent cx="6276340" cy="3504565"/>
            <wp:effectExtent l="0" t="0" r="10160" b="635"/>
            <wp:docPr id="4" name="图片 4" descr="购物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购物流程"/>
                    <pic:cNvPicPr>
                      <a:picLocks noChangeAspect="1"/>
                    </pic:cNvPicPr>
                  </pic:nvPicPr>
                  <pic:blipFill>
                    <a:blip r:embed="rId14"/>
                    <a:stretch>
                      <a:fillRect/>
                    </a:stretch>
                  </pic:blipFill>
                  <pic:spPr>
                    <a:xfrm>
                      <a:off x="0" y="0"/>
                      <a:ext cx="6276340" cy="3504565"/>
                    </a:xfrm>
                    <a:prstGeom prst="rect">
                      <a:avLst/>
                    </a:prstGeom>
                  </pic:spPr>
                </pic:pic>
              </a:graphicData>
            </a:graphic>
          </wp:inline>
        </w:drawing>
      </w:r>
    </w:p>
    <w:p w14:paraId="3D0EE32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支持现有厂商开发的商超购物应用上架和发布。其功能如下：</w:t>
      </w:r>
      <w:r>
        <w:rPr>
          <w:rFonts w:hint="eastAsia" w:ascii="宋体" w:hAnsi="宋体" w:cs="宋体"/>
          <w:color w:val="auto"/>
          <w:sz w:val="24"/>
          <w:szCs w:val="24"/>
          <w:lang w:val="en-US" w:eastAsia="zh-CN"/>
        </w:rPr>
        <w:t>A.</w:t>
      </w:r>
      <w:r>
        <w:rPr>
          <w:rFonts w:hint="eastAsia" w:ascii="宋体" w:hAnsi="宋体" w:eastAsia="宋体" w:cs="宋体"/>
          <w:b/>
          <w:bCs/>
          <w:color w:val="auto"/>
          <w:kern w:val="0"/>
          <w:sz w:val="24"/>
          <w:szCs w:val="24"/>
        </w:rPr>
        <w:t>商品信息查询</w:t>
      </w:r>
      <w:r>
        <w:rPr>
          <w:rFonts w:hint="eastAsia" w:ascii="宋体" w:hAnsi="宋体" w:cs="宋体"/>
          <w:b/>
          <w:bCs/>
          <w:color w:val="auto"/>
          <w:kern w:val="0"/>
          <w:sz w:val="24"/>
          <w:szCs w:val="24"/>
          <w:lang w:eastAsia="zh-CN"/>
        </w:rPr>
        <w:t>：</w:t>
      </w:r>
      <w:r>
        <w:rPr>
          <w:rFonts w:hint="eastAsia" w:ascii="宋体" w:hAnsi="宋体" w:eastAsia="宋体" w:cs="宋体"/>
          <w:color w:val="auto"/>
          <w:sz w:val="24"/>
          <w:szCs w:val="24"/>
          <w:lang w:val="en-US" w:eastAsia="zh-CN"/>
        </w:rPr>
        <w:t>员工</w:t>
      </w:r>
      <w:r>
        <w:rPr>
          <w:rFonts w:hint="eastAsia" w:ascii="宋体" w:hAnsi="宋体" w:eastAsia="宋体" w:cs="宋体"/>
          <w:color w:val="auto"/>
          <w:sz w:val="24"/>
          <w:szCs w:val="24"/>
        </w:rPr>
        <w:t>可以登录系统后进行商品信息界面查看，并根据需要事先记录所需的商品。</w:t>
      </w:r>
      <w:r>
        <w:rPr>
          <w:rFonts w:hint="eastAsia" w:ascii="宋体" w:hAnsi="宋体" w:cs="宋体"/>
          <w:color w:val="auto"/>
          <w:sz w:val="24"/>
          <w:szCs w:val="24"/>
          <w:lang w:val="en-US" w:eastAsia="zh-CN"/>
        </w:rPr>
        <w:t>B.</w:t>
      </w:r>
      <w:r>
        <w:rPr>
          <w:rFonts w:hint="eastAsia" w:ascii="宋体" w:hAnsi="宋体" w:eastAsia="宋体" w:cs="宋体"/>
          <w:b/>
          <w:bCs/>
          <w:color w:val="auto"/>
          <w:kern w:val="0"/>
          <w:sz w:val="24"/>
          <w:szCs w:val="24"/>
          <w:lang w:val="en-US" w:eastAsia="zh-CN"/>
        </w:rPr>
        <w:t>购物下单</w:t>
      </w:r>
      <w:r>
        <w:rPr>
          <w:rFonts w:hint="eastAsia" w:ascii="宋体" w:hAnsi="宋体" w:cs="宋体"/>
          <w:b/>
          <w:bCs/>
          <w:color w:val="auto"/>
          <w:kern w:val="0"/>
          <w:sz w:val="24"/>
          <w:szCs w:val="24"/>
          <w:lang w:eastAsia="zh-CN"/>
        </w:rPr>
        <w:t>：</w:t>
      </w:r>
      <w:r>
        <w:rPr>
          <w:rFonts w:hint="eastAsia" w:ascii="宋体" w:hAnsi="宋体" w:eastAsia="宋体" w:cs="宋体"/>
          <w:color w:val="auto"/>
          <w:sz w:val="24"/>
          <w:szCs w:val="24"/>
        </w:rPr>
        <w:t>进入自助购物模块后，</w:t>
      </w:r>
      <w:r>
        <w:rPr>
          <w:rFonts w:hint="eastAsia" w:ascii="宋体" w:hAnsi="宋体" w:eastAsia="宋体" w:cs="宋体"/>
          <w:color w:val="auto"/>
          <w:sz w:val="24"/>
          <w:szCs w:val="24"/>
          <w:lang w:val="en-US" w:eastAsia="zh-CN"/>
        </w:rPr>
        <w:t>通过人脸识别认证登录后</w:t>
      </w:r>
      <w:r>
        <w:rPr>
          <w:rFonts w:hint="eastAsia" w:ascii="宋体" w:hAnsi="宋体" w:eastAsia="宋体" w:cs="宋体"/>
          <w:color w:val="auto"/>
          <w:sz w:val="24"/>
          <w:szCs w:val="24"/>
        </w:rPr>
        <w:t>，系统会显示该卡上的总余额、本月消费限额及当前可以消费金额。</w:t>
      </w:r>
      <w:r>
        <w:rPr>
          <w:rFonts w:hint="eastAsia" w:ascii="宋体" w:hAnsi="宋体" w:eastAsia="宋体" w:cs="宋体"/>
          <w:color w:val="auto"/>
          <w:kern w:val="0"/>
          <w:sz w:val="24"/>
          <w:szCs w:val="24"/>
        </w:rPr>
        <w:t>采用“淘宝网购”可视化购物模式，管理员对营养餐、零食、生活用品、香烟、图书等消费项目进行分类定义后，</w:t>
      </w:r>
      <w:r>
        <w:rPr>
          <w:rFonts w:hint="eastAsia" w:ascii="宋体" w:hAnsi="宋体" w:eastAsia="宋体" w:cs="宋体"/>
          <w:color w:val="auto"/>
          <w:sz w:val="24"/>
          <w:szCs w:val="24"/>
          <w:lang w:val="en-US" w:eastAsia="zh-CN"/>
        </w:rPr>
        <w:t>员工</w:t>
      </w:r>
      <w:r>
        <w:rPr>
          <w:rFonts w:hint="eastAsia" w:ascii="宋体" w:hAnsi="宋体" w:eastAsia="宋体" w:cs="宋体"/>
          <w:color w:val="auto"/>
          <w:sz w:val="24"/>
          <w:szCs w:val="24"/>
        </w:rPr>
        <w:t>根据不同类别选择相应物品，</w:t>
      </w:r>
      <w:r>
        <w:rPr>
          <w:rFonts w:hint="eastAsia" w:ascii="宋体" w:hAnsi="宋体" w:eastAsia="宋体" w:cs="宋体"/>
          <w:color w:val="auto"/>
          <w:sz w:val="24"/>
          <w:szCs w:val="24"/>
          <w:lang w:val="en-US" w:eastAsia="zh-CN"/>
        </w:rPr>
        <w:t>选择</w:t>
      </w:r>
      <w:r>
        <w:rPr>
          <w:rFonts w:hint="eastAsia" w:ascii="宋体" w:hAnsi="宋体" w:eastAsia="宋体" w:cs="宋体"/>
          <w:color w:val="auto"/>
          <w:sz w:val="24"/>
          <w:szCs w:val="24"/>
        </w:rPr>
        <w:t>购买商品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在数量框中输入购买的数量加入购物车，</w:t>
      </w:r>
      <w:r>
        <w:rPr>
          <w:rFonts w:hint="eastAsia" w:ascii="宋体" w:hAnsi="宋体" w:eastAsia="宋体" w:cs="宋体"/>
          <w:color w:val="auto"/>
          <w:kern w:val="0"/>
          <w:sz w:val="24"/>
          <w:szCs w:val="24"/>
        </w:rPr>
        <w:t>自主完成商品进行点购</w:t>
      </w:r>
      <w:r>
        <w:rPr>
          <w:rFonts w:hint="eastAsia" w:ascii="宋体" w:hAnsi="宋体" w:eastAsia="宋体" w:cs="宋体"/>
          <w:color w:val="auto"/>
          <w:kern w:val="0"/>
          <w:sz w:val="24"/>
          <w:szCs w:val="24"/>
          <w:lang w:eastAsia="zh-CN"/>
        </w:rPr>
        <w:t>，</w:t>
      </w:r>
      <w:r>
        <w:rPr>
          <w:rFonts w:hint="eastAsia" w:ascii="宋体" w:hAnsi="宋体" w:eastAsia="宋体" w:cs="宋体"/>
          <w:color w:val="auto"/>
          <w:sz w:val="24"/>
          <w:szCs w:val="24"/>
        </w:rPr>
        <w:t>如果超过限购数量或是月消费退限额系统会自动提示；</w:t>
      </w:r>
      <w:r>
        <w:rPr>
          <w:rFonts w:hint="eastAsia" w:ascii="宋体" w:hAnsi="宋体" w:cs="宋体"/>
          <w:color w:val="auto"/>
          <w:kern w:val="0"/>
          <w:sz w:val="24"/>
          <w:szCs w:val="24"/>
          <w:lang w:val="en-US" w:eastAsia="zh-CN"/>
        </w:rPr>
        <w:t>C.</w:t>
      </w:r>
      <w:r>
        <w:rPr>
          <w:rFonts w:hint="eastAsia" w:ascii="宋体" w:hAnsi="宋体" w:eastAsia="宋体" w:cs="宋体"/>
          <w:b/>
          <w:bCs/>
          <w:color w:val="auto"/>
          <w:kern w:val="0"/>
          <w:sz w:val="24"/>
          <w:szCs w:val="24"/>
          <w:lang w:val="en-US" w:eastAsia="zh-CN"/>
        </w:rPr>
        <w:t>订单管理</w:t>
      </w:r>
      <w:r>
        <w:rPr>
          <w:rFonts w:hint="eastAsia" w:ascii="宋体" w:hAnsi="宋体" w:cs="宋体"/>
          <w:b/>
          <w:bCs/>
          <w:color w:val="auto"/>
          <w:kern w:val="0"/>
          <w:sz w:val="24"/>
          <w:szCs w:val="24"/>
          <w:lang w:val="en-US" w:eastAsia="zh-CN"/>
        </w:rPr>
        <w:t>：</w:t>
      </w:r>
      <w:r>
        <w:rPr>
          <w:rFonts w:hint="eastAsia" w:ascii="宋体" w:hAnsi="宋体" w:eastAsia="宋体" w:cs="宋体"/>
          <w:color w:val="auto"/>
          <w:kern w:val="0"/>
          <w:sz w:val="24"/>
          <w:szCs w:val="24"/>
          <w:lang w:val="en-US" w:eastAsia="zh-CN" w:bidi="ar-SA"/>
        </w:rPr>
        <w:t>员工可通过智能终端设备查询自己的购物记录、消费限制控制级别、账户余额等基础信息。在个人购物记录界面中，员工可查询个人每次购物商品的具体金额及数量。</w:t>
      </w:r>
      <w:r>
        <w:rPr>
          <w:rFonts w:hint="eastAsia" w:ascii="宋体" w:hAnsi="宋体" w:cs="宋体"/>
          <w:color w:val="auto"/>
          <w:kern w:val="0"/>
          <w:sz w:val="24"/>
          <w:szCs w:val="24"/>
          <w:lang w:val="en-US" w:eastAsia="zh-CN" w:bidi="ar-SA"/>
        </w:rPr>
        <w:t>D.</w:t>
      </w:r>
      <w:r>
        <w:rPr>
          <w:rFonts w:hint="eastAsia" w:ascii="宋体" w:hAnsi="宋体" w:eastAsia="宋体" w:cs="宋体"/>
          <w:b/>
          <w:bCs/>
          <w:color w:val="auto"/>
          <w:kern w:val="0"/>
          <w:sz w:val="24"/>
          <w:szCs w:val="24"/>
          <w:lang w:val="en-US" w:eastAsia="zh-CN"/>
        </w:rPr>
        <w:t>订单结算</w:t>
      </w:r>
      <w:r>
        <w:rPr>
          <w:rFonts w:hint="eastAsia" w:ascii="宋体" w:hAnsi="宋体" w:cs="宋体"/>
          <w:b/>
          <w:bCs/>
          <w:color w:val="auto"/>
          <w:kern w:val="0"/>
          <w:sz w:val="24"/>
          <w:szCs w:val="24"/>
          <w:lang w:val="en-US" w:eastAsia="zh-CN"/>
        </w:rPr>
        <w:t>：</w:t>
      </w:r>
      <w:r>
        <w:rPr>
          <w:rFonts w:hint="eastAsia" w:ascii="宋体" w:hAnsi="宋体" w:eastAsia="宋体" w:cs="宋体"/>
          <w:color w:val="auto"/>
          <w:sz w:val="24"/>
          <w:szCs w:val="24"/>
          <w:lang w:val="en-US" w:eastAsia="zh-CN"/>
        </w:rPr>
        <w:t>订单结算，将所下单选购的商品</w:t>
      </w:r>
      <w:r>
        <w:rPr>
          <w:rFonts w:hint="eastAsia" w:ascii="宋体" w:hAnsi="宋体" w:eastAsia="宋体" w:cs="宋体"/>
          <w:color w:val="auto"/>
          <w:sz w:val="24"/>
          <w:szCs w:val="24"/>
        </w:rPr>
        <w:t>显示结算金额，系统即生成消费订单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提交订单结算后</w:t>
      </w:r>
      <w:r>
        <w:rPr>
          <w:rFonts w:hint="eastAsia" w:ascii="宋体" w:hAnsi="宋体" w:eastAsia="宋体" w:cs="宋体"/>
          <w:color w:val="auto"/>
          <w:kern w:val="0"/>
          <w:sz w:val="24"/>
          <w:szCs w:val="24"/>
          <w:lang w:val="en-US" w:eastAsia="zh-CN" w:bidi="ar-SA"/>
        </w:rPr>
        <w:t>数据同步到各企业建设的员工资金管理系统实现与银行交易扣款，实现</w:t>
      </w:r>
      <w:r>
        <w:rPr>
          <w:rFonts w:hint="eastAsia" w:ascii="宋体" w:hAnsi="宋体" w:cs="宋体"/>
          <w:color w:val="auto"/>
          <w:kern w:val="0"/>
          <w:sz w:val="24"/>
          <w:szCs w:val="24"/>
          <w:lang w:val="en-US" w:eastAsia="zh-CN" w:bidi="ar-SA"/>
        </w:rPr>
        <w:t>子公司</w:t>
      </w:r>
      <w:r>
        <w:rPr>
          <w:rFonts w:hint="eastAsia" w:ascii="宋体" w:hAnsi="宋体" w:eastAsia="宋体" w:cs="宋体"/>
          <w:color w:val="auto"/>
          <w:kern w:val="0"/>
          <w:sz w:val="24"/>
          <w:szCs w:val="24"/>
          <w:lang w:val="en-US" w:eastAsia="zh-CN" w:bidi="ar-SA"/>
        </w:rPr>
        <w:t>财务与已采购商品的</w:t>
      </w:r>
      <w:r>
        <w:rPr>
          <w:rFonts w:hint="eastAsia" w:ascii="宋体" w:hAnsi="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进行账款结算。</w:t>
      </w:r>
      <w:r>
        <w:rPr>
          <w:rFonts w:hint="eastAsia" w:ascii="宋体" w:hAnsi="宋体" w:cs="宋体"/>
          <w:color w:val="auto"/>
          <w:kern w:val="0"/>
          <w:sz w:val="24"/>
          <w:szCs w:val="24"/>
          <w:lang w:val="en-US" w:eastAsia="zh-CN" w:bidi="ar-SA"/>
        </w:rPr>
        <w:t>E.</w:t>
      </w:r>
      <w:r>
        <w:rPr>
          <w:rFonts w:hint="eastAsia" w:ascii="宋体" w:hAnsi="宋体" w:eastAsia="宋体" w:cs="宋体"/>
          <w:b/>
          <w:bCs/>
          <w:color w:val="auto"/>
          <w:kern w:val="0"/>
          <w:sz w:val="24"/>
          <w:szCs w:val="24"/>
          <w:lang w:val="en-US" w:eastAsia="zh-CN"/>
        </w:rPr>
        <w:t>订单取消</w:t>
      </w:r>
      <w:r>
        <w:rPr>
          <w:rFonts w:hint="eastAsia" w:ascii="宋体" w:hAnsi="宋体" w:cs="宋体"/>
          <w:b/>
          <w:bCs/>
          <w:color w:val="auto"/>
          <w:kern w:val="0"/>
          <w:sz w:val="24"/>
          <w:szCs w:val="24"/>
          <w:lang w:val="en-US" w:eastAsia="zh-CN"/>
        </w:rPr>
        <w:t>：</w:t>
      </w:r>
      <w:r>
        <w:rPr>
          <w:rFonts w:hint="eastAsia" w:ascii="宋体" w:hAnsi="宋体" w:eastAsia="宋体" w:cs="宋体"/>
          <w:color w:val="auto"/>
          <w:sz w:val="24"/>
          <w:szCs w:val="24"/>
        </w:rPr>
        <w:t>由</w:t>
      </w:r>
      <w:r>
        <w:rPr>
          <w:rFonts w:hint="eastAsia" w:ascii="宋体" w:hAnsi="宋体" w:eastAsia="宋体" w:cs="宋体"/>
          <w:color w:val="auto"/>
          <w:sz w:val="24"/>
          <w:szCs w:val="24"/>
          <w:lang w:val="en-US" w:eastAsia="zh-CN"/>
        </w:rPr>
        <w:t>管理员</w:t>
      </w:r>
      <w:r>
        <w:rPr>
          <w:rFonts w:hint="eastAsia" w:ascii="宋体" w:hAnsi="宋体" w:eastAsia="宋体" w:cs="宋体"/>
          <w:color w:val="auto"/>
          <w:sz w:val="24"/>
          <w:szCs w:val="24"/>
        </w:rPr>
        <w:t>进入订单取消模块后，点选要取消的订单，系统判断是否可以取消，不可以</w:t>
      </w:r>
      <w:r>
        <w:rPr>
          <w:rFonts w:hint="eastAsia" w:ascii="宋体" w:hAnsi="宋体" w:eastAsia="宋体" w:cs="宋体"/>
          <w:color w:val="auto"/>
          <w:sz w:val="24"/>
          <w:szCs w:val="24"/>
          <w:lang w:eastAsia="zh-CN"/>
        </w:rPr>
        <w:t>取消则</w:t>
      </w:r>
      <w:r>
        <w:rPr>
          <w:rFonts w:hint="eastAsia" w:ascii="宋体" w:hAnsi="宋体" w:eastAsia="宋体" w:cs="宋体"/>
          <w:color w:val="auto"/>
          <w:sz w:val="24"/>
          <w:szCs w:val="24"/>
        </w:rPr>
        <w:t>提示具体原因；消费订单作废，总帐清单作废并处于禁止扣款状态，同时退还订单取消款。</w:t>
      </w:r>
      <w:r>
        <w:rPr>
          <w:rFonts w:hint="eastAsia" w:ascii="宋体" w:hAnsi="宋体" w:cs="宋体"/>
          <w:color w:val="auto"/>
          <w:kern w:val="0"/>
          <w:sz w:val="24"/>
          <w:szCs w:val="24"/>
          <w:lang w:val="en-US" w:eastAsia="zh-CN" w:bidi="ar-SA"/>
        </w:rPr>
        <w:t>F.</w:t>
      </w:r>
      <w:r>
        <w:rPr>
          <w:rFonts w:hint="eastAsia" w:ascii="宋体" w:hAnsi="宋体" w:cs="宋体"/>
          <w:b/>
          <w:bCs/>
          <w:color w:val="auto"/>
          <w:kern w:val="0"/>
          <w:sz w:val="24"/>
          <w:szCs w:val="24"/>
          <w:lang w:val="en-US" w:eastAsia="zh-CN"/>
        </w:rPr>
        <w:t>订单</w:t>
      </w:r>
      <w:r>
        <w:rPr>
          <w:rFonts w:hint="eastAsia" w:ascii="宋体" w:hAnsi="宋体" w:eastAsia="宋体" w:cs="宋体"/>
          <w:b/>
          <w:bCs/>
          <w:color w:val="auto"/>
          <w:kern w:val="0"/>
          <w:sz w:val="24"/>
          <w:szCs w:val="24"/>
          <w:lang w:val="en-US" w:eastAsia="zh-CN"/>
        </w:rPr>
        <w:t>查询</w:t>
      </w:r>
      <w:r>
        <w:rPr>
          <w:rFonts w:hint="eastAsia" w:ascii="宋体" w:hAnsi="宋体" w:cs="宋体"/>
          <w:b/>
          <w:bCs/>
          <w:color w:val="auto"/>
          <w:kern w:val="0"/>
          <w:sz w:val="24"/>
          <w:szCs w:val="24"/>
          <w:lang w:val="en-US" w:eastAsia="zh-CN"/>
        </w:rPr>
        <w:t>：</w:t>
      </w:r>
      <w:r>
        <w:rPr>
          <w:rFonts w:hint="eastAsia" w:ascii="宋体" w:hAnsi="宋体" w:eastAsia="宋体" w:cs="宋体"/>
          <w:color w:val="auto"/>
          <w:kern w:val="0"/>
          <w:sz w:val="24"/>
          <w:szCs w:val="24"/>
          <w:lang w:val="en-US" w:eastAsia="zh-CN" w:bidi="ar-SA"/>
        </w:rPr>
        <w:t>实现对历史订单明细、账户信息、商品等信息进行查询。</w:t>
      </w:r>
    </w:p>
    <w:p w14:paraId="037171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电子书信</w:t>
      </w:r>
    </w:p>
    <w:p w14:paraId="2DC7C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bidi="ar"/>
        </w:rPr>
      </w:pPr>
      <w:r>
        <w:rPr>
          <w:rFonts w:hint="eastAsia" w:ascii="宋体" w:hAnsi="宋体" w:cs="宋体"/>
          <w:color w:val="auto"/>
          <w:sz w:val="24"/>
          <w:szCs w:val="24"/>
          <w:shd w:val="clear" w:color="auto" w:fill="FFFFFF"/>
          <w:lang w:val="en-US" w:eastAsia="zh-CN"/>
        </w:rPr>
        <w:t>3.1)</w:t>
      </w:r>
      <w:r>
        <w:rPr>
          <w:rFonts w:hint="eastAsia" w:ascii="宋体" w:hAnsi="宋体" w:eastAsia="宋体" w:cs="宋体"/>
          <w:color w:val="auto"/>
          <w:sz w:val="24"/>
          <w:szCs w:val="24"/>
          <w:shd w:val="clear" w:color="auto" w:fill="FFFFFF"/>
          <w:lang w:val="en-US" w:eastAsia="zh-CN"/>
        </w:rPr>
        <w:t>实现员工与家属的电子信息交互，交互的内容包括文字，语音，图片等内容，支持调用智慧交互终端的摄像头进行拍摄书信（提供书信裁剪框，避免拍摄与书信无关场景），支持语音识别功能、支持OCR识别功能，能够对关键词进行设置和报警。</w:t>
      </w:r>
      <w:r>
        <w:rPr>
          <w:rFonts w:hint="eastAsia" w:ascii="宋体" w:hAnsi="宋体" w:eastAsia="宋体" w:cs="宋体"/>
          <w:b w:val="0"/>
          <w:bCs w:val="0"/>
          <w:color w:val="auto"/>
          <w:sz w:val="24"/>
          <w:szCs w:val="24"/>
          <w:shd w:val="clear" w:color="auto" w:fill="FFFFFF"/>
          <w:lang w:val="en-US" w:eastAsia="zh-CN"/>
        </w:rPr>
        <w:t>支持音乐库，家属能够通过音乐点播，点送给员工，经管理人员审核后可单独播放或在监室外发布屏进行统一播放。</w:t>
      </w:r>
      <w:r>
        <w:rPr>
          <w:rFonts w:hint="eastAsia" w:ascii="宋体" w:hAnsi="宋体" w:eastAsia="宋体" w:cs="宋体"/>
          <w:color w:val="auto"/>
          <w:sz w:val="24"/>
          <w:szCs w:val="24"/>
          <w:shd w:val="clear" w:color="auto" w:fill="FFFFFF"/>
          <w:lang w:val="en-US" w:eastAsia="zh-CN"/>
        </w:rPr>
        <w:t>支持设置平台员工权限，根据不同权限可限制音乐点播次数、限制书信写信次数。需支持管理人员端打印功能。</w:t>
      </w:r>
      <w:r>
        <w:rPr>
          <w:rFonts w:hint="eastAsia" w:ascii="宋体" w:hAnsi="宋体" w:eastAsia="宋体" w:cs="Times New Roman"/>
          <w:sz w:val="24"/>
          <w:shd w:val="clear" w:color="auto" w:fill="FFFFFF"/>
          <w:lang w:val="en-US" w:eastAsia="zh-CN"/>
        </w:rPr>
        <w:t>管理端功能应包含人员家属绑定管理、电子信件审批管理、歌曲列表管理、信件记录管理；</w:t>
      </w:r>
      <w:r>
        <w:rPr>
          <w:rFonts w:hint="eastAsia" w:ascii="宋体" w:hAnsi="宋体" w:eastAsia="宋体" w:cs="宋体"/>
          <w:sz w:val="24"/>
          <w:szCs w:val="24"/>
          <w:lang w:val="en-US" w:eastAsia="zh-CN" w:bidi="ar"/>
        </w:rPr>
        <w:t>家属端功能应包括家属注册、点歌写信、历史记录；员工查看端功能应包含信件查看、写信回复、听歌台。</w:t>
      </w:r>
    </w:p>
    <w:p w14:paraId="31011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3.2)在景弘集团狱务公开接口可对接的情况下，电子书信的家属端部署方式应与景弘集团的狱务公开应用共用同一通信链路，并实现对接，家属端可通过闽政通的狱务公开功能实现与员工的信息交互;在景弘集团狱务公开接口无法对接的情况下，中标人需自行租用域名服务和互联网云服务方式（租用时间为五年，由中标人承担，包含至投标报价中），互联网端通过网闸FTP文件交换形式与一体化平台电子书信服务进行信息交换，家属可通过小程序的方式绑定公众号实现与员工的信息交互。</w:t>
      </w:r>
    </w:p>
    <w:p w14:paraId="62369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信息发布</w:t>
      </w:r>
    </w:p>
    <w:p w14:paraId="77FA695D">
      <w:pPr>
        <w:pStyle w:val="31"/>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4.1)</w:t>
      </w:r>
      <w:r>
        <w:rPr>
          <w:rFonts w:hint="eastAsia" w:ascii="宋体" w:hAnsi="宋体" w:eastAsia="宋体" w:cs="宋体"/>
          <w:color w:val="auto"/>
          <w:kern w:val="0"/>
          <w:sz w:val="24"/>
          <w:szCs w:val="24"/>
          <w:lang w:val="en-US" w:eastAsia="zh-CN" w:bidi="ar-SA"/>
        </w:rPr>
        <w:t>员工可查看所属</w:t>
      </w:r>
      <w:r>
        <w:rPr>
          <w:rFonts w:hint="eastAsia" w:ascii="宋体" w:hAnsi="宋体" w:cs="宋体"/>
          <w:color w:val="auto"/>
          <w:kern w:val="0"/>
          <w:sz w:val="24"/>
          <w:szCs w:val="24"/>
          <w:lang w:val="en-US" w:eastAsia="zh-CN" w:bidi="ar-SA"/>
        </w:rPr>
        <w:t>部门的</w:t>
      </w:r>
      <w:r>
        <w:rPr>
          <w:rFonts w:hint="eastAsia" w:ascii="宋体" w:hAnsi="宋体" w:eastAsia="宋体" w:cs="宋体"/>
          <w:color w:val="auto"/>
          <w:kern w:val="0"/>
          <w:sz w:val="24"/>
          <w:szCs w:val="24"/>
          <w:lang w:val="en-US" w:eastAsia="zh-CN" w:bidi="ar-SA"/>
        </w:rPr>
        <w:t>管理人员发布的信息，员工可查看查看</w:t>
      </w:r>
      <w:r>
        <w:rPr>
          <w:rFonts w:hint="eastAsia" w:ascii="宋体" w:hAnsi="宋体" w:cs="宋体"/>
          <w:color w:val="auto"/>
          <w:kern w:val="0"/>
          <w:sz w:val="24"/>
          <w:szCs w:val="24"/>
          <w:lang w:val="en-US" w:eastAsia="zh-CN" w:bidi="ar-SA"/>
        </w:rPr>
        <w:t>部门</w:t>
      </w:r>
      <w:r>
        <w:rPr>
          <w:rFonts w:hint="eastAsia" w:ascii="宋体" w:hAnsi="宋体" w:eastAsia="宋体" w:cs="宋体"/>
          <w:color w:val="auto"/>
          <w:kern w:val="0"/>
          <w:sz w:val="24"/>
          <w:szCs w:val="24"/>
          <w:lang w:val="en-US" w:eastAsia="zh-CN" w:bidi="ar-SA"/>
        </w:rPr>
        <w:t>领导发布的信息，所属</w:t>
      </w:r>
      <w:r>
        <w:rPr>
          <w:rFonts w:hint="eastAsia" w:ascii="宋体" w:hAnsi="宋体" w:cs="宋体"/>
          <w:color w:val="auto"/>
          <w:kern w:val="0"/>
          <w:sz w:val="24"/>
          <w:szCs w:val="24"/>
          <w:lang w:val="en-US" w:eastAsia="zh-CN" w:bidi="ar-SA"/>
        </w:rPr>
        <w:t>企业</w:t>
      </w:r>
      <w:r>
        <w:rPr>
          <w:rFonts w:hint="eastAsia" w:ascii="宋体" w:hAnsi="宋体" w:eastAsia="宋体" w:cs="宋体"/>
          <w:color w:val="auto"/>
          <w:kern w:val="0"/>
          <w:sz w:val="24"/>
          <w:szCs w:val="24"/>
          <w:lang w:val="en-US" w:eastAsia="zh-CN" w:bidi="ar-SA"/>
        </w:rPr>
        <w:t>员工可查看查看</w:t>
      </w:r>
      <w:r>
        <w:rPr>
          <w:rFonts w:hint="eastAsia" w:ascii="宋体" w:hAnsi="宋体" w:cs="宋体"/>
          <w:color w:val="auto"/>
          <w:kern w:val="0"/>
          <w:sz w:val="24"/>
          <w:szCs w:val="24"/>
          <w:lang w:val="en-US" w:eastAsia="zh-CN" w:bidi="ar-SA"/>
        </w:rPr>
        <w:t>部门</w:t>
      </w:r>
      <w:r>
        <w:rPr>
          <w:rFonts w:hint="eastAsia" w:ascii="宋体" w:hAnsi="宋体" w:eastAsia="宋体" w:cs="宋体"/>
          <w:color w:val="auto"/>
          <w:kern w:val="0"/>
          <w:sz w:val="24"/>
          <w:szCs w:val="24"/>
          <w:lang w:val="en-US" w:eastAsia="zh-CN" w:bidi="ar-SA"/>
        </w:rPr>
        <w:t>管理人员、</w:t>
      </w:r>
      <w:r>
        <w:rPr>
          <w:rFonts w:hint="eastAsia" w:ascii="宋体" w:hAnsi="宋体" w:cs="宋体"/>
          <w:color w:val="auto"/>
          <w:kern w:val="0"/>
          <w:sz w:val="24"/>
          <w:szCs w:val="24"/>
          <w:lang w:val="en-US" w:eastAsia="zh-CN" w:bidi="ar-SA"/>
        </w:rPr>
        <w:t>部门</w:t>
      </w:r>
      <w:r>
        <w:rPr>
          <w:rFonts w:hint="eastAsia" w:ascii="宋体" w:hAnsi="宋体" w:eastAsia="宋体" w:cs="宋体"/>
          <w:color w:val="auto"/>
          <w:kern w:val="0"/>
          <w:sz w:val="24"/>
          <w:szCs w:val="24"/>
          <w:lang w:val="en-US" w:eastAsia="zh-CN" w:bidi="ar-SA"/>
        </w:rPr>
        <w:t>领导发布的信息，全省员工可查看集团管理人员发布的信息。发布的信息支持文字及图表。</w:t>
      </w:r>
    </w:p>
    <w:p w14:paraId="69AA7114">
      <w:pPr>
        <w:pStyle w:val="3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4.2)</w:t>
      </w:r>
      <w:r>
        <w:rPr>
          <w:rFonts w:hint="eastAsia" w:ascii="宋体" w:hAnsi="宋体" w:eastAsia="宋体" w:cs="宋体"/>
          <w:color w:val="auto"/>
          <w:kern w:val="0"/>
          <w:sz w:val="24"/>
          <w:szCs w:val="24"/>
          <w:lang w:val="en-US" w:eastAsia="zh-CN" w:bidi="ar-SA"/>
        </w:rPr>
        <w:t>信息公开平台支持自定义分类，不同的发布信息可以同时属于一种或者多种分类，主要包含通知公告类、公示类、政策法规类等，支持自定义分类名称。</w:t>
      </w:r>
    </w:p>
    <w:p w14:paraId="253A88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监室</w:t>
      </w:r>
      <w:r>
        <w:rPr>
          <w:rFonts w:hint="eastAsia" w:ascii="宋体" w:hAnsi="宋体" w:eastAsia="宋体" w:cs="宋体"/>
          <w:b/>
          <w:bCs/>
          <w:color w:val="auto"/>
          <w:sz w:val="24"/>
          <w:szCs w:val="24"/>
          <w:lang w:val="en-US" w:eastAsia="zh-CN"/>
        </w:rPr>
        <w:t>管理</w:t>
      </w:r>
    </w:p>
    <w:p w14:paraId="349C2903">
      <w:pPr>
        <w:pStyle w:val="3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智慧交互终端上可展示房间内基本情况，包括管理人员、房间号、员工人员数量、姓名、床位信息等。并在终端机待机状态下默认全屏展示，使房间信息动态一目了然，管理人员可以通过系统后台设置监室类型：宽管监室、一般监室、严管监室，监室流动红旗评定、优秀监室评定等</w:t>
      </w:r>
      <w:r>
        <w:rPr>
          <w:rFonts w:hint="eastAsia" w:ascii="宋体" w:hAnsi="宋体" w:eastAsia="宋体" w:cs="宋体"/>
          <w:color w:val="auto"/>
          <w:sz w:val="24"/>
          <w:szCs w:val="24"/>
        </w:rPr>
        <w:t>。</w:t>
      </w:r>
    </w:p>
    <w:p w14:paraId="625918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人脸点名</w:t>
      </w:r>
    </w:p>
    <w:p w14:paraId="2574C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FFFFFF"/>
          <w:lang w:val="en-US" w:eastAsia="zh-CN"/>
        </w:rPr>
        <w:t>人脸点名是通过人脸识别实现对员工的自动清点，需具有以下功能：</w:t>
      </w:r>
    </w:p>
    <w:p w14:paraId="6AF064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shd w:val="clear" w:color="auto" w:fill="FFFFFF"/>
          <w:lang w:val="en-US" w:eastAsia="zh-CN"/>
        </w:rPr>
        <w:t>支持自定义时间点名</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人脸点名实现开号、收号前员工在交互终端进行人脸点名，该人脸点名支持不同</w:t>
      </w:r>
      <w:r>
        <w:rPr>
          <w:rFonts w:hint="eastAsia" w:ascii="宋体" w:hAnsi="宋体" w:cs="宋体"/>
          <w:color w:val="auto"/>
          <w:kern w:val="0"/>
          <w:sz w:val="24"/>
          <w:szCs w:val="24"/>
          <w:lang w:val="en-US" w:eastAsia="zh-CN"/>
        </w:rPr>
        <w:t>子公司</w:t>
      </w:r>
      <w:r>
        <w:rPr>
          <w:rFonts w:hint="eastAsia" w:ascii="宋体" w:hAnsi="宋体" w:eastAsia="宋体" w:cs="宋体"/>
          <w:color w:val="auto"/>
          <w:sz w:val="24"/>
          <w:szCs w:val="24"/>
          <w:shd w:val="clear" w:color="auto" w:fill="FFFFFF"/>
          <w:lang w:val="en-US" w:eastAsia="zh-CN"/>
        </w:rPr>
        <w:t>、不同</w:t>
      </w:r>
      <w:r>
        <w:rPr>
          <w:rFonts w:hint="eastAsia" w:ascii="宋体" w:hAnsi="宋体" w:cs="宋体"/>
          <w:color w:val="auto"/>
          <w:sz w:val="24"/>
          <w:szCs w:val="24"/>
          <w:shd w:val="clear" w:color="auto" w:fill="FFFFFF"/>
          <w:lang w:val="en-US" w:eastAsia="zh-CN"/>
        </w:rPr>
        <w:t>部门</w:t>
      </w:r>
      <w:r>
        <w:rPr>
          <w:rFonts w:hint="eastAsia" w:ascii="宋体" w:hAnsi="宋体" w:eastAsia="宋体" w:cs="宋体"/>
          <w:color w:val="auto"/>
          <w:sz w:val="24"/>
          <w:szCs w:val="24"/>
          <w:shd w:val="clear" w:color="auto" w:fill="FFFFFF"/>
          <w:lang w:val="en-US" w:eastAsia="zh-CN"/>
        </w:rPr>
        <w:t>自定义不同点名的时间，在规定时间内自动开启人脸点名功能，对已清点的人员进行汇总查看，支持对未清点到的员工进行及时标注备注事项。</w:t>
      </w:r>
    </w:p>
    <w:p w14:paraId="71E25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shd w:val="clear" w:color="auto" w:fill="FFFFFF"/>
          <w:lang w:val="en-US" w:eastAsia="zh-CN"/>
        </w:rPr>
        <w:t>支持自由点名</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指挥中心管理主机或指挥中心管理人员警务通可向全监发出点名，全监交互终端开启点名功能。</w:t>
      </w:r>
      <w:r>
        <w:rPr>
          <w:rFonts w:hint="eastAsia" w:ascii="宋体" w:hAnsi="宋体" w:cs="宋体"/>
          <w:color w:val="auto"/>
          <w:sz w:val="24"/>
          <w:szCs w:val="24"/>
          <w:shd w:val="clear" w:color="auto" w:fill="FFFFFF"/>
          <w:lang w:val="en-US" w:eastAsia="zh-CN"/>
        </w:rPr>
        <w:t>宿舍</w:t>
      </w:r>
      <w:r>
        <w:rPr>
          <w:rFonts w:hint="eastAsia" w:ascii="宋体" w:hAnsi="宋体" w:eastAsia="宋体" w:cs="宋体"/>
          <w:color w:val="auto"/>
          <w:sz w:val="24"/>
          <w:szCs w:val="24"/>
          <w:shd w:val="clear" w:color="auto" w:fill="FFFFFF"/>
          <w:lang w:val="en-US" w:eastAsia="zh-CN"/>
        </w:rPr>
        <w:t>管理主机或</w:t>
      </w:r>
      <w:r>
        <w:rPr>
          <w:rFonts w:hint="eastAsia" w:ascii="宋体" w:hAnsi="宋体" w:cs="宋体"/>
          <w:color w:val="auto"/>
          <w:sz w:val="24"/>
          <w:szCs w:val="24"/>
          <w:shd w:val="clear" w:color="auto" w:fill="FFFFFF"/>
          <w:lang w:val="en-US" w:eastAsia="zh-CN"/>
        </w:rPr>
        <w:t>宿舍</w:t>
      </w:r>
      <w:r>
        <w:rPr>
          <w:rFonts w:hint="eastAsia" w:ascii="宋体" w:hAnsi="宋体" w:eastAsia="宋体" w:cs="宋体"/>
          <w:color w:val="auto"/>
          <w:sz w:val="24"/>
          <w:szCs w:val="24"/>
          <w:shd w:val="clear" w:color="auto" w:fill="FFFFFF"/>
          <w:lang w:val="en-US" w:eastAsia="zh-CN"/>
        </w:rPr>
        <w:t>管理人员警务通可向所在</w:t>
      </w:r>
      <w:r>
        <w:rPr>
          <w:rFonts w:hint="eastAsia" w:ascii="宋体" w:hAnsi="宋体" w:cs="宋体"/>
          <w:color w:val="auto"/>
          <w:sz w:val="24"/>
          <w:szCs w:val="24"/>
          <w:shd w:val="clear" w:color="auto" w:fill="FFFFFF"/>
          <w:lang w:val="en-US" w:eastAsia="zh-CN"/>
        </w:rPr>
        <w:t>宿舍</w:t>
      </w:r>
      <w:r>
        <w:rPr>
          <w:rFonts w:hint="eastAsia" w:ascii="宋体" w:hAnsi="宋体" w:eastAsia="宋体" w:cs="宋体"/>
          <w:color w:val="auto"/>
          <w:sz w:val="24"/>
          <w:szCs w:val="24"/>
          <w:shd w:val="clear" w:color="auto" w:fill="FFFFFF"/>
          <w:lang w:val="en-US" w:eastAsia="zh-CN"/>
        </w:rPr>
        <w:t>交互终端发出点名功能，</w:t>
      </w:r>
      <w:r>
        <w:rPr>
          <w:rFonts w:hint="eastAsia" w:ascii="宋体" w:hAnsi="宋体" w:cs="宋体"/>
          <w:color w:val="auto"/>
          <w:sz w:val="24"/>
          <w:szCs w:val="24"/>
          <w:shd w:val="clear" w:color="auto" w:fill="FFFFFF"/>
          <w:lang w:val="en-US" w:eastAsia="zh-CN"/>
        </w:rPr>
        <w:t>宿舍</w:t>
      </w:r>
      <w:r>
        <w:rPr>
          <w:rFonts w:hint="eastAsia" w:ascii="宋体" w:hAnsi="宋体" w:eastAsia="宋体" w:cs="宋体"/>
          <w:color w:val="auto"/>
          <w:sz w:val="24"/>
          <w:szCs w:val="24"/>
          <w:shd w:val="clear" w:color="auto" w:fill="FFFFFF"/>
          <w:lang w:val="en-US" w:eastAsia="zh-CN"/>
        </w:rPr>
        <w:t>交互终端开启点名功能。</w:t>
      </w:r>
    </w:p>
    <w:p w14:paraId="3786E9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shd w:val="clear" w:color="auto" w:fill="FFFFFF"/>
          <w:lang w:val="en-US" w:eastAsia="zh-CN"/>
        </w:rPr>
        <w:t>联动广播</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联动可视对讲广播，未点到人员自动播报。</w:t>
      </w:r>
    </w:p>
    <w:p w14:paraId="145760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D.</w:t>
      </w:r>
      <w:r>
        <w:rPr>
          <w:rFonts w:hint="eastAsia" w:ascii="宋体" w:hAnsi="宋体" w:eastAsia="宋体" w:cs="宋体"/>
          <w:color w:val="auto"/>
          <w:sz w:val="24"/>
          <w:szCs w:val="24"/>
          <w:shd w:val="clear" w:color="auto" w:fill="FFFFFF"/>
          <w:lang w:val="en-US" w:eastAsia="zh-CN"/>
        </w:rPr>
        <w:t>支持点名确认</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值班管理人员通过PC端或者警务通端，根据实际情况进行人员确认，确认信息包括对未点人员进行原因备注，支持未点人员批量备注，支持未点人员备注状态延续（默认未点人员备注状态延续至下一次点名）、支持未点人员在人脸点名后消除延续的备注状态。指挥中心可查看全监点名情况。</w:t>
      </w:r>
    </w:p>
    <w:p w14:paraId="1E1902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E.</w:t>
      </w:r>
      <w:r>
        <w:rPr>
          <w:rFonts w:hint="eastAsia" w:ascii="宋体" w:hAnsi="宋体" w:eastAsia="宋体" w:cs="宋体"/>
          <w:color w:val="auto"/>
          <w:sz w:val="24"/>
          <w:szCs w:val="24"/>
          <w:shd w:val="clear" w:color="auto" w:fill="FFFFFF"/>
          <w:lang w:val="en-US" w:eastAsia="zh-CN"/>
        </w:rPr>
        <w:t>实时显示</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进行人脸点名时，监外屏需实时显示点名情况。</w:t>
      </w:r>
    </w:p>
    <w:p w14:paraId="374CB8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食谱查看</w:t>
      </w:r>
    </w:p>
    <w:p w14:paraId="6464810E">
      <w:pPr>
        <w:pStyle w:val="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员工无需登录可在终端和平台上自主查询管理人员发布的本周一日三餐的食谱菜单信息。后台支持实时更新，支持周、月食谱定制，界面简易管理。</w:t>
      </w:r>
    </w:p>
    <w:p w14:paraId="689809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积分兑换</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32，完全响应此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的得1分</w:t>
      </w:r>
      <w:r>
        <w:rPr>
          <w:rFonts w:hint="eastAsia" w:ascii="宋体" w:hAnsi="宋体" w:cs="宋体"/>
          <w:b/>
          <w:bCs/>
          <w:color w:val="auto"/>
          <w:sz w:val="24"/>
          <w:szCs w:val="24"/>
          <w:lang w:eastAsia="zh-CN"/>
        </w:rPr>
        <w:t>）</w:t>
      </w:r>
    </w:p>
    <w:p w14:paraId="7B99B360">
      <w:pPr>
        <w:keepNext w:val="0"/>
        <w:keepLines w:val="0"/>
        <w:pageBreakBefore w:val="0"/>
        <w:widowControl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8.1)</w:t>
      </w:r>
      <w:r>
        <w:rPr>
          <w:rFonts w:hint="eastAsia" w:ascii="宋体" w:hAnsi="宋体" w:eastAsia="宋体" w:cs="宋体"/>
          <w:color w:val="auto"/>
          <w:sz w:val="24"/>
          <w:szCs w:val="24"/>
        </w:rPr>
        <w:t>提供物品兑换、服务等兑换模式。管理人员在平台可上下架对应的物品及服务，管理员工积分，物品、服务详情和员工积分支持后台批量导入，员工可根据积分进行相应的消费。</w:t>
      </w:r>
    </w:p>
    <w:p w14:paraId="45B20DC0">
      <w:pPr>
        <w:keepNext w:val="0"/>
        <w:keepLines w:val="0"/>
        <w:pageBreakBefore w:val="0"/>
        <w:widowControl w:val="0"/>
        <w:kinsoku/>
        <w:wordWrap/>
        <w:overflowPunct/>
        <w:topLinePunct w:val="0"/>
        <w:autoSpaceDE/>
        <w:autoSpaceDN/>
        <w:bidi w:val="0"/>
        <w:adjustRightInd/>
        <w:snapToGrid/>
        <w:spacing w:line="360" w:lineRule="auto"/>
        <w:ind w:firstLine="424" w:firstLineChars="177"/>
        <w:jc w:val="left"/>
        <w:textAlignment w:val="auto"/>
        <w:rPr>
          <w:rFonts w:hint="default" w:ascii="宋体" w:hAnsi="宋体" w:eastAsia="宋体" w:cs="宋体"/>
          <w:sz w:val="24"/>
          <w:highlight w:val="none"/>
          <w:lang w:val="en-US" w:eastAsia="zh-CN"/>
        </w:rPr>
      </w:pPr>
      <w:r>
        <w:rPr>
          <w:rFonts w:hint="eastAsia" w:ascii="宋体" w:hAnsi="宋体" w:cs="宋体"/>
          <w:color w:val="auto"/>
          <w:sz w:val="24"/>
          <w:szCs w:val="24"/>
          <w:lang w:val="en-US" w:eastAsia="zh-CN"/>
        </w:rPr>
        <w:t>8.2)</w:t>
      </w:r>
      <w:r>
        <w:rPr>
          <w:rFonts w:hint="eastAsia" w:ascii="宋体" w:hAnsi="宋体" w:eastAsia="宋体" w:cs="宋体"/>
          <w:color w:val="auto"/>
          <w:sz w:val="24"/>
          <w:szCs w:val="24"/>
        </w:rPr>
        <w:t>结合</w:t>
      </w:r>
      <w:r>
        <w:rPr>
          <w:rFonts w:hint="eastAsia" w:ascii="宋体" w:hAnsi="宋体" w:cs="宋体"/>
          <w:color w:val="auto"/>
          <w:sz w:val="24"/>
          <w:szCs w:val="24"/>
          <w:lang w:val="en-US" w:eastAsia="zh-CN"/>
        </w:rPr>
        <w:t>员工</w:t>
      </w:r>
      <w:r>
        <w:rPr>
          <w:rFonts w:hint="eastAsia" w:ascii="宋体" w:hAnsi="宋体" w:eastAsia="宋体" w:cs="宋体"/>
          <w:color w:val="auto"/>
          <w:sz w:val="24"/>
          <w:szCs w:val="24"/>
        </w:rPr>
        <w:t>劳动奖励管理办法，积分消费应用采用多角色、多权限配置积分管理流程。支持多层级动态积分多模式分配、动态积分审核、AB账户独立积分兑换、兑换限制管理、积分商品采购及配送、配送确认、积分商品统计等实现完整的从积分生成、分配、审批到消费的全周期闭环式管理。</w:t>
      </w:r>
      <w:r>
        <w:rPr>
          <w:rFonts w:hint="eastAsia" w:ascii="宋体" w:hAnsi="宋体" w:eastAsia="宋体" w:cs="宋体"/>
          <w:sz w:val="24"/>
          <w:highlight w:val="none"/>
          <w:lang w:val="en-US" w:eastAsia="zh-CN"/>
        </w:rPr>
        <w:t>积分兑换功能应包含积分商品列表、积分兑换选购、兑换订单管理、兑换设置、记录查询。</w:t>
      </w:r>
    </w:p>
    <w:p w14:paraId="7DD7FC36">
      <w:pPr>
        <w:keepNext w:val="0"/>
        <w:keepLines w:val="0"/>
        <w:widowControl/>
        <w:suppressLineNumbers w:val="0"/>
        <w:spacing w:before="0" w:beforeAutospacing="0" w:after="0" w:afterAutospacing="0" w:line="360" w:lineRule="auto"/>
        <w:ind w:left="0" w:leftChars="0" w:right="0" w:firstLine="439" w:firstLineChars="183"/>
        <w:jc w:val="left"/>
        <w:rPr>
          <w:rFonts w:hint="eastAsia" w:ascii="宋体" w:hAnsi="宋体" w:eastAsia="宋体" w:cs="宋体"/>
          <w:kern w:val="0"/>
          <w:sz w:val="24"/>
          <w:szCs w:val="24"/>
          <w:lang w:val="en-US" w:eastAsia="zh-CN" w:bidi="ar"/>
        </w:rPr>
      </w:pPr>
      <w:r>
        <w:rPr>
          <w:rFonts w:hint="eastAsia" w:ascii="宋体" w:hAnsi="宋体" w:cs="宋体"/>
          <w:sz w:val="24"/>
          <w:highlight w:val="none"/>
          <w:lang w:val="en-US" w:eastAsia="zh-CN"/>
        </w:rPr>
        <w:t>8.3)</w:t>
      </w:r>
      <w:r>
        <w:rPr>
          <w:rFonts w:hint="eastAsia" w:ascii="宋体" w:hAnsi="宋体" w:eastAsia="宋体" w:cs="宋体"/>
          <w:sz w:val="24"/>
          <w:highlight w:val="none"/>
          <w:lang w:val="en-US" w:eastAsia="zh-CN"/>
        </w:rPr>
        <w:t>积分商品列表应</w:t>
      </w:r>
      <w:r>
        <w:rPr>
          <w:rFonts w:hint="eastAsia" w:ascii="宋体" w:hAnsi="宋体" w:eastAsia="宋体" w:cs="Times New Roman"/>
          <w:sz w:val="24"/>
          <w:szCs w:val="24"/>
          <w:lang w:val="en-US" w:eastAsia="zh-CN" w:bidi="ar"/>
        </w:rPr>
        <w:t>包括娱乐项目（点歌和观影）、商超商品、食堂餐品等类兑换商品，</w:t>
      </w:r>
      <w:r>
        <w:rPr>
          <w:rFonts w:hint="eastAsia" w:ascii="宋体" w:hAnsi="宋体" w:eastAsia="宋体" w:cs="宋体"/>
          <w:kern w:val="0"/>
          <w:sz w:val="24"/>
          <w:szCs w:val="24"/>
          <w:lang w:val="en-US" w:eastAsia="zh-CN" w:bidi="ar"/>
        </w:rPr>
        <w:t>根据员工积分兑换记录生成对应订单，通过订单可查看详细兑换条目包括兑换员工所属部门、子部门、兑换商品、商品类别、兑换积分、兑换时间等。兑换订单可通过多条件筛选导出。</w:t>
      </w:r>
      <w:r>
        <w:rPr>
          <w:rFonts w:hint="eastAsia" w:ascii="宋体" w:hAnsi="宋体" w:eastAsia="宋体" w:cs="Times New Roman"/>
          <w:sz w:val="24"/>
          <w:szCs w:val="24"/>
          <w:lang w:val="en-US" w:eastAsia="zh-CN" w:bidi="ar"/>
        </w:rPr>
        <w:t>兑换限制管理控制兑换自助端开放兑换时间设置，可自定义设置兑换自助端允许员工进行兑换的时间端设置，同时系统可自动根据允许兑换时间段自动生成兑换商品汇总报表；</w:t>
      </w:r>
      <w:r>
        <w:rPr>
          <w:rFonts w:hint="eastAsia" w:ascii="宋体" w:hAnsi="宋体" w:eastAsia="宋体" w:cs="宋体"/>
          <w:kern w:val="0"/>
          <w:sz w:val="24"/>
          <w:szCs w:val="24"/>
          <w:lang w:val="en-US" w:eastAsia="zh-CN" w:bidi="ar"/>
        </w:rPr>
        <w:t>员工可通过已生效积分进行商品兑换，员工通过积分兑换终端进行兑换商品选择并提交，通过人脸识别、IC卡等多验证方式进行对应积分扣除，完成兑换过程。针对娱乐项目商品可进行对应时间的预约兑换操作</w:t>
      </w:r>
      <w:r>
        <w:rPr>
          <w:rFonts w:hint="eastAsia" w:ascii="宋体" w:hAnsi="宋体" w:eastAsia="宋体" w:cs="宋体"/>
          <w:color w:val="auto"/>
          <w:sz w:val="24"/>
          <w:szCs w:val="24"/>
        </w:rPr>
        <w:t>。</w:t>
      </w:r>
      <w:r>
        <w:rPr>
          <w:rFonts w:hint="eastAsia" w:ascii="宋体" w:hAnsi="宋体" w:eastAsia="宋体" w:cs="宋体"/>
          <w:sz w:val="24"/>
          <w:highlight w:val="none"/>
          <w:lang w:val="en-US" w:eastAsia="zh-CN"/>
        </w:rPr>
        <w:t>记录查询</w:t>
      </w:r>
      <w:r>
        <w:rPr>
          <w:rFonts w:hint="eastAsia" w:ascii="宋体" w:hAnsi="宋体" w:eastAsia="宋体" w:cs="宋体"/>
          <w:kern w:val="0"/>
          <w:sz w:val="24"/>
          <w:szCs w:val="24"/>
          <w:lang w:val="en-US" w:eastAsia="zh-CN" w:bidi="ar"/>
        </w:rPr>
        <w:t>可操作点击界面登录按钮进行人脸识别或IC卡登录，登录完成自动展示剩余积分情况，点击头像可查看详细历史兑换记录。</w:t>
      </w:r>
    </w:p>
    <w:p w14:paraId="6991C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rPr>
        <w:t>出监教育</w:t>
      </w:r>
    </w:p>
    <w:p w14:paraId="7B3DF64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color w:val="auto"/>
          <w:sz w:val="24"/>
          <w:szCs w:val="24"/>
          <w:lang w:val="en-US" w:eastAsia="zh-CN"/>
        </w:rPr>
      </w:pPr>
      <w:r>
        <w:rPr>
          <w:rFonts w:hint="eastAsia" w:ascii="宋体" w:hAnsi="宋体" w:cs="宋体"/>
          <w:color w:val="auto"/>
          <w:sz w:val="24"/>
          <w:szCs w:val="24"/>
          <w:shd w:val="clear" w:color="auto" w:fill="FFFFFF"/>
          <w:lang w:val="en-US" w:eastAsia="zh-CN"/>
        </w:rPr>
        <w:t>9.1)</w:t>
      </w:r>
      <w:r>
        <w:rPr>
          <w:rFonts w:hint="eastAsia" w:ascii="宋体" w:hAnsi="宋体" w:eastAsia="宋体" w:cs="宋体"/>
          <w:color w:val="auto"/>
          <w:sz w:val="24"/>
          <w:szCs w:val="24"/>
          <w:shd w:val="clear" w:color="auto" w:fill="FFFFFF"/>
        </w:rPr>
        <w:t>具有模拟贴合现代生活场景的操作流程的功能，如模拟如何购买汽车票、动车票、飞机票，如何办理银行卡、身份证、手机卡，如何注册、登录、使用微信或支付宝等，如何淘宝、京东、拼多多购物等。如何用微信、支付宝刷坐公交、地铁等；如何防范电信诈骗等。</w:t>
      </w:r>
      <w:r>
        <w:rPr>
          <w:rFonts w:hint="eastAsia" w:ascii="宋体" w:hAnsi="宋体" w:eastAsia="宋体" w:cs="宋体"/>
          <w:b w:val="0"/>
          <w:color w:val="auto"/>
          <w:sz w:val="24"/>
          <w:szCs w:val="24"/>
          <w:lang w:val="en-US" w:eastAsia="zh-CN"/>
        </w:rPr>
        <w:t>应集成景弘集团语音识别引擎实现语音识别功能，实现语音播报。</w:t>
      </w:r>
    </w:p>
    <w:p w14:paraId="55486F95">
      <w:pPr>
        <w:keepNext w:val="0"/>
        <w:keepLines w:val="0"/>
        <w:pageBreakBefore w:val="0"/>
        <w:widowControl w:val="0"/>
        <w:kinsoku/>
        <w:wordWrap/>
        <w:overflowPunct/>
        <w:topLinePunct w:val="0"/>
        <w:autoSpaceDE/>
        <w:autoSpaceDN/>
        <w:bidi w:val="0"/>
        <w:adjustRightInd/>
        <w:snapToGrid/>
        <w:spacing w:line="360" w:lineRule="auto"/>
        <w:ind w:left="0" w:leftChars="0" w:firstLine="439" w:firstLineChars="183"/>
        <w:textAlignment w:val="auto"/>
        <w:rPr>
          <w:rFonts w:hint="default" w:ascii="宋体" w:hAnsi="宋体" w:eastAsia="宋体" w:cs="Times New Roman"/>
          <w:sz w:val="24"/>
          <w:shd w:val="clear" w:color="auto" w:fill="FFFFFF"/>
          <w:lang w:val="en-US" w:eastAsia="zh-CN"/>
        </w:rPr>
      </w:pPr>
      <w:r>
        <w:rPr>
          <w:rFonts w:hint="eastAsia" w:ascii="宋体" w:hAnsi="宋体" w:cs="Times New Roman"/>
          <w:sz w:val="24"/>
          <w:shd w:val="clear" w:color="auto" w:fill="FFFFFF"/>
          <w:lang w:val="en-US" w:eastAsia="zh-CN"/>
        </w:rPr>
        <w:t>9.2)</w:t>
      </w:r>
      <w:r>
        <w:rPr>
          <w:rFonts w:hint="eastAsia" w:ascii="宋体" w:hAnsi="宋体" w:eastAsia="宋体" w:cs="Times New Roman"/>
          <w:sz w:val="24"/>
          <w:shd w:val="clear" w:color="auto" w:fill="FFFFFF"/>
          <w:lang w:val="en-US" w:eastAsia="zh-CN"/>
        </w:rPr>
        <w:t>员工端可操作体验一比一复刻模拟真实环境操作流程如下：</w:t>
      </w:r>
    </w:p>
    <w:p w14:paraId="712C3B7A">
      <w:pPr>
        <w:keepNext w:val="0"/>
        <w:keepLines w:val="0"/>
        <w:pageBreakBefore w:val="0"/>
        <w:widowControl w:val="0"/>
        <w:kinsoku/>
        <w:wordWrap/>
        <w:overflowPunct/>
        <w:topLinePunct w:val="0"/>
        <w:autoSpaceDE/>
        <w:autoSpaceDN/>
        <w:bidi w:val="0"/>
        <w:adjustRightInd/>
        <w:snapToGrid/>
        <w:spacing w:line="360" w:lineRule="auto"/>
        <w:ind w:left="0" w:leftChars="0" w:firstLine="439" w:firstLineChars="183"/>
        <w:textAlignment w:val="auto"/>
        <w:rPr>
          <w:rFonts w:hint="default" w:ascii="宋体" w:hAnsi="宋体" w:eastAsia="宋体" w:cs="Times New Roman"/>
          <w:sz w:val="24"/>
          <w:shd w:val="clear" w:color="auto" w:fill="FFFFFF"/>
          <w:lang w:val="en-US" w:eastAsia="zh-CN"/>
        </w:rPr>
      </w:pPr>
      <w:r>
        <w:rPr>
          <w:rFonts w:hint="eastAsia" w:ascii="宋体" w:hAnsi="宋体" w:cs="Times New Roman"/>
          <w:sz w:val="24"/>
          <w:shd w:val="clear" w:color="auto" w:fill="FFFFFF"/>
          <w:lang w:val="en-US" w:eastAsia="zh-CN"/>
        </w:rPr>
        <w:t>9.2.1)</w:t>
      </w:r>
      <w:r>
        <w:rPr>
          <w:rFonts w:hint="eastAsia" w:ascii="宋体" w:hAnsi="宋体" w:eastAsia="宋体" w:cs="Times New Roman"/>
          <w:sz w:val="24"/>
          <w:shd w:val="clear" w:color="auto" w:fill="FFFFFF"/>
          <w:lang w:val="en-US" w:eastAsia="zh-CN"/>
        </w:rPr>
        <w:t>出行模拟：通过语音、3D画面、动画模拟真实买汽票、飞机票、动车票购买全过程模拟，包括手机APP买票、进站买票、代销点买票、站点验票、入站安检、候车等待、入车或入机验票、出行注意实现等，通过真人实景画面加强代入感，体验真实出现模拟。</w:t>
      </w:r>
    </w:p>
    <w:p w14:paraId="630C183F">
      <w:pPr>
        <w:keepNext w:val="0"/>
        <w:keepLines w:val="0"/>
        <w:pageBreakBefore w:val="0"/>
        <w:widowControl w:val="0"/>
        <w:kinsoku/>
        <w:wordWrap/>
        <w:overflowPunct/>
        <w:topLinePunct w:val="0"/>
        <w:autoSpaceDE/>
        <w:autoSpaceDN/>
        <w:bidi w:val="0"/>
        <w:adjustRightInd/>
        <w:snapToGrid/>
        <w:spacing w:line="360" w:lineRule="auto"/>
        <w:ind w:left="0" w:leftChars="0" w:firstLine="439" w:firstLineChars="183"/>
        <w:textAlignment w:val="auto"/>
        <w:rPr>
          <w:rFonts w:hint="default" w:ascii="宋体" w:hAnsi="宋体" w:eastAsia="宋体" w:cs="Times New Roman"/>
          <w:sz w:val="24"/>
          <w:shd w:val="clear" w:color="auto" w:fill="FFFFFF"/>
          <w:lang w:val="en-US" w:eastAsia="zh-CN"/>
        </w:rPr>
      </w:pPr>
      <w:r>
        <w:rPr>
          <w:rFonts w:hint="eastAsia" w:ascii="宋体" w:hAnsi="宋体" w:cs="Times New Roman"/>
          <w:sz w:val="24"/>
          <w:shd w:val="clear" w:color="auto" w:fill="FFFFFF"/>
          <w:lang w:val="en-US" w:eastAsia="zh-CN"/>
        </w:rPr>
        <w:t>9.2.2)</w:t>
      </w:r>
      <w:r>
        <w:rPr>
          <w:rFonts w:hint="eastAsia" w:ascii="宋体" w:hAnsi="宋体" w:eastAsia="宋体" w:cs="Times New Roman"/>
          <w:sz w:val="24"/>
          <w:shd w:val="clear" w:color="auto" w:fill="FFFFFF"/>
          <w:lang w:val="en-US" w:eastAsia="zh-CN"/>
        </w:rPr>
        <w:t>电消模拟：模拟主流电商购物平台如淘宝、天猫、京东、拼多多、抖音等主流平台，通过构建模拟电商购物界面语音和动画引导式帮忙员工上手基本熟悉基本购物流程包括商品搜索、商品查看、商品选择、规格选择、购物车功能、下单付款、收货确认、订单退款、客诉处理、退款处理等</w:t>
      </w:r>
    </w:p>
    <w:p w14:paraId="13828FFA">
      <w:pPr>
        <w:keepNext w:val="0"/>
        <w:keepLines w:val="0"/>
        <w:pageBreakBefore w:val="0"/>
        <w:widowControl w:val="0"/>
        <w:kinsoku/>
        <w:wordWrap/>
        <w:overflowPunct/>
        <w:topLinePunct w:val="0"/>
        <w:autoSpaceDE/>
        <w:autoSpaceDN/>
        <w:bidi w:val="0"/>
        <w:adjustRightInd/>
        <w:snapToGrid/>
        <w:spacing w:line="360" w:lineRule="auto"/>
        <w:ind w:left="0" w:leftChars="0" w:firstLine="439" w:firstLineChars="183"/>
        <w:textAlignment w:val="auto"/>
        <w:rPr>
          <w:rFonts w:hint="default" w:ascii="宋体" w:hAnsi="宋体" w:eastAsia="宋体" w:cs="Times New Roman"/>
          <w:sz w:val="24"/>
          <w:shd w:val="clear" w:color="auto" w:fill="FFFFFF"/>
          <w:lang w:val="en-US" w:eastAsia="zh-CN"/>
        </w:rPr>
      </w:pPr>
      <w:r>
        <w:rPr>
          <w:rFonts w:hint="eastAsia" w:ascii="宋体" w:hAnsi="宋体" w:cs="Times New Roman"/>
          <w:sz w:val="24"/>
          <w:shd w:val="clear" w:color="auto" w:fill="FFFFFF"/>
          <w:lang w:val="en-US" w:eastAsia="zh-CN"/>
        </w:rPr>
        <w:t>9.2.3)</w:t>
      </w:r>
      <w:r>
        <w:rPr>
          <w:rFonts w:hint="eastAsia" w:ascii="宋体" w:hAnsi="宋体" w:eastAsia="宋体" w:cs="Times New Roman"/>
          <w:sz w:val="24"/>
          <w:shd w:val="clear" w:color="auto" w:fill="FFFFFF"/>
          <w:lang w:val="en-US" w:eastAsia="zh-CN"/>
        </w:rPr>
        <w:t>办证模拟：通过真人画面说明和介绍银行卡、手机卡、身份证等证件类型的办理，通过真人画面语音引导方式模拟真实办理场景，包括取号等待、入座等待、叫号办理等，在模拟过程中介绍说明注意实现真实还原真实环境。</w:t>
      </w:r>
    </w:p>
    <w:p w14:paraId="31E4A6D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color w:val="auto"/>
          <w:sz w:val="24"/>
          <w:szCs w:val="24"/>
          <w:lang w:val="en-US" w:eastAsia="zh-CN"/>
        </w:rPr>
      </w:pPr>
      <w:r>
        <w:rPr>
          <w:rFonts w:hint="eastAsia" w:ascii="宋体" w:hAnsi="宋体" w:cs="Times New Roman"/>
          <w:sz w:val="24"/>
          <w:shd w:val="clear" w:color="auto" w:fill="FFFFFF"/>
          <w:lang w:val="en-US" w:eastAsia="zh-CN"/>
        </w:rPr>
        <w:t>9.2.4)</w:t>
      </w:r>
      <w:r>
        <w:rPr>
          <w:rFonts w:hint="eastAsia" w:ascii="宋体" w:hAnsi="宋体" w:eastAsia="宋体" w:cs="Times New Roman"/>
          <w:sz w:val="24"/>
          <w:shd w:val="clear" w:color="auto" w:fill="FFFFFF"/>
          <w:lang w:val="en-US" w:eastAsia="zh-CN"/>
        </w:rPr>
        <w:t>防骗模拟：通过系统模拟目前社会诈骗场景，展示诈骗手段和防范方法，帮助员工有效预防目前社会诈骗手段。</w:t>
      </w:r>
    </w:p>
    <w:p w14:paraId="093A80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rPr>
        <w:t>监室日动态</w:t>
      </w:r>
    </w:p>
    <w:p w14:paraId="3ED138F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通过智能终端设备实现员工个人每日动态收集，由责任管理人员自主设置每日动态收集统计时间，员工自主通过终端完成信息填写，记录今日事宜、不足之处、明日改进方法等信息，平台将每日定时自动汇总各监室所有人员的日报，</w:t>
      </w:r>
      <w:r>
        <w:rPr>
          <w:rFonts w:hint="eastAsia" w:ascii="宋体" w:hAnsi="宋体" w:cs="宋体"/>
          <w:b w:val="0"/>
          <w:color w:val="auto"/>
          <w:sz w:val="24"/>
          <w:szCs w:val="24"/>
          <w:lang w:val="en-US" w:eastAsia="zh-CN"/>
        </w:rPr>
        <w:t>车间管理人员</w:t>
      </w:r>
      <w:r>
        <w:rPr>
          <w:rFonts w:hint="eastAsia" w:ascii="宋体" w:hAnsi="宋体" w:eastAsia="宋体" w:cs="宋体"/>
          <w:b w:val="0"/>
          <w:color w:val="auto"/>
          <w:sz w:val="24"/>
          <w:szCs w:val="24"/>
          <w:lang w:val="en-US" w:eastAsia="zh-CN"/>
        </w:rPr>
        <w:t>可直观了解各个员工的动态详情，了解未提交日动态人员信息。应集成景弘集团语音识别引擎实现语音识别转文字，快速实现信息的采集填写。</w:t>
      </w:r>
    </w:p>
    <w:p w14:paraId="0B3B56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11)</w:t>
      </w:r>
      <w:r>
        <w:rPr>
          <w:rFonts w:hint="eastAsia" w:ascii="宋体" w:hAnsi="宋体" w:eastAsia="宋体" w:cs="宋体"/>
          <w:b/>
          <w:bCs/>
          <w:color w:val="auto"/>
          <w:sz w:val="24"/>
          <w:szCs w:val="24"/>
        </w:rPr>
        <w:t>警囚沟通</w:t>
      </w:r>
    </w:p>
    <w:p w14:paraId="595B1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sz w:val="24"/>
          <w:szCs w:val="24"/>
          <w:lang w:val="en-US" w:eastAsia="zh-CN"/>
        </w:rPr>
      </w:pPr>
      <w:r>
        <w:rPr>
          <w:rFonts w:hint="eastAsia" w:ascii="宋体" w:hAnsi="宋体" w:cs="宋体"/>
          <w:color w:val="auto"/>
          <w:sz w:val="24"/>
          <w:szCs w:val="24"/>
          <w:lang w:val="en-US" w:eastAsia="zh-CN" w:bidi="ar-SA"/>
        </w:rPr>
        <w:t>11.1)</w:t>
      </w:r>
      <w:r>
        <w:rPr>
          <w:rFonts w:hint="eastAsia" w:ascii="宋体" w:hAnsi="宋体" w:eastAsia="宋体" w:cs="宋体"/>
          <w:color w:val="auto"/>
          <w:sz w:val="24"/>
          <w:szCs w:val="24"/>
          <w:lang w:val="en-US" w:eastAsia="zh-CN" w:bidi="ar-SA"/>
        </w:rPr>
        <w:t>警囚沟通搭建员工与管理人员沟通平台，实现员工可以与</w:t>
      </w:r>
      <w:r>
        <w:rPr>
          <w:rFonts w:hint="eastAsia" w:ascii="宋体" w:hAnsi="宋体" w:cs="宋体"/>
          <w:color w:val="auto"/>
          <w:sz w:val="24"/>
          <w:szCs w:val="24"/>
          <w:lang w:val="en-US" w:eastAsia="zh-CN" w:bidi="ar-SA"/>
        </w:rPr>
        <w:t>车间管理人员</w:t>
      </w:r>
      <w:r>
        <w:rPr>
          <w:rFonts w:hint="eastAsia" w:ascii="宋体" w:hAnsi="宋体" w:eastAsia="宋体" w:cs="宋体"/>
          <w:color w:val="auto"/>
          <w:sz w:val="24"/>
          <w:szCs w:val="24"/>
          <w:lang w:val="en-US" w:eastAsia="zh-CN" w:bidi="ar-SA"/>
        </w:rPr>
        <w:t>、</w:t>
      </w:r>
      <w:r>
        <w:rPr>
          <w:rFonts w:hint="eastAsia" w:ascii="宋体" w:hAnsi="宋体" w:cs="宋体"/>
          <w:color w:val="auto"/>
          <w:sz w:val="24"/>
          <w:szCs w:val="24"/>
          <w:lang w:val="en-US" w:eastAsia="zh-CN" w:bidi="ar-SA"/>
        </w:rPr>
        <w:t>分厂区领导</w:t>
      </w:r>
      <w:r>
        <w:rPr>
          <w:rFonts w:hint="eastAsia" w:ascii="宋体" w:hAnsi="宋体" w:eastAsia="宋体" w:cs="宋体"/>
          <w:color w:val="auto"/>
          <w:sz w:val="24"/>
          <w:szCs w:val="24"/>
          <w:lang w:val="en-US" w:eastAsia="zh-CN" w:bidi="ar-SA"/>
        </w:rPr>
        <w:t>、科室领导进行线上和线下的沟通交流。通过警囚沟</w:t>
      </w:r>
      <w:r>
        <w:rPr>
          <w:rFonts w:hint="eastAsia" w:ascii="宋体" w:hAnsi="宋体" w:eastAsia="宋体" w:cs="宋体"/>
          <w:b w:val="0"/>
          <w:color w:val="auto"/>
          <w:sz w:val="24"/>
          <w:szCs w:val="24"/>
          <w:lang w:val="en-US" w:eastAsia="zh-CN"/>
        </w:rPr>
        <w:t>通交流平台，设置论坛式以及个体式沟通途径，员工可以通过沟通平台主动向</w:t>
      </w:r>
      <w:r>
        <w:rPr>
          <w:rFonts w:hint="eastAsia" w:ascii="宋体" w:hAnsi="宋体" w:cs="宋体"/>
          <w:b w:val="0"/>
          <w:color w:val="auto"/>
          <w:sz w:val="24"/>
          <w:szCs w:val="24"/>
          <w:lang w:val="en-US" w:eastAsia="zh-CN"/>
        </w:rPr>
        <w:t>车间管理人员</w:t>
      </w:r>
      <w:r>
        <w:rPr>
          <w:rFonts w:hint="eastAsia" w:ascii="宋体" w:hAnsi="宋体" w:eastAsia="宋体" w:cs="宋体"/>
          <w:b w:val="0"/>
          <w:color w:val="auto"/>
          <w:sz w:val="24"/>
          <w:szCs w:val="24"/>
          <w:lang w:val="en-US" w:eastAsia="zh-CN"/>
        </w:rPr>
        <w:t>、</w:t>
      </w:r>
      <w:r>
        <w:rPr>
          <w:rFonts w:hint="eastAsia" w:ascii="宋体" w:hAnsi="宋体" w:cs="宋体"/>
          <w:b w:val="0"/>
          <w:color w:val="auto"/>
          <w:sz w:val="24"/>
          <w:szCs w:val="24"/>
          <w:lang w:val="en-US" w:eastAsia="zh-CN"/>
        </w:rPr>
        <w:t>分厂区领导</w:t>
      </w:r>
      <w:r>
        <w:rPr>
          <w:rFonts w:hint="eastAsia" w:ascii="宋体" w:hAnsi="宋体" w:eastAsia="宋体" w:cs="宋体"/>
          <w:b w:val="0"/>
          <w:color w:val="auto"/>
          <w:sz w:val="24"/>
          <w:szCs w:val="24"/>
          <w:lang w:val="en-US" w:eastAsia="zh-CN"/>
        </w:rPr>
        <w:t>进行咨询留言，待管理人员进行对应消息回复，支持文字、语音等多样化的消息互动体系。同时领导或</w:t>
      </w:r>
      <w:r>
        <w:rPr>
          <w:rFonts w:hint="eastAsia" w:ascii="宋体" w:hAnsi="宋体" w:cs="宋体"/>
          <w:b w:val="0"/>
          <w:color w:val="auto"/>
          <w:sz w:val="24"/>
          <w:szCs w:val="24"/>
          <w:lang w:val="en-US" w:eastAsia="zh-CN"/>
        </w:rPr>
        <w:t>车间管理人员</w:t>
      </w:r>
      <w:r>
        <w:rPr>
          <w:rFonts w:hint="eastAsia" w:ascii="宋体" w:hAnsi="宋体" w:eastAsia="宋体" w:cs="宋体"/>
          <w:b w:val="0"/>
          <w:color w:val="auto"/>
          <w:sz w:val="24"/>
          <w:szCs w:val="24"/>
          <w:lang w:val="en-US" w:eastAsia="zh-CN"/>
        </w:rPr>
        <w:t>可以通过文章发布功能进行信息分享与思想教育，员工可对文章浏览与留言回复，责任管理人员进行信息审核后可在评论区进行展示，形成良好的沟通交流环境。支持可以公开的可以全部看，个人隐私的只能个人看。发送到指定部门或指定人员，支持个人举报的内容填写。</w:t>
      </w:r>
      <w:r>
        <w:rPr>
          <w:rFonts w:hint="eastAsia" w:ascii="宋体" w:hAnsi="宋体" w:cs="宋体"/>
          <w:b w:val="0"/>
          <w:color w:val="auto"/>
          <w:sz w:val="24"/>
          <w:szCs w:val="24"/>
          <w:lang w:val="en-US" w:eastAsia="zh-CN"/>
        </w:rPr>
        <w:t>应包含以下功能：</w:t>
      </w:r>
    </w:p>
    <w:p w14:paraId="7F7A62D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Theme="minorEastAsia" w:cstheme="minorBidi"/>
          <w:sz w:val="24"/>
          <w:szCs w:val="22"/>
          <w:lang w:val="en-US" w:eastAsia="zh-CN" w:bidi="ar-SA"/>
        </w:rPr>
      </w:pPr>
      <w:r>
        <w:rPr>
          <w:rFonts w:hint="eastAsia" w:ascii="宋体" w:hAnsi="宋体" w:cs="宋体"/>
          <w:color w:val="auto"/>
          <w:sz w:val="24"/>
          <w:szCs w:val="24"/>
          <w:lang w:val="en-US" w:eastAsia="zh-CN" w:bidi="ar-SA"/>
        </w:rPr>
        <w:t>11.1.1)</w:t>
      </w:r>
      <w:r>
        <w:rPr>
          <w:rFonts w:hint="eastAsia" w:ascii="宋体" w:hAnsi="宋体" w:eastAsia="宋体" w:cs="宋体"/>
          <w:b w:val="0"/>
          <w:sz w:val="24"/>
          <w:szCs w:val="24"/>
          <w:lang w:val="en-US" w:eastAsia="zh-CN"/>
        </w:rPr>
        <w:t>文章发布：</w:t>
      </w:r>
      <w:r>
        <w:rPr>
          <w:rFonts w:hint="eastAsia" w:ascii="宋体" w:hAnsi="宋体" w:eastAsiaTheme="minorEastAsia" w:cstheme="minorBidi"/>
          <w:sz w:val="24"/>
          <w:szCs w:val="22"/>
          <w:lang w:val="en-US" w:eastAsia="zh-CN" w:bidi="ar-SA"/>
        </w:rPr>
        <w:t>管理人员、部门领导、科室领导可通过系统进行文章、信息等内容的发布，可进行批量发布或指定部门员工发布。</w:t>
      </w:r>
    </w:p>
    <w:p w14:paraId="6B0A775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Theme="minorEastAsia" w:cstheme="minorBidi"/>
          <w:sz w:val="24"/>
          <w:szCs w:val="22"/>
          <w:lang w:val="en-US" w:eastAsia="zh-CN" w:bidi="ar-SA"/>
        </w:rPr>
      </w:pPr>
      <w:r>
        <w:rPr>
          <w:rFonts w:hint="eastAsia" w:ascii="宋体" w:hAnsi="宋体" w:cs="宋体"/>
          <w:color w:val="auto"/>
          <w:sz w:val="24"/>
          <w:szCs w:val="24"/>
          <w:lang w:val="en-US" w:eastAsia="zh-CN" w:bidi="ar-SA"/>
        </w:rPr>
        <w:t>11.1.2)</w:t>
      </w:r>
      <w:r>
        <w:rPr>
          <w:rFonts w:hint="eastAsia" w:ascii="宋体" w:hAnsi="宋体" w:eastAsiaTheme="minorEastAsia" w:cstheme="minorBidi"/>
          <w:sz w:val="24"/>
          <w:szCs w:val="22"/>
          <w:lang w:val="en-US" w:eastAsia="zh-CN" w:bidi="ar-SA"/>
        </w:rPr>
        <w:t>信息回复：查询回复由员工提交上来信息内容，可通过文字、语音等都方式回复信息；</w:t>
      </w:r>
    </w:p>
    <w:p w14:paraId="39CA7C99">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Theme="minorEastAsia" w:cstheme="minorBidi"/>
          <w:sz w:val="24"/>
          <w:szCs w:val="22"/>
          <w:lang w:val="en-US" w:eastAsia="zh-CN" w:bidi="ar-SA"/>
        </w:rPr>
      </w:pPr>
      <w:r>
        <w:rPr>
          <w:rFonts w:hint="eastAsia" w:ascii="宋体" w:hAnsi="宋体" w:cs="宋体"/>
          <w:color w:val="auto"/>
          <w:sz w:val="24"/>
          <w:szCs w:val="24"/>
          <w:lang w:val="en-US" w:eastAsia="zh-CN" w:bidi="ar-SA"/>
        </w:rPr>
        <w:t>11.1.3)</w:t>
      </w:r>
      <w:r>
        <w:rPr>
          <w:rFonts w:hint="eastAsia" w:ascii="宋体" w:hAnsi="宋体" w:eastAsiaTheme="minorEastAsia" w:cstheme="minorBidi"/>
          <w:sz w:val="24"/>
          <w:szCs w:val="22"/>
          <w:lang w:val="en-US" w:eastAsia="zh-CN" w:bidi="ar-SA"/>
        </w:rPr>
        <w:t>信息管理：统一管理员工提交上来的问题，可对其进行增删改查等操作；</w:t>
      </w:r>
    </w:p>
    <w:p w14:paraId="5634BC5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Theme="minorEastAsia" w:cstheme="minorBidi"/>
          <w:sz w:val="24"/>
          <w:szCs w:val="22"/>
          <w:lang w:val="en-US" w:eastAsia="zh-CN" w:bidi="ar-SA"/>
        </w:rPr>
      </w:pPr>
      <w:r>
        <w:rPr>
          <w:rFonts w:hint="eastAsia" w:ascii="宋体" w:hAnsi="宋体" w:cs="宋体"/>
          <w:color w:val="auto"/>
          <w:sz w:val="24"/>
          <w:szCs w:val="24"/>
          <w:lang w:val="en-US" w:eastAsia="zh-CN" w:bidi="ar-SA"/>
        </w:rPr>
        <w:t>11.1.4)</w:t>
      </w:r>
      <w:r>
        <w:rPr>
          <w:rFonts w:hint="eastAsia" w:ascii="宋体" w:hAnsi="宋体" w:eastAsiaTheme="minorEastAsia" w:cstheme="minorBidi"/>
          <w:sz w:val="24"/>
          <w:szCs w:val="22"/>
          <w:lang w:val="en-US" w:eastAsia="zh-CN" w:bidi="ar-SA"/>
        </w:rPr>
        <w:t>信息发布：员工通过系统和上层管理者进行语音、文字沟通，可自定义选择沟通内容匿名或公开，可定已发布信息状态进行展示；</w:t>
      </w:r>
    </w:p>
    <w:p w14:paraId="0DA31C1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Theme="minorEastAsia" w:cstheme="minorBidi"/>
          <w:sz w:val="24"/>
          <w:szCs w:val="22"/>
          <w:lang w:val="en-US" w:eastAsia="zh-CN" w:bidi="ar-SA"/>
        </w:rPr>
      </w:pPr>
      <w:r>
        <w:rPr>
          <w:rFonts w:hint="eastAsia" w:ascii="宋体" w:hAnsi="宋体" w:cs="宋体"/>
          <w:color w:val="auto"/>
          <w:sz w:val="24"/>
          <w:szCs w:val="24"/>
          <w:lang w:val="en-US" w:eastAsia="zh-CN" w:bidi="ar-SA"/>
        </w:rPr>
        <w:t>11.1.5)</w:t>
      </w:r>
      <w:r>
        <w:rPr>
          <w:rFonts w:hint="eastAsia" w:ascii="宋体" w:hAnsi="宋体" w:eastAsiaTheme="minorEastAsia" w:cstheme="minorBidi"/>
          <w:sz w:val="24"/>
          <w:szCs w:val="22"/>
          <w:lang w:val="en-US" w:eastAsia="zh-CN" w:bidi="ar-SA"/>
        </w:rPr>
        <w:t>公开平台：可查看针对企业内部公开的文章、信息、员工问题等内容，可对公开内容进行评论；</w:t>
      </w:r>
    </w:p>
    <w:p w14:paraId="58CC925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color w:val="auto"/>
          <w:sz w:val="24"/>
          <w:szCs w:val="24"/>
          <w:lang w:val="en-US" w:eastAsia="zh-CN"/>
        </w:rPr>
      </w:pPr>
      <w:r>
        <w:rPr>
          <w:rFonts w:hint="eastAsia" w:ascii="宋体" w:hAnsi="宋体" w:cs="宋体"/>
          <w:color w:val="auto"/>
          <w:sz w:val="24"/>
          <w:szCs w:val="24"/>
          <w:lang w:val="en-US" w:eastAsia="zh-CN" w:bidi="ar-SA"/>
        </w:rPr>
        <w:t>11.1.6)</w:t>
      </w:r>
      <w:r>
        <w:rPr>
          <w:rFonts w:hint="eastAsia" w:ascii="宋体" w:hAnsi="宋体" w:eastAsiaTheme="minorEastAsia" w:cstheme="minorBidi"/>
          <w:sz w:val="24"/>
          <w:szCs w:val="22"/>
          <w:lang w:val="en-US" w:eastAsia="zh-CN" w:bidi="ar-SA"/>
        </w:rPr>
        <w:t>历史记录：查看历史信息发布记录。</w:t>
      </w:r>
    </w:p>
    <w:p w14:paraId="755C87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12)</w:t>
      </w:r>
      <w:r>
        <w:rPr>
          <w:rFonts w:hint="eastAsia" w:ascii="宋体" w:hAnsi="宋体" w:eastAsia="宋体" w:cs="宋体"/>
          <w:b/>
          <w:bCs/>
          <w:color w:val="auto"/>
          <w:sz w:val="24"/>
          <w:szCs w:val="24"/>
        </w:rPr>
        <w:t>音视频点播</w:t>
      </w:r>
    </w:p>
    <w:p w14:paraId="405B02A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对视频进行自定义分类、例如日常教育学习的文化教育与员工思想教育、技术教育类视频，以及娱乐休闲类视频，管理人员通过PC端将音视频上传至平台，设置对应视频的点播限制、点播规则、单次播放时长等信息，员工</w:t>
      </w:r>
      <w:r>
        <w:rPr>
          <w:rFonts w:hint="eastAsia" w:ascii="宋体" w:hAnsi="宋体" w:eastAsia="宋体" w:cs="宋体"/>
          <w:color w:val="auto"/>
          <w:sz w:val="24"/>
          <w:szCs w:val="24"/>
          <w:lang w:eastAsia="zh-Hans"/>
        </w:rPr>
        <w:t>自助</w:t>
      </w:r>
      <w:r>
        <w:rPr>
          <w:rFonts w:hint="eastAsia" w:ascii="宋体" w:hAnsi="宋体" w:eastAsia="宋体" w:cs="宋体"/>
          <w:color w:val="auto"/>
          <w:sz w:val="24"/>
          <w:szCs w:val="24"/>
        </w:rPr>
        <w:t>完成视频的点播浏览。</w:t>
      </w:r>
    </w:p>
    <w:p w14:paraId="2CB482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13)</w:t>
      </w:r>
      <w:r>
        <w:rPr>
          <w:rFonts w:hint="eastAsia" w:ascii="宋体" w:hAnsi="宋体" w:eastAsia="宋体" w:cs="宋体"/>
          <w:b/>
          <w:bCs/>
          <w:color w:val="auto"/>
          <w:sz w:val="24"/>
          <w:szCs w:val="24"/>
        </w:rPr>
        <w:t>个人中心</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33，完全响应此项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个人信息主要是显示员工的基本信息、个人资金流水情况、家属转账、消费购物及相关改造类信息，如考核情况、刑罚判决、账户信息、提醒类信息、虚拟积分等信息。相关信息需对接相应的银行系统及员工信息库。</w:t>
      </w:r>
      <w:r>
        <w:rPr>
          <w:rFonts w:hint="eastAsia" w:ascii="宋体" w:hAnsi="宋体" w:cs="宋体"/>
          <w:color w:val="auto"/>
          <w:sz w:val="24"/>
          <w:szCs w:val="24"/>
          <w:lang w:val="en-US" w:eastAsia="zh-CN"/>
        </w:rPr>
        <w:t>A.</w:t>
      </w:r>
      <w:r>
        <w:rPr>
          <w:rFonts w:hint="eastAsia" w:ascii="宋体" w:hAnsi="宋体" w:eastAsia="宋体" w:cs="宋体"/>
          <w:color w:val="auto"/>
          <w:sz w:val="24"/>
          <w:szCs w:val="24"/>
        </w:rPr>
        <w:t>基本信息包括：个人基本信息、自然信息、社会关系信息、刑期、入监日期、队别等等信息。</w:t>
      </w:r>
      <w:r>
        <w:rPr>
          <w:rFonts w:hint="eastAsia" w:ascii="宋体" w:hAnsi="宋体" w:cs="宋体"/>
          <w:color w:val="auto"/>
          <w:sz w:val="24"/>
          <w:szCs w:val="24"/>
          <w:lang w:val="en-US" w:eastAsia="zh-CN"/>
        </w:rPr>
        <w:t>B.</w:t>
      </w:r>
      <w:r>
        <w:rPr>
          <w:rFonts w:hint="eastAsia" w:ascii="宋体" w:hAnsi="宋体" w:eastAsia="宋体" w:cs="宋体"/>
          <w:color w:val="auto"/>
          <w:sz w:val="24"/>
          <w:szCs w:val="24"/>
        </w:rPr>
        <w:t>消费购物：可查看个人历次消费情况。</w:t>
      </w:r>
      <w:r>
        <w:rPr>
          <w:rFonts w:hint="eastAsia" w:ascii="宋体" w:hAnsi="宋体" w:cs="宋体"/>
          <w:color w:val="auto"/>
          <w:sz w:val="24"/>
          <w:szCs w:val="24"/>
          <w:lang w:val="en-US" w:eastAsia="zh-CN"/>
        </w:rPr>
        <w:t>C.</w:t>
      </w:r>
      <w:r>
        <w:rPr>
          <w:rFonts w:hint="eastAsia" w:ascii="宋体" w:hAnsi="宋体" w:eastAsia="宋体" w:cs="宋体"/>
          <w:color w:val="auto"/>
          <w:sz w:val="24"/>
          <w:szCs w:val="24"/>
        </w:rPr>
        <w:t>个人资金流水情况：包含家属转账、劳动报酬、单位转账（如奖励、路费等）等等信息。</w:t>
      </w:r>
      <w:r>
        <w:rPr>
          <w:rFonts w:hint="eastAsia" w:ascii="宋体" w:hAnsi="宋体" w:cs="宋体"/>
          <w:color w:val="auto"/>
          <w:sz w:val="24"/>
          <w:szCs w:val="24"/>
          <w:lang w:val="en-US" w:eastAsia="zh-CN"/>
        </w:rPr>
        <w:t>D.</w:t>
      </w:r>
      <w:r>
        <w:rPr>
          <w:rFonts w:hint="eastAsia" w:ascii="宋体" w:hAnsi="宋体" w:eastAsia="宋体" w:cs="宋体"/>
          <w:color w:val="auto"/>
          <w:sz w:val="24"/>
          <w:szCs w:val="24"/>
        </w:rPr>
        <w:t>虚拟积分：为积分兑换功能的积分信息，含目前积分及积分消费情况。</w:t>
      </w:r>
      <w:r>
        <w:rPr>
          <w:rFonts w:hint="eastAsia" w:ascii="宋体" w:hAnsi="宋体" w:cs="宋体"/>
          <w:color w:val="auto"/>
          <w:sz w:val="24"/>
          <w:szCs w:val="24"/>
          <w:lang w:val="en-US" w:eastAsia="zh-CN"/>
        </w:rPr>
        <w:t>E.</w:t>
      </w:r>
      <w:r>
        <w:rPr>
          <w:rFonts w:hint="eastAsia" w:ascii="宋体" w:hAnsi="宋体" w:eastAsia="宋体" w:cs="宋体"/>
          <w:color w:val="auto"/>
          <w:sz w:val="24"/>
          <w:szCs w:val="24"/>
        </w:rPr>
        <w:t>考核情况包括：员工自身每个月的考核情况、改造得分等信息。</w:t>
      </w:r>
      <w:r>
        <w:rPr>
          <w:rFonts w:hint="eastAsia" w:ascii="宋体" w:hAnsi="宋体" w:cs="宋体"/>
          <w:color w:val="auto"/>
          <w:sz w:val="24"/>
          <w:szCs w:val="24"/>
          <w:lang w:val="en-US" w:eastAsia="zh-CN"/>
        </w:rPr>
        <w:t>F.</w:t>
      </w:r>
      <w:r>
        <w:rPr>
          <w:rFonts w:hint="eastAsia" w:ascii="宋体" w:hAnsi="宋体" w:eastAsia="宋体" w:cs="宋体"/>
          <w:color w:val="auto"/>
          <w:sz w:val="24"/>
          <w:szCs w:val="24"/>
        </w:rPr>
        <w:t>减刑假释包括：历年减刑假释情况等信息。</w:t>
      </w:r>
    </w:p>
    <w:p w14:paraId="3DA34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rPr>
      </w:pPr>
      <w:r>
        <w:rPr>
          <w:rFonts w:hint="eastAsia" w:ascii="宋体" w:hAnsi="宋体" w:cs="宋体"/>
          <w:b/>
          <w:bCs/>
          <w:color w:val="auto"/>
          <w:sz w:val="24"/>
          <w:szCs w:val="24"/>
          <w:lang w:val="en-US" w:eastAsia="zh-CN"/>
        </w:rPr>
        <w:t>14)</w:t>
      </w:r>
      <w:r>
        <w:rPr>
          <w:rFonts w:hint="eastAsia" w:ascii="宋体" w:hAnsi="宋体" w:eastAsia="宋体" w:cs="宋体"/>
          <w:b/>
          <w:bCs/>
          <w:color w:val="auto"/>
          <w:sz w:val="24"/>
          <w:szCs w:val="24"/>
        </w:rPr>
        <w:t>可视对讲</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34，完全响应此项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并提供功能截图进行佐证的得</w:t>
      </w:r>
      <w:r>
        <w:rPr>
          <w:rFonts w:hint="eastAsia" w:asciiTheme="minorEastAsia" w:hAnsiTheme="minorEastAsia" w:eastAsiaTheme="minorEastAsia" w:cstheme="minorEastAsia"/>
          <w:b/>
          <w:bCs/>
          <w:sz w:val="24"/>
          <w:szCs w:val="32"/>
          <w:highlight w:val="none"/>
          <w:u w:val="double"/>
          <w:shd w:val="clear" w:color="FFFFFF" w:fill="D9D9D9"/>
          <w:lang w:val="en-US" w:eastAsia="zh-CN"/>
        </w:rPr>
        <w:t>1分</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A.</w:t>
      </w:r>
      <w:r>
        <w:rPr>
          <w:rFonts w:hint="eastAsia" w:ascii="宋体" w:hAnsi="宋体" w:eastAsia="宋体" w:cs="宋体"/>
          <w:color w:val="auto"/>
          <w:kern w:val="0"/>
          <w:sz w:val="24"/>
          <w:szCs w:val="24"/>
        </w:rPr>
        <w:t>当员工需要与值班管理人员进行异常情况汇报或提出诉求，可以通过监室交互终端可视对讲、或走廊对讲来呼叫值班室管理人员，管理人员可以通过可视对讲直接与员工进行对话交流，且观察其现场情况。</w:t>
      </w:r>
      <w:r>
        <w:rPr>
          <w:rFonts w:hint="eastAsia" w:ascii="宋体" w:hAnsi="宋体" w:cs="宋体"/>
          <w:color w:val="auto"/>
          <w:kern w:val="0"/>
          <w:sz w:val="24"/>
          <w:szCs w:val="24"/>
          <w:lang w:val="en-US" w:eastAsia="zh-CN"/>
        </w:rPr>
        <w:t>B.</w:t>
      </w:r>
      <w:r>
        <w:rPr>
          <w:rFonts w:hint="eastAsia" w:ascii="宋体" w:hAnsi="宋体" w:eastAsia="宋体" w:cs="宋体"/>
          <w:color w:val="auto"/>
          <w:kern w:val="0"/>
          <w:sz w:val="24"/>
          <w:szCs w:val="24"/>
        </w:rPr>
        <w:t>可视对讲需支持静默监听监视：管理人员值班室管控主机可对监室交互终端分机进行静默监视监听，在监视监听过程中分机无任何动作与提示，不会被察觉。</w:t>
      </w:r>
      <w:r>
        <w:rPr>
          <w:rFonts w:hint="eastAsia" w:ascii="宋体" w:hAnsi="宋体" w:cs="宋体"/>
          <w:color w:val="auto"/>
          <w:kern w:val="0"/>
          <w:sz w:val="24"/>
          <w:szCs w:val="24"/>
          <w:lang w:val="en-US" w:eastAsia="zh-CN"/>
        </w:rPr>
        <w:t>C.</w:t>
      </w:r>
      <w:r>
        <w:rPr>
          <w:rFonts w:hint="eastAsia" w:ascii="宋体" w:hAnsi="宋体" w:eastAsia="宋体" w:cs="宋体"/>
          <w:color w:val="auto"/>
          <w:kern w:val="0"/>
          <w:sz w:val="24"/>
          <w:szCs w:val="24"/>
        </w:rPr>
        <w:t>可视对讲支持广播功能，在日常工作中发现异常情况时，指挥中心或值班室管理主机向指定</w:t>
      </w:r>
      <w:r>
        <w:rPr>
          <w:rFonts w:hint="eastAsia" w:ascii="宋体" w:hAnsi="宋体" w:cs="宋体"/>
          <w:color w:val="auto"/>
          <w:kern w:val="0"/>
          <w:sz w:val="24"/>
          <w:szCs w:val="24"/>
          <w:lang w:eastAsia="zh-CN"/>
        </w:rPr>
        <w:t>车间所有宿舍</w:t>
      </w:r>
      <w:r>
        <w:rPr>
          <w:rFonts w:hint="eastAsia" w:ascii="宋体" w:hAnsi="宋体" w:eastAsia="宋体" w:cs="宋体"/>
          <w:color w:val="auto"/>
          <w:kern w:val="0"/>
          <w:sz w:val="24"/>
          <w:szCs w:val="24"/>
        </w:rPr>
        <w:t>一键发起广播喊话，支持自定义分组广播，支持文件广播、U盘广播、可定时播放宣教音频文件等，支持实时、定时广播。</w:t>
      </w:r>
    </w:p>
    <w:p w14:paraId="0E25BB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rPr>
      </w:pPr>
      <w:r>
        <w:rPr>
          <w:rFonts w:hint="eastAsia" w:ascii="宋体" w:hAnsi="宋体" w:cs="宋体"/>
          <w:b/>
          <w:bCs/>
          <w:color w:val="auto"/>
          <w:sz w:val="24"/>
          <w:szCs w:val="24"/>
          <w:lang w:val="en-US" w:eastAsia="zh-CN"/>
        </w:rPr>
        <w:t>15）</w:t>
      </w:r>
      <w:r>
        <w:rPr>
          <w:rFonts w:hint="eastAsia" w:ascii="宋体" w:hAnsi="宋体" w:eastAsia="宋体" w:cs="宋体"/>
          <w:b/>
          <w:bCs/>
          <w:color w:val="auto"/>
          <w:sz w:val="24"/>
          <w:szCs w:val="24"/>
        </w:rPr>
        <w:t>一键报警</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35，完全响应此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得1分</w:t>
      </w:r>
      <w:r>
        <w:rPr>
          <w:rFonts w:hint="eastAsia" w:ascii="宋体" w:hAnsi="宋体" w:cs="宋体"/>
          <w:b/>
          <w:bCs/>
          <w:color w:val="auto"/>
          <w:sz w:val="24"/>
          <w:szCs w:val="24"/>
          <w:lang w:eastAsia="zh-CN"/>
        </w:rPr>
        <w:t>）：</w:t>
      </w:r>
      <w:r>
        <w:rPr>
          <w:rFonts w:hint="eastAsia" w:ascii="宋体" w:hAnsi="宋体" w:eastAsia="宋体" w:cs="宋体"/>
          <w:color w:val="auto"/>
          <w:kern w:val="0"/>
          <w:sz w:val="24"/>
          <w:szCs w:val="24"/>
        </w:rPr>
        <w:t>当监舍内发生紧急突发情况，员工可以通过紧急报警按钮触发报警，终端可联动本层管理人员值班室管理主机，实现一键报警，在规定时间内未接警，报警信息将联动上一层管理主机直至指挥中心，基于语音能力实现一键报警的语音播报。</w:t>
      </w:r>
    </w:p>
    <w:p w14:paraId="4EA96B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rPr>
      </w:pPr>
      <w:r>
        <w:rPr>
          <w:rFonts w:hint="eastAsia" w:ascii="宋体" w:hAnsi="宋体" w:cs="宋体"/>
          <w:b/>
          <w:bCs/>
          <w:color w:val="auto"/>
          <w:sz w:val="24"/>
          <w:szCs w:val="24"/>
          <w:lang w:val="en-US" w:eastAsia="zh-CN"/>
        </w:rPr>
        <w:t>16）</w:t>
      </w:r>
      <w:r>
        <w:rPr>
          <w:rFonts w:hint="eastAsia" w:ascii="宋体" w:hAnsi="宋体" w:eastAsia="宋体" w:cs="宋体"/>
          <w:b/>
          <w:bCs/>
          <w:color w:val="auto"/>
          <w:sz w:val="24"/>
          <w:szCs w:val="24"/>
        </w:rPr>
        <w:t>人像采集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36，完全响应此项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得1分</w:t>
      </w:r>
      <w:r>
        <w:rPr>
          <w:rFonts w:hint="eastAsia" w:ascii="宋体" w:hAnsi="宋体" w:cs="宋体"/>
          <w:b/>
          <w:bCs/>
          <w:color w:val="auto"/>
          <w:sz w:val="24"/>
          <w:szCs w:val="24"/>
          <w:lang w:eastAsia="zh-CN"/>
        </w:rPr>
        <w:t>）：</w:t>
      </w:r>
      <w:r>
        <w:rPr>
          <w:rFonts w:hint="eastAsia" w:ascii="宋体" w:hAnsi="宋体" w:eastAsia="宋体" w:cs="宋体"/>
          <w:color w:val="auto"/>
          <w:kern w:val="0"/>
          <w:sz w:val="24"/>
          <w:szCs w:val="24"/>
        </w:rPr>
        <w:t>实现通过智能终端设备和管理人员警务通可实现对员工的人脸实时采集，并上传形成员工的标准人脸识别人脸库和特征库，便于系统做员工人脸识别认证。</w:t>
      </w:r>
    </w:p>
    <w:p w14:paraId="62CC61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17）</w:t>
      </w:r>
      <w:r>
        <w:rPr>
          <w:rFonts w:hint="eastAsia" w:ascii="宋体" w:hAnsi="宋体" w:eastAsia="宋体" w:cs="宋体"/>
          <w:b/>
          <w:bCs/>
          <w:color w:val="auto"/>
          <w:sz w:val="24"/>
          <w:szCs w:val="24"/>
          <w:lang w:val="en-US" w:eastAsia="zh-CN"/>
        </w:rPr>
        <w:t>被服申领</w:t>
      </w:r>
    </w:p>
    <w:p w14:paraId="4A7BBD9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因被服破旧损坏，为满足</w:t>
      </w:r>
      <w:r>
        <w:rPr>
          <w:rFonts w:hint="eastAsia" w:ascii="宋体" w:hAnsi="宋体" w:eastAsia="宋体" w:cs="宋体"/>
          <w:sz w:val="24"/>
          <w:szCs w:val="24"/>
          <w:lang w:val="en-US" w:eastAsia="zh-CN"/>
        </w:rPr>
        <w:t>员工</w:t>
      </w:r>
      <w:r>
        <w:rPr>
          <w:rFonts w:hint="eastAsia" w:ascii="宋体" w:hAnsi="宋体" w:eastAsia="宋体" w:cs="宋体"/>
          <w:sz w:val="24"/>
          <w:szCs w:val="24"/>
        </w:rPr>
        <w:t>需要重新更换被服的需求，系统可以提供被服申领功能开放给</w:t>
      </w:r>
      <w:r>
        <w:rPr>
          <w:rFonts w:hint="eastAsia" w:ascii="宋体" w:hAnsi="宋体" w:eastAsia="宋体" w:cs="宋体"/>
          <w:sz w:val="24"/>
          <w:szCs w:val="24"/>
          <w:lang w:val="en-US" w:eastAsia="zh-CN"/>
        </w:rPr>
        <w:t>员工</w:t>
      </w:r>
      <w:r>
        <w:rPr>
          <w:rFonts w:hint="eastAsia" w:ascii="宋体" w:hAnsi="宋体" w:eastAsia="宋体" w:cs="宋体"/>
          <w:sz w:val="24"/>
          <w:szCs w:val="24"/>
        </w:rPr>
        <w:t>用于被服申领申请，将申请提交给管理人员进行审核，同时并提交给相应科室进行审核后方可予以发放。平台后天需具备相关的统计功能。</w:t>
      </w:r>
    </w:p>
    <w:p w14:paraId="560228AB">
      <w:pPr>
        <w:spacing w:line="360" w:lineRule="auto"/>
        <w:outlineLvl w:val="3"/>
        <w:rPr>
          <w:rFonts w:hint="eastAsia"/>
          <w:b/>
          <w:bCs/>
          <w:sz w:val="24"/>
          <w:lang w:val="en-US" w:eastAsia="zh-CN"/>
        </w:rPr>
      </w:pPr>
      <w:r>
        <w:rPr>
          <w:rFonts w:hint="eastAsia"/>
          <w:b/>
          <w:bCs/>
          <w:sz w:val="24"/>
          <w:lang w:val="en-US" w:eastAsia="zh-CN"/>
        </w:rPr>
        <w:t>（3）警务通APP应用软件</w:t>
      </w:r>
    </w:p>
    <w:p w14:paraId="282B338F">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警务通APP应用软件为管理人员定制开发的，执勤管理人员通过移动警务端实现对员工业务的审批和办理以及信息发布，包含审批管理、预约管理、监室管理、图书管理、考试管理、信息发布、人像采集等功能。</w:t>
      </w:r>
    </w:p>
    <w:p w14:paraId="5D86CFE1">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en-US" w:eastAsia="zh-CN" w:bidi="ar"/>
        </w:rPr>
        <w:t>由于本次建设警务通APP作为闽狱通的子应用开放给管理人员使用，涉及到提醒管理人员消息推送到警务通端的应基于集成对接已建的数智一体化平台的闽狱通的统一消息服务实现消息推送。</w:t>
      </w:r>
    </w:p>
    <w:p w14:paraId="7CA520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shd w:val="clear" w:color="auto" w:fill="FFFFFF"/>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审批管理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37，完全响应此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管理人员通过移动警务端的审批管理是实现对员工的物品申领、积分兑换、电子书信、就诊预约等需要审批的业务在线审批办理。</w:t>
      </w:r>
    </w:p>
    <w:p w14:paraId="7247C3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shd w:val="clear" w:color="auto" w:fill="FFFFFF"/>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回复管理</w:t>
      </w:r>
      <w:r>
        <w:rPr>
          <w:rFonts w:hint="eastAsia" w:ascii="宋体" w:hAnsi="宋体" w:cs="宋体"/>
          <w:b/>
          <w:bCs/>
          <w:color w:val="auto"/>
          <w:sz w:val="24"/>
          <w:szCs w:val="24"/>
          <w:lang w:val="en-US" w:eastAsia="zh-CN"/>
        </w:rPr>
        <w:t>:</w:t>
      </w:r>
      <w:r>
        <w:rPr>
          <w:rFonts w:hint="eastAsia" w:ascii="宋体" w:hAnsi="宋体" w:eastAsia="宋体" w:cs="宋体"/>
          <w:color w:val="auto"/>
          <w:sz w:val="24"/>
          <w:szCs w:val="24"/>
          <w:shd w:val="clear" w:color="auto" w:fill="FFFFFF"/>
        </w:rPr>
        <w:t>管理人员通过移动警务端的回复管理是实现对员工的相关应用涉及回复的处置办理。</w:t>
      </w:r>
    </w:p>
    <w:p w14:paraId="563F25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监室管理</w:t>
      </w:r>
      <w:r>
        <w:rPr>
          <w:rFonts w:hint="eastAsia" w:ascii="宋体" w:hAnsi="宋体" w:cs="宋体"/>
          <w:b/>
          <w:bCs/>
          <w:color w:val="auto"/>
          <w:sz w:val="24"/>
          <w:szCs w:val="24"/>
          <w:lang w:val="en-US" w:eastAsia="zh-CN"/>
        </w:rPr>
        <w:t>:</w:t>
      </w:r>
      <w:r>
        <w:rPr>
          <w:rFonts w:hint="eastAsia" w:ascii="宋体" w:hAnsi="宋体" w:eastAsia="宋体" w:cs="宋体"/>
          <w:color w:val="auto"/>
          <w:kern w:val="0"/>
          <w:sz w:val="24"/>
          <w:szCs w:val="24"/>
        </w:rPr>
        <w:t>管理人员通过移动警务端的监室管理实现对监室的流动红旗评定、优秀监室评定审批，以及员工调动的审批办理。</w:t>
      </w:r>
    </w:p>
    <w:p w14:paraId="655D38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信息查看</w:t>
      </w:r>
      <w:r>
        <w:rPr>
          <w:rFonts w:hint="eastAsia" w:ascii="宋体" w:hAnsi="宋体" w:cs="宋体"/>
          <w:b/>
          <w:bCs/>
          <w:color w:val="auto"/>
          <w:sz w:val="24"/>
          <w:szCs w:val="24"/>
          <w:lang w:val="en-US" w:eastAsia="zh-CN"/>
        </w:rPr>
        <w:t>:</w:t>
      </w:r>
      <w:r>
        <w:rPr>
          <w:rFonts w:hint="eastAsia" w:ascii="宋体" w:hAnsi="宋体" w:eastAsia="宋体" w:cs="宋体"/>
          <w:color w:val="auto"/>
          <w:kern w:val="0"/>
          <w:sz w:val="24"/>
          <w:szCs w:val="24"/>
        </w:rPr>
        <w:t>管理人员通过警务通可以查看员工点名情况、员工的个人信息、监室日动态、会见通知、电子书信、教育考试情况等信息查看。</w:t>
      </w:r>
    </w:p>
    <w:p w14:paraId="578D3C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信息发布</w:t>
      </w:r>
      <w:r>
        <w:rPr>
          <w:rFonts w:hint="eastAsia" w:ascii="宋体" w:hAnsi="宋体" w:cs="宋体"/>
          <w:b/>
          <w:bCs/>
          <w:color w:val="auto"/>
          <w:sz w:val="24"/>
          <w:szCs w:val="24"/>
          <w:highlight w:val="none"/>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38，完全响应此项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的得0.5分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rPr>
        <w:t>管理人员对政策法规、通知公告、公示信息等信息编辑维护、发布。实现分级信息发布。</w:t>
      </w:r>
      <w:r>
        <w:rPr>
          <w:rFonts w:hint="eastAsia" w:ascii="宋体" w:hAnsi="宋体" w:cs="宋体"/>
          <w:color w:val="auto"/>
          <w:kern w:val="0"/>
          <w:sz w:val="24"/>
          <w:szCs w:val="24"/>
          <w:highlight w:val="none"/>
          <w:lang w:val="en-US" w:eastAsia="zh-CN"/>
        </w:rPr>
        <w:t>部门</w:t>
      </w:r>
      <w:r>
        <w:rPr>
          <w:rFonts w:hint="eastAsia" w:ascii="宋体" w:hAnsi="宋体" w:eastAsia="宋体" w:cs="宋体"/>
          <w:color w:val="auto"/>
          <w:kern w:val="0"/>
          <w:sz w:val="24"/>
          <w:szCs w:val="24"/>
          <w:highlight w:val="none"/>
        </w:rPr>
        <w:t>管理人员可发布</w:t>
      </w:r>
      <w:r>
        <w:rPr>
          <w:rFonts w:hint="eastAsia" w:ascii="宋体" w:hAnsi="宋体" w:cs="宋体"/>
          <w:color w:val="auto"/>
          <w:kern w:val="0"/>
          <w:sz w:val="24"/>
          <w:szCs w:val="24"/>
          <w:highlight w:val="none"/>
          <w:lang w:val="en-US" w:eastAsia="zh-CN"/>
        </w:rPr>
        <w:t>部门</w:t>
      </w:r>
      <w:r>
        <w:rPr>
          <w:rFonts w:hint="eastAsia" w:ascii="宋体" w:hAnsi="宋体" w:eastAsia="宋体" w:cs="宋体"/>
          <w:color w:val="auto"/>
          <w:kern w:val="0"/>
          <w:sz w:val="24"/>
          <w:szCs w:val="24"/>
          <w:highlight w:val="none"/>
        </w:rPr>
        <w:t>信息，所属</w:t>
      </w:r>
      <w:r>
        <w:rPr>
          <w:rFonts w:hint="eastAsia" w:ascii="宋体" w:hAnsi="宋体" w:cs="宋体"/>
          <w:color w:val="auto"/>
          <w:kern w:val="0"/>
          <w:sz w:val="24"/>
          <w:szCs w:val="24"/>
          <w:highlight w:val="none"/>
          <w:lang w:val="en-US" w:eastAsia="zh-CN"/>
        </w:rPr>
        <w:t>部门</w:t>
      </w:r>
      <w:r>
        <w:rPr>
          <w:rFonts w:hint="eastAsia" w:ascii="宋体" w:hAnsi="宋体" w:eastAsia="宋体" w:cs="宋体"/>
          <w:color w:val="auto"/>
          <w:kern w:val="0"/>
          <w:sz w:val="24"/>
          <w:szCs w:val="24"/>
          <w:highlight w:val="none"/>
        </w:rPr>
        <w:t>员工可在智慧交互终端查看，</w:t>
      </w:r>
      <w:r>
        <w:rPr>
          <w:rFonts w:hint="eastAsia" w:ascii="宋体" w:hAnsi="宋体" w:cs="宋体"/>
          <w:color w:val="auto"/>
          <w:kern w:val="0"/>
          <w:sz w:val="24"/>
          <w:szCs w:val="24"/>
          <w:highlight w:val="none"/>
          <w:lang w:val="en-US" w:eastAsia="zh-CN"/>
        </w:rPr>
        <w:t>下属部门</w:t>
      </w:r>
      <w:r>
        <w:rPr>
          <w:rFonts w:hint="eastAsia" w:ascii="宋体" w:hAnsi="宋体" w:eastAsia="宋体" w:cs="宋体"/>
          <w:color w:val="auto"/>
          <w:kern w:val="0"/>
          <w:sz w:val="24"/>
          <w:szCs w:val="24"/>
          <w:highlight w:val="none"/>
        </w:rPr>
        <w:t>领导可发布</w:t>
      </w:r>
      <w:r>
        <w:rPr>
          <w:rFonts w:hint="eastAsia" w:ascii="宋体" w:hAnsi="宋体" w:cs="宋体"/>
          <w:color w:val="auto"/>
          <w:kern w:val="0"/>
          <w:sz w:val="24"/>
          <w:szCs w:val="24"/>
          <w:highlight w:val="none"/>
          <w:lang w:val="en-US" w:eastAsia="zh-CN"/>
        </w:rPr>
        <w:t>下属部门</w:t>
      </w:r>
      <w:r>
        <w:rPr>
          <w:rFonts w:hint="eastAsia" w:ascii="宋体" w:hAnsi="宋体" w:eastAsia="宋体" w:cs="宋体"/>
          <w:color w:val="auto"/>
          <w:kern w:val="0"/>
          <w:sz w:val="24"/>
          <w:szCs w:val="24"/>
          <w:highlight w:val="none"/>
        </w:rPr>
        <w:t>信息，</w:t>
      </w:r>
      <w:r>
        <w:rPr>
          <w:rFonts w:hint="eastAsia" w:ascii="宋体" w:hAnsi="宋体" w:cs="宋体"/>
          <w:color w:val="auto"/>
          <w:kern w:val="0"/>
          <w:sz w:val="24"/>
          <w:szCs w:val="24"/>
          <w:highlight w:val="none"/>
          <w:lang w:val="en-US" w:eastAsia="zh-CN"/>
        </w:rPr>
        <w:t>下属部门</w:t>
      </w:r>
      <w:r>
        <w:rPr>
          <w:rFonts w:hint="eastAsia" w:ascii="宋体" w:hAnsi="宋体" w:eastAsia="宋体" w:cs="宋体"/>
          <w:color w:val="auto"/>
          <w:kern w:val="0"/>
          <w:sz w:val="24"/>
          <w:szCs w:val="24"/>
          <w:highlight w:val="none"/>
        </w:rPr>
        <w:t>员工可查看，科室管理人员可发布</w:t>
      </w:r>
      <w:r>
        <w:rPr>
          <w:rFonts w:hint="eastAsia" w:ascii="宋体" w:hAnsi="宋体" w:cs="宋体"/>
          <w:color w:val="auto"/>
          <w:kern w:val="0"/>
          <w:sz w:val="24"/>
          <w:szCs w:val="24"/>
          <w:lang w:val="en-US" w:eastAsia="zh-CN"/>
        </w:rPr>
        <w:t>子公司</w:t>
      </w:r>
      <w:r>
        <w:rPr>
          <w:rFonts w:hint="eastAsia" w:ascii="宋体" w:hAnsi="宋体" w:eastAsia="宋体" w:cs="宋体"/>
          <w:color w:val="auto"/>
          <w:kern w:val="0"/>
          <w:sz w:val="24"/>
          <w:szCs w:val="24"/>
          <w:highlight w:val="none"/>
        </w:rPr>
        <w:t>信息，所属</w:t>
      </w:r>
      <w:r>
        <w:rPr>
          <w:rFonts w:hint="eastAsia" w:ascii="宋体" w:hAnsi="宋体" w:cs="宋体"/>
          <w:color w:val="auto"/>
          <w:kern w:val="0"/>
          <w:sz w:val="24"/>
          <w:szCs w:val="24"/>
          <w:lang w:val="en-US" w:eastAsia="zh-CN"/>
        </w:rPr>
        <w:t>子公司</w:t>
      </w:r>
      <w:r>
        <w:rPr>
          <w:rFonts w:hint="eastAsia" w:ascii="宋体" w:hAnsi="宋体" w:eastAsia="宋体" w:cs="宋体"/>
          <w:color w:val="auto"/>
          <w:kern w:val="0"/>
          <w:sz w:val="24"/>
          <w:szCs w:val="24"/>
          <w:highlight w:val="none"/>
        </w:rPr>
        <w:t>员工可查看，</w:t>
      </w:r>
      <w:r>
        <w:rPr>
          <w:rFonts w:hint="eastAsia" w:ascii="宋体" w:hAnsi="宋体" w:cs="宋体"/>
          <w:color w:val="auto"/>
          <w:kern w:val="0"/>
          <w:sz w:val="24"/>
          <w:szCs w:val="24"/>
          <w:highlight w:val="none"/>
          <w:lang w:val="en-US" w:eastAsia="zh-CN"/>
        </w:rPr>
        <w:t>景弘集团</w:t>
      </w:r>
      <w:r>
        <w:rPr>
          <w:rFonts w:hint="eastAsia" w:ascii="宋体" w:hAnsi="宋体" w:eastAsia="宋体" w:cs="宋体"/>
          <w:color w:val="auto"/>
          <w:kern w:val="0"/>
          <w:sz w:val="24"/>
          <w:szCs w:val="24"/>
          <w:highlight w:val="none"/>
        </w:rPr>
        <w:t>管理人员可发布</w:t>
      </w:r>
      <w:r>
        <w:rPr>
          <w:rFonts w:hint="eastAsia" w:ascii="宋体" w:hAnsi="宋体" w:cs="宋体"/>
          <w:color w:val="auto"/>
          <w:kern w:val="0"/>
          <w:sz w:val="24"/>
          <w:szCs w:val="24"/>
          <w:highlight w:val="none"/>
          <w:lang w:val="en-US" w:eastAsia="zh-CN"/>
        </w:rPr>
        <w:t>集团</w:t>
      </w:r>
      <w:r>
        <w:rPr>
          <w:rFonts w:hint="eastAsia" w:ascii="宋体" w:hAnsi="宋体" w:eastAsia="宋体" w:cs="宋体"/>
          <w:color w:val="auto"/>
          <w:kern w:val="0"/>
          <w:sz w:val="24"/>
          <w:szCs w:val="24"/>
          <w:highlight w:val="none"/>
        </w:rPr>
        <w:t>信息，</w:t>
      </w:r>
      <w:r>
        <w:rPr>
          <w:rFonts w:hint="eastAsia" w:ascii="宋体" w:hAnsi="宋体" w:cs="宋体"/>
          <w:color w:val="auto"/>
          <w:kern w:val="0"/>
          <w:sz w:val="24"/>
          <w:szCs w:val="24"/>
          <w:highlight w:val="none"/>
          <w:lang w:val="en-US" w:eastAsia="zh-CN"/>
        </w:rPr>
        <w:t>集团所有</w:t>
      </w:r>
      <w:r>
        <w:rPr>
          <w:rFonts w:hint="eastAsia" w:ascii="宋体" w:hAnsi="宋体" w:eastAsia="宋体" w:cs="宋体"/>
          <w:color w:val="auto"/>
          <w:kern w:val="0"/>
          <w:sz w:val="24"/>
          <w:szCs w:val="24"/>
          <w:highlight w:val="none"/>
        </w:rPr>
        <w:t>员工可查看。信息发布支持自定义分类，不同的发布信息可以同时属于一种或者多种分类。</w:t>
      </w:r>
    </w:p>
    <w:p w14:paraId="0FB42E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人像采集</w:t>
      </w:r>
      <w:r>
        <w:rPr>
          <w:rFonts w:hint="eastAsia" w:ascii="宋体" w:hAnsi="宋体" w:cs="宋体"/>
          <w:b/>
          <w:bCs/>
          <w:color w:val="auto"/>
          <w:sz w:val="24"/>
          <w:szCs w:val="24"/>
          <w:lang w:val="en-US" w:eastAsia="zh-CN"/>
        </w:rPr>
        <w:t>:</w:t>
      </w:r>
      <w:r>
        <w:rPr>
          <w:rFonts w:hint="eastAsia" w:ascii="宋体" w:hAnsi="宋体" w:eastAsia="宋体" w:cs="宋体"/>
          <w:color w:val="auto"/>
          <w:kern w:val="0"/>
          <w:sz w:val="24"/>
          <w:szCs w:val="24"/>
        </w:rPr>
        <w:t>管理人员可通过移动警务端设备或智能</w:t>
      </w:r>
      <w:r>
        <w:rPr>
          <w:rFonts w:hint="eastAsia" w:ascii="宋体" w:hAnsi="宋体" w:cs="宋体"/>
          <w:color w:val="auto"/>
          <w:kern w:val="0"/>
          <w:sz w:val="24"/>
          <w:szCs w:val="24"/>
          <w:lang w:eastAsia="zh-CN"/>
        </w:rPr>
        <w:t>交互</w:t>
      </w:r>
      <w:r>
        <w:rPr>
          <w:rFonts w:hint="eastAsia" w:ascii="宋体" w:hAnsi="宋体" w:eastAsia="宋体" w:cs="宋体"/>
          <w:color w:val="auto"/>
          <w:kern w:val="0"/>
          <w:sz w:val="24"/>
          <w:szCs w:val="24"/>
        </w:rPr>
        <w:t>终端的人像采集功能实现对员工的人脸实时采集，并形成员工的人脸识别特征库，便于系统做员工人脸识别认证。</w:t>
      </w:r>
    </w:p>
    <w:p w14:paraId="74F9C4E5">
      <w:pPr>
        <w:spacing w:line="360" w:lineRule="auto"/>
        <w:outlineLvl w:val="3"/>
        <w:rPr>
          <w:rFonts w:hint="eastAsia"/>
        </w:rPr>
      </w:pPr>
      <w:r>
        <w:rPr>
          <w:rFonts w:hint="eastAsia"/>
          <w:b/>
          <w:bCs/>
          <w:sz w:val="24"/>
          <w:lang w:val="en-US" w:eastAsia="zh-CN"/>
        </w:rPr>
        <w:t>（4）管理终端APP应用软件</w:t>
      </w:r>
    </w:p>
    <w:p w14:paraId="751A6B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可视对讲</w:t>
      </w:r>
      <w:r>
        <w:rPr>
          <w:rFonts w:hint="eastAsia" w:ascii="宋体" w:hAnsi="宋体" w:cs="宋体"/>
          <w:b/>
          <w:bCs/>
          <w:color w:val="auto"/>
          <w:sz w:val="24"/>
          <w:szCs w:val="24"/>
          <w:highlight w:val="none"/>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39，完全响应此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可视对讲应实现值班室与指挥中心终端、值班室与监室的可视对讲功能，</w:t>
      </w:r>
      <w:r>
        <w:rPr>
          <w:rFonts w:hint="eastAsia" w:ascii="宋体" w:hAnsi="宋体" w:eastAsia="宋体" w:cs="宋体"/>
          <w:color w:val="auto"/>
          <w:kern w:val="0"/>
          <w:sz w:val="24"/>
          <w:szCs w:val="24"/>
          <w:highlight w:val="none"/>
        </w:rPr>
        <w:t>值班室管理人员管理主机可向所有或部分</w:t>
      </w:r>
      <w:r>
        <w:rPr>
          <w:rFonts w:hint="eastAsia" w:ascii="宋体" w:hAnsi="宋体" w:cs="宋体"/>
          <w:color w:val="auto"/>
          <w:kern w:val="0"/>
          <w:sz w:val="24"/>
          <w:szCs w:val="24"/>
          <w:highlight w:val="none"/>
          <w:lang w:eastAsia="zh-CN"/>
        </w:rPr>
        <w:t>宿舍</w:t>
      </w:r>
      <w:r>
        <w:rPr>
          <w:rFonts w:hint="eastAsia" w:ascii="宋体" w:hAnsi="宋体" w:eastAsia="宋体" w:cs="宋体"/>
          <w:color w:val="auto"/>
          <w:kern w:val="0"/>
          <w:sz w:val="24"/>
          <w:szCs w:val="24"/>
          <w:highlight w:val="none"/>
        </w:rPr>
        <w:t>监仓智能终端、走廊对讲发起广播。指挥中心管理主机可向所有或部分</w:t>
      </w:r>
      <w:r>
        <w:rPr>
          <w:rFonts w:hint="eastAsia" w:ascii="宋体" w:hAnsi="宋体" w:eastAsia="宋体" w:cs="宋体"/>
          <w:color w:val="auto"/>
          <w:kern w:val="0"/>
          <w:sz w:val="24"/>
          <w:szCs w:val="24"/>
          <w:highlight w:val="none"/>
          <w:lang w:val="en-US" w:eastAsia="zh-CN"/>
        </w:rPr>
        <w:t>监室</w:t>
      </w:r>
      <w:r>
        <w:rPr>
          <w:rFonts w:hint="eastAsia" w:ascii="宋体" w:hAnsi="宋体" w:eastAsia="宋体" w:cs="宋体"/>
          <w:color w:val="auto"/>
          <w:kern w:val="0"/>
          <w:sz w:val="24"/>
          <w:szCs w:val="24"/>
          <w:highlight w:val="none"/>
        </w:rPr>
        <w:t>智能终端、走廊对讲发起广播。</w:t>
      </w:r>
      <w:r>
        <w:rPr>
          <w:rFonts w:hint="eastAsia" w:ascii="宋体" w:hAnsi="宋体" w:eastAsia="宋体" w:cs="宋体"/>
          <w:color w:val="auto"/>
          <w:kern w:val="0"/>
          <w:sz w:val="24"/>
          <w:szCs w:val="24"/>
          <w:highlight w:val="none"/>
          <w:lang w:val="en-US" w:eastAsia="zh-CN"/>
        </w:rPr>
        <w:t>也可以</w:t>
      </w:r>
      <w:r>
        <w:rPr>
          <w:rFonts w:hint="eastAsia" w:ascii="宋体" w:hAnsi="宋体" w:eastAsia="宋体" w:cs="宋体"/>
          <w:color w:val="auto"/>
          <w:kern w:val="0"/>
          <w:sz w:val="24"/>
          <w:szCs w:val="24"/>
          <w:highlight w:val="none"/>
        </w:rPr>
        <w:t>向所有或部分值班室管理人员管理主机发起广播。</w:t>
      </w:r>
      <w:r>
        <w:rPr>
          <w:rFonts w:hint="eastAsia" w:ascii="宋体" w:hAnsi="宋体" w:eastAsia="宋体" w:cs="宋体"/>
          <w:color w:val="auto"/>
          <w:kern w:val="0"/>
          <w:sz w:val="24"/>
          <w:szCs w:val="24"/>
          <w:highlight w:val="none"/>
          <w:lang w:val="en-US" w:eastAsia="zh-CN"/>
        </w:rPr>
        <w:t>支持录音、视频回放功能。此处功能仅在值班室和指挥中心智能终端设备上实现</w:t>
      </w:r>
      <w:r>
        <w:rPr>
          <w:rFonts w:hint="eastAsia" w:ascii="宋体" w:hAnsi="宋体" w:eastAsia="宋体" w:cs="宋体"/>
          <w:b w:val="0"/>
          <w:bCs w:val="0"/>
          <w:color w:val="auto"/>
          <w:kern w:val="0"/>
          <w:sz w:val="24"/>
          <w:szCs w:val="24"/>
          <w:highlight w:val="none"/>
          <w:lang w:val="en-US" w:eastAsia="zh-CN"/>
        </w:rPr>
        <w:t>，不含警务通端实现。</w:t>
      </w:r>
    </w:p>
    <w:p w14:paraId="091E6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物联管控</w:t>
      </w:r>
      <w:r>
        <w:rPr>
          <w:rFonts w:hint="eastAsia" w:ascii="宋体" w:hAnsi="宋体" w:cs="宋体"/>
          <w:b/>
          <w:bCs/>
          <w:color w:val="auto"/>
          <w:sz w:val="24"/>
          <w:szCs w:val="24"/>
          <w:highlight w:val="none"/>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40，完全响应此项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本次物联管控仅实现值班室对监室的用电管控，通过接入智能电控系统，实现监舍楼内灯光、空调、其他设备等电器的用电控制和管理。此处功能仅在值班室和指挥中心智能终端设备上实现</w:t>
      </w:r>
      <w:r>
        <w:rPr>
          <w:rFonts w:hint="eastAsia" w:ascii="宋体" w:hAnsi="宋体" w:eastAsia="宋体" w:cs="宋体"/>
          <w:b w:val="0"/>
          <w:bCs w:val="0"/>
          <w:color w:val="auto"/>
          <w:kern w:val="0"/>
          <w:sz w:val="24"/>
          <w:szCs w:val="24"/>
          <w:highlight w:val="none"/>
          <w:lang w:val="en-US" w:eastAsia="zh-CN"/>
        </w:rPr>
        <w:t>，不含警务通端实现。</w:t>
      </w:r>
      <w:r>
        <w:rPr>
          <w:rFonts w:hint="eastAsia" w:ascii="宋体" w:hAnsi="宋体" w:eastAsia="宋体" w:cs="宋体"/>
          <w:color w:val="auto"/>
          <w:kern w:val="0"/>
          <w:sz w:val="24"/>
          <w:szCs w:val="24"/>
          <w:highlight w:val="none"/>
          <w:lang w:val="en-US" w:eastAsia="zh-CN"/>
        </w:rPr>
        <w:t>后续待水、监室门管控具备接入物联管控，平台应支持水、监室门等物联设备的接入控制。</w:t>
      </w:r>
    </w:p>
    <w:p w14:paraId="2A4387E4">
      <w:pPr>
        <w:spacing w:line="360" w:lineRule="auto"/>
        <w:outlineLvl w:val="3"/>
        <w:rPr>
          <w:rFonts w:hint="eastAsia"/>
          <w:highlight w:val="none"/>
        </w:rPr>
      </w:pPr>
      <w:r>
        <w:rPr>
          <w:rFonts w:hint="eastAsia"/>
          <w:b/>
          <w:bCs/>
          <w:sz w:val="24"/>
          <w:highlight w:val="none"/>
          <w:lang w:val="en-US" w:eastAsia="zh-CN"/>
        </w:rPr>
        <w:t>（5）人脸库建设</w:t>
      </w:r>
    </w:p>
    <w:p w14:paraId="2B274F25">
      <w:pPr>
        <w:pStyle w:val="2"/>
        <w:rPr>
          <w:rFonts w:hint="eastAsia"/>
          <w:highlight w:val="none"/>
          <w:lang w:val="en-US" w:eastAsia="zh-CN"/>
        </w:rPr>
      </w:pPr>
    </w:p>
    <w:p w14:paraId="27DF1F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cs="宋体"/>
          <w:b/>
          <w:bCs/>
          <w:color w:val="auto"/>
          <w:sz w:val="24"/>
          <w:szCs w:val="24"/>
          <w:highlight w:val="none"/>
          <w:lang w:val="en-US" w:eastAsia="zh-CN"/>
        </w:rPr>
        <w:t>1)</w:t>
      </w:r>
      <w:r>
        <w:rPr>
          <w:rFonts w:hint="eastAsia"/>
          <w:b/>
          <w:bCs/>
          <w:sz w:val="24"/>
          <w:highlight w:val="none"/>
          <w:lang w:val="en-US" w:eastAsia="zh-CN"/>
        </w:rPr>
        <w:t>人脸库建设</w:t>
      </w:r>
      <w:r>
        <w:rPr>
          <w:rFonts w:hint="eastAsia" w:ascii="宋体" w:hAnsi="宋体" w:cs="宋体"/>
          <w:b/>
          <w:bCs/>
          <w:color w:val="auto"/>
          <w:sz w:val="24"/>
          <w:szCs w:val="24"/>
          <w:highlight w:val="none"/>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41，完全响应</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此项并提供功能截图进行佐证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的得1分</w:t>
      </w:r>
      <w:r>
        <w:rPr>
          <w:rFonts w:hint="eastAsia" w:ascii="宋体" w:hAnsi="宋体" w:cs="宋体"/>
          <w:b/>
          <w:bCs/>
          <w:color w:val="auto"/>
          <w:sz w:val="24"/>
          <w:szCs w:val="24"/>
          <w:highlight w:val="none"/>
          <w:lang w:eastAsia="zh-CN"/>
        </w:rPr>
        <w:t>）：</w:t>
      </w:r>
      <w:r>
        <w:rPr>
          <w:rFonts w:hint="eastAsia" w:ascii="宋体" w:hAnsi="宋体" w:eastAsia="宋体" w:cs="宋体"/>
          <w:color w:val="auto"/>
          <w:kern w:val="0"/>
          <w:sz w:val="24"/>
          <w:szCs w:val="22"/>
          <w:highlight w:val="none"/>
          <w:lang w:val="en-US" w:eastAsia="zh-CN" w:bidi="ar-SA"/>
        </w:rPr>
        <w:t>建立全省员工统一人脸数据库，主要包含人脸正面照片和人脸特征值，能支持全省至少8000个监仓智能终端设备（不同厂家）的人脸识别能力。平台需能提供标准的人脸图片采集调用和同步接口服务，集成不同厂商的人脸特征算法SDK或API生成人脸特征值。人脸照片采集的方式包含以下两种方式实现：</w:t>
      </w:r>
      <w:r>
        <w:rPr>
          <w:rFonts w:hint="eastAsia" w:ascii="宋体" w:hAnsi="宋体" w:cs="宋体"/>
          <w:color w:val="auto"/>
          <w:kern w:val="0"/>
          <w:sz w:val="24"/>
          <w:szCs w:val="22"/>
          <w:highlight w:val="none"/>
          <w:lang w:val="en-US" w:eastAsia="zh-CN" w:bidi="ar-SA"/>
        </w:rPr>
        <w:t>A.</w:t>
      </w:r>
      <w:r>
        <w:rPr>
          <w:rFonts w:hint="eastAsia" w:ascii="宋体" w:hAnsi="宋体" w:eastAsia="宋体" w:cs="宋体"/>
          <w:color w:val="auto"/>
          <w:kern w:val="0"/>
          <w:sz w:val="24"/>
          <w:szCs w:val="22"/>
          <w:highlight w:val="none"/>
          <w:lang w:val="en-US" w:eastAsia="zh-CN" w:bidi="ar-SA"/>
        </w:rPr>
        <w:t>通过人脸照片同步服务接口实现狱政刑执软件员工基础信息和人脸照片的自动同步，根据分区域分类创建人脸图片资源目录，同时平台支持人脸照片及 基础信息的批量导入导出功能；</w:t>
      </w:r>
      <w:r>
        <w:rPr>
          <w:rFonts w:hint="eastAsia" w:ascii="宋体" w:hAnsi="宋体" w:cs="宋体"/>
          <w:color w:val="auto"/>
          <w:kern w:val="0"/>
          <w:sz w:val="24"/>
          <w:szCs w:val="22"/>
          <w:highlight w:val="none"/>
          <w:lang w:val="en-US" w:eastAsia="zh-CN" w:bidi="ar-SA"/>
        </w:rPr>
        <w:t>B.</w:t>
      </w:r>
      <w:r>
        <w:rPr>
          <w:rFonts w:hint="eastAsia" w:ascii="宋体" w:hAnsi="宋体" w:eastAsia="宋体" w:cs="宋体"/>
          <w:color w:val="auto"/>
          <w:kern w:val="0"/>
          <w:sz w:val="24"/>
          <w:szCs w:val="22"/>
          <w:highlight w:val="none"/>
          <w:lang w:val="en-US" w:eastAsia="zh-CN" w:bidi="ar-SA"/>
        </w:rPr>
        <w:t>基于监室交互终端和警务通的人像采集APP，实现单个员工的人像照片采集，并将采集照片按照标准尺寸大小要求自动加密传输并保存至人脸库，实现对人像照片的更新和实时补采。人脸特</w:t>
      </w:r>
      <w:r>
        <w:rPr>
          <w:rFonts w:hint="eastAsia" w:ascii="宋体" w:hAnsi="宋体" w:eastAsia="宋体" w:cs="宋体"/>
          <w:b w:val="0"/>
          <w:bCs w:val="0"/>
          <w:color w:val="auto"/>
          <w:kern w:val="0"/>
          <w:sz w:val="24"/>
          <w:szCs w:val="22"/>
          <w:highlight w:val="none"/>
          <w:lang w:val="en-US" w:eastAsia="zh-CN" w:bidi="ar-SA"/>
        </w:rPr>
        <w:t>征值采</w:t>
      </w:r>
      <w:r>
        <w:rPr>
          <w:rFonts w:hint="eastAsia" w:ascii="宋体" w:hAnsi="宋体" w:eastAsia="宋体" w:cs="宋体"/>
          <w:color w:val="auto"/>
          <w:kern w:val="0"/>
          <w:sz w:val="24"/>
          <w:szCs w:val="22"/>
          <w:highlight w:val="none"/>
          <w:lang w:val="en-US" w:eastAsia="zh-CN" w:bidi="ar-SA"/>
        </w:rPr>
        <w:t>集的方式是</w:t>
      </w:r>
      <w:r>
        <w:rPr>
          <w:rFonts w:hint="eastAsia" w:ascii="宋体" w:hAnsi="宋体" w:eastAsia="宋体" w:cs="宋体"/>
          <w:b w:val="0"/>
          <w:bCs w:val="0"/>
          <w:color w:val="auto"/>
          <w:kern w:val="0"/>
          <w:sz w:val="24"/>
          <w:szCs w:val="22"/>
          <w:highlight w:val="none"/>
          <w:lang w:val="en-US" w:eastAsia="zh-CN" w:bidi="ar-SA"/>
        </w:rPr>
        <w:t>平台基于各终端设备提供的人脸识别算法SDK或API服务，</w:t>
      </w:r>
      <w:r>
        <w:rPr>
          <w:rFonts w:hint="eastAsia" w:ascii="宋体" w:hAnsi="宋体" w:eastAsia="宋体" w:cs="宋体"/>
          <w:color w:val="auto"/>
          <w:kern w:val="0"/>
          <w:sz w:val="24"/>
          <w:szCs w:val="22"/>
          <w:highlight w:val="none"/>
          <w:lang w:val="en-US" w:eastAsia="zh-CN" w:bidi="ar-SA"/>
        </w:rPr>
        <w:t>将上述的同步和采集的照片按照人脸特征生成算法批量生成人脸特征值存储到人脸库中。同时平台基于人脸库建设人脸照片获取和人脸特征获取的统一服务接口和人员变动数据推送服务接口，支持单个或多个员工的人脸照片和人脸特征获取，以及数据推送服务功能，数据传输是基于国密算法加密传输；将待推送下发的数据进行压缩加密，支持按监室或中队进行推送，减小数据传输的速度影响。</w:t>
      </w:r>
    </w:p>
    <w:bookmarkEnd w:id="56"/>
    <w:p w14:paraId="754CDB9B">
      <w:pPr>
        <w:spacing w:line="360" w:lineRule="auto"/>
        <w:jc w:val="left"/>
        <w:outlineLvl w:val="1"/>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★四、商务条件（以下</w:t>
      </w:r>
      <w:r>
        <w:rPr>
          <w:rFonts w:hint="eastAsia" w:cs="Times New Roman"/>
          <w:b/>
          <w:bCs/>
          <w:sz w:val="24"/>
          <w:lang w:val="en-US" w:eastAsia="zh-CN"/>
        </w:rPr>
        <w:t>内容</w:t>
      </w:r>
      <w:r>
        <w:rPr>
          <w:rFonts w:hint="eastAsia" w:ascii="Times New Roman" w:hAnsi="Times New Roman" w:cs="Times New Roman"/>
          <w:b/>
          <w:bCs/>
          <w:sz w:val="24"/>
          <w:lang w:val="en-US" w:eastAsia="zh-CN"/>
        </w:rPr>
        <w:t>均为不允许负偏离的实质性要求）</w:t>
      </w:r>
    </w:p>
    <w:bookmarkEnd w:id="57"/>
    <w:bookmarkEnd w:id="58"/>
    <w:bookmarkEnd w:id="59"/>
    <w:bookmarkEnd w:id="60"/>
    <w:bookmarkEnd w:id="61"/>
    <w:bookmarkEnd w:id="62"/>
    <w:bookmarkEnd w:id="63"/>
    <w:p w14:paraId="1CE36A49">
      <w:pPr>
        <w:pStyle w:val="11"/>
        <w:spacing w:before="0" w:beforeAutospacing="0" w:after="0" w:afterAutospacing="0" w:line="360" w:lineRule="auto"/>
        <w:rPr>
          <w:rStyle w:val="17"/>
          <w:rFonts w:asciiTheme="minorEastAsia" w:hAnsiTheme="minorEastAsia" w:eastAsiaTheme="minorEastAsia" w:cstheme="minorEastAsia"/>
          <w:b w:val="0"/>
        </w:rPr>
      </w:pPr>
      <w:r>
        <w:rPr>
          <w:rStyle w:val="17"/>
          <w:rFonts w:hint="eastAsia" w:asciiTheme="minorEastAsia" w:hAnsiTheme="minorEastAsia" w:eastAsiaTheme="minorEastAsia" w:cstheme="minorEastAsia"/>
        </w:rPr>
        <w:t>1</w:t>
      </w:r>
      <w:r>
        <w:rPr>
          <w:rStyle w:val="17"/>
          <w:rFonts w:hint="eastAsia" w:asciiTheme="minorEastAsia" w:hAnsiTheme="minorEastAsia" w:eastAsiaTheme="minorEastAsia" w:cstheme="minorEastAsia"/>
          <w:lang w:val="en-US" w:eastAsia="zh-CN"/>
        </w:rPr>
        <w:t>.</w:t>
      </w:r>
      <w:r>
        <w:rPr>
          <w:rStyle w:val="17"/>
          <w:rFonts w:hint="eastAsia" w:asciiTheme="minorEastAsia" w:hAnsiTheme="minorEastAsia" w:eastAsiaTheme="minorEastAsia" w:cstheme="minorEastAsia"/>
        </w:rPr>
        <w:t>服务地点：</w:t>
      </w:r>
      <w:r>
        <w:rPr>
          <w:rStyle w:val="17"/>
          <w:rFonts w:hint="eastAsia" w:asciiTheme="minorEastAsia" w:hAnsiTheme="minorEastAsia" w:eastAsiaTheme="minorEastAsia" w:cstheme="minorEastAsia"/>
          <w:b w:val="0"/>
          <w:bCs/>
        </w:rPr>
        <w:t>招标人指定地点。</w:t>
      </w:r>
    </w:p>
    <w:p w14:paraId="5DC820DE">
      <w:pPr>
        <w:pStyle w:val="11"/>
        <w:spacing w:before="0" w:beforeAutospacing="0" w:after="0" w:afterAutospacing="0" w:line="360" w:lineRule="auto"/>
        <w:rPr>
          <w:rStyle w:val="17"/>
          <w:rFonts w:asciiTheme="minorEastAsia" w:hAnsiTheme="minorEastAsia" w:eastAsiaTheme="minorEastAsia" w:cstheme="minorEastAsia"/>
          <w:b w:val="0"/>
          <w:color w:val="auto"/>
        </w:rPr>
      </w:pPr>
      <w:r>
        <w:rPr>
          <w:rStyle w:val="17"/>
          <w:rFonts w:hint="eastAsia" w:asciiTheme="minorEastAsia" w:hAnsiTheme="minorEastAsia" w:eastAsiaTheme="minorEastAsia" w:cstheme="minorEastAsia"/>
        </w:rPr>
        <w:t>2</w:t>
      </w:r>
      <w:r>
        <w:rPr>
          <w:rStyle w:val="17"/>
          <w:rFonts w:hint="eastAsia" w:asciiTheme="minorEastAsia" w:hAnsiTheme="minorEastAsia" w:eastAsiaTheme="minorEastAsia" w:cstheme="minorEastAsia"/>
          <w:lang w:val="en-US" w:eastAsia="zh-CN"/>
        </w:rPr>
        <w:t>.</w:t>
      </w:r>
      <w:r>
        <w:rPr>
          <w:rStyle w:val="17"/>
          <w:rFonts w:hint="eastAsia" w:asciiTheme="minorEastAsia" w:hAnsiTheme="minorEastAsia" w:eastAsiaTheme="minorEastAsia" w:cstheme="minorEastAsia"/>
        </w:rPr>
        <w:t>服务时间：</w:t>
      </w:r>
      <w:r>
        <w:rPr>
          <w:rFonts w:hint="eastAsia" w:ascii="宋体" w:hAnsi="宋体" w:eastAsia="宋体" w:cs="宋体"/>
          <w:b w:val="0"/>
          <w:bCs w:val="0"/>
          <w:color w:val="auto"/>
          <w:kern w:val="2"/>
          <w:sz w:val="24"/>
          <w:szCs w:val="24"/>
          <w:lang w:val="en-US" w:eastAsia="zh-CN" w:bidi="ar-SA"/>
        </w:rPr>
        <w:t>合同签订后一年内完成，其中前90天内要完成员工一体化交互平台的应用底座、自助购物、警囚沟通的开发和上线</w:t>
      </w:r>
      <w:r>
        <w:rPr>
          <w:rFonts w:hint="eastAsia" w:asciiTheme="minorEastAsia" w:hAnsiTheme="minorEastAsia" w:eastAsiaTheme="minorEastAsia" w:cstheme="minorEastAsia"/>
          <w:color w:val="auto"/>
          <w:sz w:val="24"/>
          <w:szCs w:val="24"/>
          <w:lang w:val="en-US" w:eastAsia="zh-CN"/>
        </w:rPr>
        <w:t>试运行</w:t>
      </w:r>
      <w:r>
        <w:rPr>
          <w:rFonts w:hint="eastAsia" w:ascii="宋体" w:hAnsi="宋体" w:eastAsia="宋体" w:cs="宋体"/>
          <w:b w:val="0"/>
          <w:bCs w:val="0"/>
          <w:color w:val="auto"/>
          <w:kern w:val="2"/>
          <w:sz w:val="24"/>
          <w:szCs w:val="24"/>
          <w:lang w:val="en-US" w:eastAsia="zh-CN" w:bidi="ar-SA"/>
        </w:rPr>
        <w:t>。</w:t>
      </w:r>
    </w:p>
    <w:p w14:paraId="4A8B35D4">
      <w:pPr>
        <w:pStyle w:val="11"/>
        <w:spacing w:before="0" w:beforeAutospacing="0" w:after="0" w:afterAutospacing="0" w:line="360" w:lineRule="auto"/>
        <w:rPr>
          <w:rStyle w:val="17"/>
          <w:rFonts w:hint="eastAsia" w:asciiTheme="minorEastAsia" w:hAnsiTheme="minorEastAsia" w:eastAsiaTheme="minorEastAsia" w:cstheme="minorEastAsia"/>
          <w:b w:val="0"/>
          <w:lang w:eastAsia="zh-CN"/>
        </w:rPr>
      </w:pPr>
      <w:r>
        <w:rPr>
          <w:rStyle w:val="17"/>
          <w:rFonts w:hint="eastAsia" w:asciiTheme="minorEastAsia" w:hAnsiTheme="minorEastAsia" w:eastAsiaTheme="minorEastAsia" w:cstheme="minorEastAsia"/>
        </w:rPr>
        <w:t>3</w:t>
      </w:r>
      <w:r>
        <w:rPr>
          <w:rStyle w:val="17"/>
          <w:rFonts w:hint="eastAsia" w:asciiTheme="minorEastAsia" w:hAnsiTheme="minorEastAsia" w:eastAsiaTheme="minorEastAsia" w:cstheme="minorEastAsia"/>
          <w:lang w:val="en-US" w:eastAsia="zh-CN"/>
        </w:rPr>
        <w:t>.</w:t>
      </w:r>
      <w:r>
        <w:rPr>
          <w:rStyle w:val="17"/>
          <w:rFonts w:hint="eastAsia" w:asciiTheme="minorEastAsia" w:hAnsiTheme="minorEastAsia" w:eastAsiaTheme="minorEastAsia" w:cstheme="minorEastAsia"/>
        </w:rPr>
        <w:t>交付条件：</w:t>
      </w:r>
      <w:r>
        <w:rPr>
          <w:rStyle w:val="17"/>
          <w:rFonts w:hint="eastAsia" w:asciiTheme="minorEastAsia" w:hAnsiTheme="minorEastAsia" w:eastAsiaTheme="minorEastAsia" w:cstheme="minorEastAsia"/>
          <w:b w:val="0"/>
          <w:bCs/>
          <w:lang w:eastAsia="zh-CN"/>
        </w:rPr>
        <w:t>验收合格后交付使用。</w:t>
      </w:r>
    </w:p>
    <w:p w14:paraId="3EA0F729">
      <w:pPr>
        <w:tabs>
          <w:tab w:val="left" w:pos="525"/>
        </w:tabs>
        <w:spacing w:line="360" w:lineRule="auto"/>
        <w:rPr>
          <w:rStyle w:val="17"/>
          <w:rFonts w:asciiTheme="minorEastAsia" w:hAnsiTheme="minorEastAsia" w:eastAsiaTheme="minorEastAsia" w:cstheme="minorEastAsia"/>
          <w:b w:val="0"/>
          <w:color w:val="auto"/>
          <w:sz w:val="24"/>
        </w:rPr>
      </w:pPr>
      <w:r>
        <w:rPr>
          <w:rStyle w:val="17"/>
          <w:rFonts w:hint="eastAsia" w:asciiTheme="minorEastAsia" w:hAnsiTheme="minorEastAsia" w:eastAsiaTheme="minorEastAsia" w:cstheme="minorEastAsia"/>
          <w:sz w:val="24"/>
        </w:rPr>
        <w:t>4</w:t>
      </w:r>
      <w:r>
        <w:rPr>
          <w:rStyle w:val="17"/>
          <w:rFonts w:hint="eastAsia" w:asciiTheme="minorEastAsia" w:hAnsiTheme="minorEastAsia" w:eastAsiaTheme="minorEastAsia" w:cstheme="minorEastAsia"/>
          <w:sz w:val="24"/>
          <w:lang w:val="en-US" w:eastAsia="zh-CN"/>
        </w:rPr>
        <w:t>.</w:t>
      </w:r>
      <w:r>
        <w:rPr>
          <w:rStyle w:val="17"/>
          <w:rFonts w:hint="eastAsia" w:asciiTheme="minorEastAsia" w:hAnsiTheme="minorEastAsia" w:eastAsiaTheme="minorEastAsia" w:cstheme="minorEastAsia"/>
          <w:sz w:val="24"/>
        </w:rPr>
        <w:t>是否收取履约保证金：</w:t>
      </w:r>
      <w:r>
        <w:rPr>
          <w:rFonts w:hint="eastAsia" w:ascii="宋体" w:hAnsi="宋体" w:eastAsia="宋体" w:cs="宋体"/>
          <w:b w:val="0"/>
          <w:bCs w:val="0"/>
          <w:color w:val="auto"/>
          <w:sz w:val="24"/>
          <w:lang w:val="en-US" w:eastAsia="zh-CN"/>
        </w:rPr>
        <w:t>中标人需在签订合同前向招标人支付合同金额的5%作为履约保证金。履约保证金以银行转账、支票、汇票、本票或银行无条件支付保函（保函的有效期覆盖服务期内）等非现金形式向招标人缴交，如中标人未按合同有关规定履行其义务，招标人有权不予退还履约保证金。该履约保证金在合同约定全部事项履行完毕，经招标人确认双方无未了事项后，招标人在收到中标人书面申请30日内无息退还。</w:t>
      </w:r>
    </w:p>
    <w:p w14:paraId="21A54CF7">
      <w:pPr>
        <w:pStyle w:val="11"/>
        <w:spacing w:before="0" w:beforeAutospacing="0" w:after="0" w:afterAutospacing="0" w:line="360" w:lineRule="auto"/>
        <w:rPr>
          <w:rStyle w:val="17"/>
          <w:rFonts w:hint="eastAsia" w:asciiTheme="minorEastAsia" w:hAnsiTheme="minorEastAsia" w:eastAsiaTheme="minorEastAsia" w:cstheme="minorEastAsia"/>
          <w:b w:val="0"/>
          <w:lang w:val="en-US" w:eastAsia="zh-CN"/>
        </w:rPr>
      </w:pPr>
      <w:r>
        <w:rPr>
          <w:rStyle w:val="17"/>
          <w:rFonts w:hint="eastAsia" w:asciiTheme="minorEastAsia" w:hAnsiTheme="minorEastAsia" w:eastAsiaTheme="minorEastAsia" w:cstheme="minorEastAsia"/>
        </w:rPr>
        <w:t>5</w:t>
      </w:r>
      <w:r>
        <w:rPr>
          <w:rStyle w:val="17"/>
          <w:rFonts w:hint="eastAsia" w:asciiTheme="minorEastAsia" w:hAnsiTheme="minorEastAsia" w:eastAsiaTheme="minorEastAsia" w:cstheme="minorEastAsia"/>
          <w:lang w:val="en-US" w:eastAsia="zh-CN"/>
        </w:rPr>
        <w:t>.</w:t>
      </w:r>
      <w:r>
        <w:rPr>
          <w:rStyle w:val="17"/>
          <w:rFonts w:hint="eastAsia" w:asciiTheme="minorEastAsia" w:hAnsiTheme="minorEastAsia" w:eastAsiaTheme="minorEastAsia" w:cstheme="minorEastAsia"/>
        </w:rPr>
        <w:t>是否邀请</w:t>
      </w:r>
      <w:r>
        <w:rPr>
          <w:rStyle w:val="17"/>
          <w:rFonts w:hint="eastAsia" w:asciiTheme="minorEastAsia" w:hAnsiTheme="minorEastAsia" w:eastAsiaTheme="minorEastAsia" w:cstheme="minorEastAsia"/>
          <w:lang w:eastAsia="zh-CN"/>
        </w:rPr>
        <w:t>未</w:t>
      </w:r>
      <w:r>
        <w:rPr>
          <w:rStyle w:val="17"/>
          <w:rFonts w:hint="eastAsia" w:asciiTheme="minorEastAsia" w:hAnsiTheme="minorEastAsia" w:eastAsiaTheme="minorEastAsia" w:cstheme="minorEastAsia"/>
        </w:rPr>
        <w:t>中标</w:t>
      </w:r>
      <w:r>
        <w:rPr>
          <w:rStyle w:val="17"/>
          <w:rFonts w:hint="eastAsia" w:asciiTheme="minorEastAsia" w:hAnsiTheme="minorEastAsia" w:eastAsiaTheme="minorEastAsia" w:cstheme="minorEastAsia"/>
          <w:lang w:eastAsia="zh-CN"/>
        </w:rPr>
        <w:t>的投标</w:t>
      </w:r>
      <w:r>
        <w:rPr>
          <w:rStyle w:val="17"/>
          <w:rFonts w:hint="eastAsia" w:asciiTheme="minorEastAsia" w:hAnsiTheme="minorEastAsia" w:eastAsiaTheme="minorEastAsia" w:cstheme="minorEastAsia"/>
        </w:rPr>
        <w:t>人参与验收：</w:t>
      </w:r>
      <w:r>
        <w:rPr>
          <w:rStyle w:val="17"/>
          <w:rFonts w:hint="eastAsia" w:asciiTheme="minorEastAsia" w:hAnsiTheme="minorEastAsia" w:eastAsiaTheme="minorEastAsia" w:cstheme="minorEastAsia"/>
          <w:b w:val="0"/>
          <w:bCs/>
          <w:lang w:val="en-US" w:eastAsia="zh-CN"/>
        </w:rPr>
        <w:t>否</w:t>
      </w:r>
    </w:p>
    <w:p w14:paraId="673AD686">
      <w:pPr>
        <w:pStyle w:val="11"/>
        <w:spacing w:before="0" w:beforeAutospacing="0" w:after="0" w:afterAutospacing="0" w:line="360" w:lineRule="auto"/>
        <w:rPr>
          <w:rFonts w:asciiTheme="minorEastAsia" w:hAnsiTheme="minorEastAsia" w:eastAsiaTheme="minorEastAsia" w:cstheme="minorEastAsia"/>
          <w:bCs/>
        </w:rPr>
      </w:pPr>
      <w:r>
        <w:rPr>
          <w:rStyle w:val="17"/>
          <w:rFonts w:hint="eastAsia" w:asciiTheme="minorEastAsia" w:hAnsiTheme="minorEastAsia" w:eastAsiaTheme="minorEastAsia" w:cstheme="minorEastAsia"/>
        </w:rPr>
        <w:t>6</w:t>
      </w:r>
      <w:r>
        <w:rPr>
          <w:rStyle w:val="17"/>
          <w:rFonts w:hint="eastAsia" w:asciiTheme="minorEastAsia" w:hAnsiTheme="minorEastAsia" w:eastAsiaTheme="minorEastAsia" w:cstheme="minorEastAsia"/>
          <w:lang w:val="en-US" w:eastAsia="zh-CN"/>
        </w:rPr>
        <w:t>.</w:t>
      </w:r>
      <w:r>
        <w:rPr>
          <w:rStyle w:val="17"/>
          <w:rFonts w:hint="eastAsia" w:asciiTheme="minorEastAsia" w:hAnsiTheme="minorEastAsia" w:eastAsiaTheme="minorEastAsia" w:cstheme="minorEastAsia"/>
        </w:rPr>
        <w:t>验收方式数据表格</w:t>
      </w:r>
    </w:p>
    <w:tbl>
      <w:tblPr>
        <w:tblStyle w:val="14"/>
        <w:tblW w:w="9441" w:type="dxa"/>
        <w:tblInd w:w="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68"/>
        <w:gridCol w:w="8873"/>
      </w:tblGrid>
      <w:tr w14:paraId="47E72B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1" w:hRule="atLeast"/>
        </w:trPr>
        <w:tc>
          <w:tcPr>
            <w:tcW w:w="568" w:type="dxa"/>
            <w:tcBorders>
              <w:top w:val="outset" w:color="auto" w:sz="6" w:space="0"/>
              <w:left w:val="outset" w:color="auto" w:sz="6" w:space="0"/>
              <w:bottom w:val="outset" w:color="auto" w:sz="6" w:space="0"/>
              <w:right w:val="outset" w:color="auto" w:sz="6" w:space="0"/>
            </w:tcBorders>
            <w:vAlign w:val="center"/>
          </w:tcPr>
          <w:p w14:paraId="77199F3D">
            <w:pPr>
              <w:widowControl/>
              <w:spacing w:line="36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bidi="ar"/>
              </w:rPr>
              <w:t>验收期次</w:t>
            </w:r>
          </w:p>
        </w:tc>
        <w:tc>
          <w:tcPr>
            <w:tcW w:w="8873" w:type="dxa"/>
            <w:tcBorders>
              <w:top w:val="outset" w:color="auto" w:sz="6" w:space="0"/>
              <w:left w:val="outset" w:color="auto" w:sz="6" w:space="0"/>
              <w:bottom w:val="outset" w:color="auto" w:sz="6" w:space="0"/>
              <w:right w:val="outset" w:color="auto" w:sz="6" w:space="0"/>
            </w:tcBorders>
            <w:vAlign w:val="center"/>
          </w:tcPr>
          <w:p w14:paraId="3C371F2E">
            <w:pPr>
              <w:widowControl/>
              <w:spacing w:line="36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bidi="ar"/>
              </w:rPr>
              <w:t>验收期次说明</w:t>
            </w:r>
          </w:p>
        </w:tc>
      </w:tr>
      <w:tr w14:paraId="77D15D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1" w:hRule="atLeast"/>
        </w:trPr>
        <w:tc>
          <w:tcPr>
            <w:tcW w:w="568" w:type="dxa"/>
            <w:tcBorders>
              <w:top w:val="outset" w:color="auto" w:sz="6" w:space="0"/>
              <w:left w:val="outset" w:color="auto" w:sz="6" w:space="0"/>
              <w:bottom w:val="outset" w:color="auto" w:sz="6" w:space="0"/>
              <w:right w:val="outset" w:color="auto" w:sz="6" w:space="0"/>
            </w:tcBorders>
            <w:vAlign w:val="center"/>
          </w:tcPr>
          <w:p w14:paraId="1F4D6063">
            <w:pPr>
              <w:widowControl/>
              <w:spacing w:line="3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bidi="ar"/>
              </w:rPr>
              <w:t>1</w:t>
            </w:r>
          </w:p>
        </w:tc>
        <w:tc>
          <w:tcPr>
            <w:tcW w:w="8873" w:type="dxa"/>
            <w:tcBorders>
              <w:top w:val="outset" w:color="auto" w:sz="6" w:space="0"/>
              <w:left w:val="outset" w:color="auto" w:sz="6" w:space="0"/>
              <w:bottom w:val="outset" w:color="auto" w:sz="6" w:space="0"/>
              <w:right w:val="outset" w:color="auto" w:sz="6" w:space="0"/>
            </w:tcBorders>
            <w:vAlign w:val="center"/>
          </w:tcPr>
          <w:p w14:paraId="4BEBB688">
            <w:pPr>
              <w:widowControl/>
              <w:spacing w:line="360" w:lineRule="exact"/>
              <w:jc w:val="left"/>
              <w:rPr>
                <w:rFonts w:asciiTheme="minorEastAsia" w:hAnsiTheme="minorEastAsia" w:eastAsiaTheme="minorEastAsia" w:cstheme="minorEastAsia"/>
                <w:bCs/>
                <w:sz w:val="24"/>
              </w:rPr>
            </w:pPr>
            <w:r>
              <w:rPr>
                <w:rStyle w:val="17"/>
                <w:rFonts w:hint="eastAsia" w:asciiTheme="minorEastAsia" w:hAnsiTheme="minorEastAsia" w:eastAsiaTheme="minorEastAsia" w:cstheme="minorEastAsia"/>
                <w:b w:val="0"/>
                <w:bCs/>
                <w:sz w:val="24"/>
              </w:rPr>
              <w:t>按国家标准或行业相关标准验收和按招标文件要求进行验收</w:t>
            </w:r>
          </w:p>
        </w:tc>
      </w:tr>
    </w:tbl>
    <w:p w14:paraId="02E222C4">
      <w:pPr>
        <w:widowControl/>
        <w:spacing w:line="360" w:lineRule="exact"/>
        <w:jc w:val="left"/>
        <w:rPr>
          <w:rFonts w:ascii="宋体" w:hAnsi="宋体" w:cs="宋体"/>
          <w:bCs/>
          <w:sz w:val="24"/>
        </w:rPr>
      </w:pPr>
      <w:r>
        <w:rPr>
          <w:rStyle w:val="17"/>
          <w:rFonts w:hint="eastAsia" w:ascii="宋体" w:hAnsi="宋体" w:cs="宋体"/>
          <w:sz w:val="24"/>
          <w:lang w:bidi="ar"/>
        </w:rPr>
        <w:t>7</w:t>
      </w:r>
      <w:r>
        <w:rPr>
          <w:rStyle w:val="17"/>
          <w:rFonts w:hint="eastAsia" w:ascii="宋体" w:hAnsi="宋体" w:cs="宋体"/>
          <w:sz w:val="24"/>
          <w:lang w:val="en-US" w:eastAsia="zh-CN" w:bidi="ar"/>
        </w:rPr>
        <w:t>.</w:t>
      </w:r>
      <w:r>
        <w:rPr>
          <w:rStyle w:val="17"/>
          <w:rFonts w:hint="eastAsia" w:ascii="宋体" w:hAnsi="宋体" w:cs="宋体"/>
          <w:sz w:val="24"/>
          <w:lang w:bidi="ar"/>
        </w:rPr>
        <w:t>支付方式数据表格</w:t>
      </w:r>
    </w:p>
    <w:tbl>
      <w:tblPr>
        <w:tblStyle w:val="14"/>
        <w:tblW w:w="945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74"/>
        <w:gridCol w:w="1415"/>
        <w:gridCol w:w="7361"/>
      </w:tblGrid>
      <w:tr w14:paraId="3E618F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674" w:type="dxa"/>
            <w:tcBorders>
              <w:top w:val="outset" w:color="auto" w:sz="6" w:space="0"/>
              <w:left w:val="outset" w:color="auto" w:sz="6" w:space="0"/>
              <w:bottom w:val="outset" w:color="auto" w:sz="6" w:space="0"/>
              <w:right w:val="outset" w:color="auto" w:sz="6" w:space="0"/>
            </w:tcBorders>
            <w:vAlign w:val="center"/>
          </w:tcPr>
          <w:p w14:paraId="14C91D29">
            <w:pPr>
              <w:widowControl/>
              <w:spacing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bidi="ar"/>
              </w:rPr>
              <w:t>支付期次</w:t>
            </w:r>
          </w:p>
        </w:tc>
        <w:tc>
          <w:tcPr>
            <w:tcW w:w="1415" w:type="dxa"/>
            <w:tcBorders>
              <w:top w:val="outset" w:color="auto" w:sz="6" w:space="0"/>
              <w:left w:val="outset" w:color="auto" w:sz="6" w:space="0"/>
              <w:bottom w:val="outset" w:color="auto" w:sz="6" w:space="0"/>
              <w:right w:val="outset" w:color="auto" w:sz="6" w:space="0"/>
            </w:tcBorders>
            <w:vAlign w:val="center"/>
          </w:tcPr>
          <w:p w14:paraId="6D04699B">
            <w:pPr>
              <w:widowControl/>
              <w:spacing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bidi="ar"/>
              </w:rPr>
              <w:t>支付比例(%)</w:t>
            </w:r>
          </w:p>
        </w:tc>
        <w:tc>
          <w:tcPr>
            <w:tcW w:w="7361" w:type="dxa"/>
            <w:tcBorders>
              <w:top w:val="outset" w:color="auto" w:sz="6" w:space="0"/>
              <w:left w:val="outset" w:color="auto" w:sz="6" w:space="0"/>
              <w:bottom w:val="outset" w:color="auto" w:sz="6" w:space="0"/>
              <w:right w:val="outset" w:color="auto" w:sz="6" w:space="0"/>
            </w:tcBorders>
            <w:vAlign w:val="center"/>
          </w:tcPr>
          <w:p w14:paraId="2D40B2B6">
            <w:pPr>
              <w:widowControl/>
              <w:spacing w:line="36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bidi="ar"/>
              </w:rPr>
              <w:t>支付期次说明</w:t>
            </w:r>
          </w:p>
        </w:tc>
      </w:tr>
      <w:tr w14:paraId="5E9006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4" w:type="dxa"/>
            <w:tcBorders>
              <w:top w:val="outset" w:color="auto" w:sz="6" w:space="0"/>
              <w:left w:val="outset" w:color="auto" w:sz="6" w:space="0"/>
              <w:bottom w:val="outset" w:color="auto" w:sz="6" w:space="0"/>
              <w:right w:val="outset" w:color="auto" w:sz="6" w:space="0"/>
            </w:tcBorders>
            <w:shd w:val="clear" w:color="auto" w:fill="auto"/>
            <w:vAlign w:val="center"/>
          </w:tcPr>
          <w:p w14:paraId="7F867B3F">
            <w:pPr>
              <w:widowControl/>
              <w:spacing w:line="360" w:lineRule="exact"/>
              <w:jc w:val="center"/>
              <w:rPr>
                <w:rFonts w:hint="eastAsia" w:asciiTheme="minorEastAsia" w:hAnsiTheme="minorEastAsia" w:eastAsiaTheme="minorEastAsia" w:cstheme="minorEastAsia"/>
                <w:bCs/>
                <w:color w:val="auto"/>
                <w:sz w:val="24"/>
                <w:highlight w:val="none"/>
                <w:lang w:bidi="ar"/>
              </w:rPr>
            </w:pPr>
            <w:r>
              <w:rPr>
                <w:rFonts w:hint="eastAsia" w:asciiTheme="minorEastAsia" w:hAnsiTheme="minorEastAsia" w:eastAsiaTheme="minorEastAsia" w:cstheme="minorEastAsia"/>
                <w:bCs/>
                <w:color w:val="auto"/>
                <w:sz w:val="24"/>
                <w:highlight w:val="none"/>
                <w:lang w:val="en-US" w:eastAsia="zh-CN" w:bidi="ar"/>
              </w:rPr>
              <w:t>1</w:t>
            </w:r>
          </w:p>
        </w:tc>
        <w:tc>
          <w:tcPr>
            <w:tcW w:w="1415" w:type="dxa"/>
            <w:tcBorders>
              <w:top w:val="outset" w:color="auto" w:sz="6" w:space="0"/>
              <w:left w:val="outset" w:color="auto" w:sz="6" w:space="0"/>
              <w:bottom w:val="outset" w:color="auto" w:sz="6" w:space="0"/>
              <w:right w:val="outset" w:color="auto" w:sz="6" w:space="0"/>
            </w:tcBorders>
            <w:shd w:val="clear" w:color="auto" w:fill="auto"/>
            <w:vAlign w:val="center"/>
          </w:tcPr>
          <w:p w14:paraId="16658DD7">
            <w:pPr>
              <w:widowControl/>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30</w:t>
            </w:r>
          </w:p>
        </w:tc>
        <w:tc>
          <w:tcPr>
            <w:tcW w:w="7361" w:type="dxa"/>
            <w:tcBorders>
              <w:top w:val="outset" w:color="auto" w:sz="6" w:space="0"/>
              <w:left w:val="outset" w:color="auto" w:sz="6" w:space="0"/>
              <w:bottom w:val="outset" w:color="auto" w:sz="6" w:space="0"/>
              <w:right w:val="outset" w:color="auto" w:sz="6" w:space="0"/>
            </w:tcBorders>
            <w:shd w:val="clear" w:color="auto" w:fill="auto"/>
            <w:vAlign w:val="center"/>
          </w:tcPr>
          <w:p w14:paraId="4A6A52FB">
            <w:pPr>
              <w:widowControl/>
              <w:spacing w:line="360" w:lineRule="exact"/>
              <w:jc w:val="left"/>
              <w:rPr>
                <w:rFonts w:hint="default" w:asciiTheme="minorEastAsia" w:hAnsiTheme="minorEastAsia" w:eastAsiaTheme="minorEastAsia" w:cstheme="minorEastAsia"/>
                <w:bCs/>
                <w:color w:val="auto"/>
                <w:sz w:val="24"/>
                <w:highlight w:val="none"/>
                <w:lang w:val="en-US"/>
              </w:rPr>
            </w:pPr>
            <w:r>
              <w:rPr>
                <w:rFonts w:hint="eastAsia" w:asciiTheme="minorEastAsia" w:hAnsiTheme="minorEastAsia" w:eastAsiaTheme="minorEastAsia" w:cstheme="minorEastAsia"/>
                <w:bCs/>
                <w:color w:val="auto"/>
                <w:sz w:val="24"/>
                <w:highlight w:val="none"/>
                <w:lang w:val="en-US" w:eastAsia="zh-CN"/>
              </w:rPr>
              <w:t>设备全部到货且验收合格，中标人提供等额的增值税专票后，招标人向中标人支付合同金额的30%款项。</w:t>
            </w:r>
          </w:p>
        </w:tc>
      </w:tr>
      <w:tr w14:paraId="073D9E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4" w:type="dxa"/>
            <w:tcBorders>
              <w:top w:val="outset" w:color="auto" w:sz="6" w:space="0"/>
              <w:left w:val="outset" w:color="auto" w:sz="6" w:space="0"/>
              <w:bottom w:val="outset" w:color="auto" w:sz="6" w:space="0"/>
              <w:right w:val="outset" w:color="auto" w:sz="6" w:space="0"/>
            </w:tcBorders>
            <w:shd w:val="clear" w:color="auto" w:fill="auto"/>
            <w:vAlign w:val="center"/>
          </w:tcPr>
          <w:p w14:paraId="24DFE2BE">
            <w:pPr>
              <w:widowControl/>
              <w:spacing w:line="360" w:lineRule="exact"/>
              <w:jc w:val="center"/>
              <w:rPr>
                <w:rFonts w:hint="default" w:asciiTheme="minorEastAsia" w:hAnsiTheme="minorEastAsia" w:eastAsiaTheme="minorEastAsia" w:cstheme="minorEastAsia"/>
                <w:bCs/>
                <w:color w:val="auto"/>
                <w:sz w:val="24"/>
                <w:highlight w:val="none"/>
                <w:lang w:val="en-US" w:eastAsia="zh-CN" w:bidi="ar"/>
              </w:rPr>
            </w:pPr>
            <w:r>
              <w:rPr>
                <w:rFonts w:hint="eastAsia" w:asciiTheme="minorEastAsia" w:hAnsiTheme="minorEastAsia" w:eastAsiaTheme="minorEastAsia" w:cstheme="minorEastAsia"/>
                <w:bCs/>
                <w:color w:val="auto"/>
                <w:sz w:val="24"/>
                <w:highlight w:val="none"/>
                <w:lang w:val="en-US" w:eastAsia="zh-CN" w:bidi="ar"/>
              </w:rPr>
              <w:t>2</w:t>
            </w:r>
          </w:p>
        </w:tc>
        <w:tc>
          <w:tcPr>
            <w:tcW w:w="1415" w:type="dxa"/>
            <w:tcBorders>
              <w:top w:val="outset" w:color="auto" w:sz="6" w:space="0"/>
              <w:left w:val="outset" w:color="auto" w:sz="6" w:space="0"/>
              <w:bottom w:val="outset" w:color="auto" w:sz="6" w:space="0"/>
              <w:right w:val="outset" w:color="auto" w:sz="6" w:space="0"/>
            </w:tcBorders>
            <w:shd w:val="clear" w:color="auto" w:fill="auto"/>
            <w:vAlign w:val="center"/>
          </w:tcPr>
          <w:p w14:paraId="4E3DE451">
            <w:pPr>
              <w:widowControl/>
              <w:spacing w:line="360" w:lineRule="exact"/>
              <w:jc w:val="center"/>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30</w:t>
            </w:r>
          </w:p>
        </w:tc>
        <w:tc>
          <w:tcPr>
            <w:tcW w:w="7361" w:type="dxa"/>
            <w:tcBorders>
              <w:top w:val="outset" w:color="auto" w:sz="6" w:space="0"/>
              <w:left w:val="outset" w:color="auto" w:sz="6" w:space="0"/>
              <w:bottom w:val="outset" w:color="auto" w:sz="6" w:space="0"/>
              <w:right w:val="outset" w:color="auto" w:sz="6" w:space="0"/>
            </w:tcBorders>
            <w:shd w:val="clear" w:color="auto" w:fill="auto"/>
            <w:vAlign w:val="center"/>
          </w:tcPr>
          <w:p w14:paraId="48C1DEB5">
            <w:pPr>
              <w:widowControl/>
              <w:spacing w:line="360" w:lineRule="exact"/>
              <w:jc w:val="left"/>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经本项目监理单位出具的项目试运行合格的书面监理确认函后，中标人提供等额的增值税专票，招标人向中标人支付合同金额的30%款项。</w:t>
            </w:r>
          </w:p>
        </w:tc>
      </w:tr>
      <w:tr w14:paraId="17B199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4" w:type="dxa"/>
            <w:tcBorders>
              <w:top w:val="outset" w:color="auto" w:sz="6" w:space="0"/>
              <w:left w:val="outset" w:color="auto" w:sz="6" w:space="0"/>
              <w:bottom w:val="outset" w:color="auto" w:sz="6" w:space="0"/>
              <w:right w:val="outset" w:color="auto" w:sz="6" w:space="0"/>
            </w:tcBorders>
            <w:shd w:val="clear" w:color="auto" w:fill="auto"/>
            <w:vAlign w:val="center"/>
          </w:tcPr>
          <w:p w14:paraId="1D2A475D">
            <w:pPr>
              <w:widowControl/>
              <w:spacing w:line="360" w:lineRule="exact"/>
              <w:jc w:val="center"/>
              <w:rPr>
                <w:rFonts w:hint="default" w:asciiTheme="minorEastAsia" w:hAnsiTheme="minorEastAsia" w:eastAsiaTheme="minorEastAsia" w:cstheme="minorEastAsia"/>
                <w:bCs/>
                <w:color w:val="auto"/>
                <w:sz w:val="24"/>
                <w:highlight w:val="none"/>
                <w:lang w:val="en-US" w:eastAsia="zh-CN" w:bidi="ar"/>
              </w:rPr>
            </w:pPr>
            <w:r>
              <w:rPr>
                <w:rFonts w:hint="eastAsia" w:asciiTheme="minorEastAsia" w:hAnsiTheme="minorEastAsia" w:eastAsiaTheme="minorEastAsia" w:cstheme="minorEastAsia"/>
                <w:bCs/>
                <w:color w:val="auto"/>
                <w:sz w:val="24"/>
                <w:highlight w:val="none"/>
                <w:lang w:val="en-US" w:eastAsia="zh-CN" w:bidi="ar"/>
              </w:rPr>
              <w:t>3</w:t>
            </w:r>
          </w:p>
        </w:tc>
        <w:tc>
          <w:tcPr>
            <w:tcW w:w="1415" w:type="dxa"/>
            <w:tcBorders>
              <w:top w:val="outset" w:color="auto" w:sz="6" w:space="0"/>
              <w:left w:val="outset" w:color="auto" w:sz="6" w:space="0"/>
              <w:bottom w:val="outset" w:color="auto" w:sz="6" w:space="0"/>
              <w:right w:val="outset" w:color="auto" w:sz="6" w:space="0"/>
            </w:tcBorders>
            <w:shd w:val="clear" w:color="auto" w:fill="auto"/>
            <w:vAlign w:val="center"/>
          </w:tcPr>
          <w:p w14:paraId="17566018">
            <w:pPr>
              <w:widowControl/>
              <w:spacing w:line="360" w:lineRule="exact"/>
              <w:jc w:val="center"/>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40</w:t>
            </w:r>
          </w:p>
        </w:tc>
        <w:tc>
          <w:tcPr>
            <w:tcW w:w="7361" w:type="dxa"/>
            <w:tcBorders>
              <w:top w:val="outset" w:color="auto" w:sz="6" w:space="0"/>
              <w:left w:val="outset" w:color="auto" w:sz="6" w:space="0"/>
              <w:bottom w:val="outset" w:color="auto" w:sz="6" w:space="0"/>
              <w:right w:val="outset" w:color="auto" w:sz="6" w:space="0"/>
            </w:tcBorders>
            <w:shd w:val="clear" w:color="auto" w:fill="auto"/>
            <w:vAlign w:val="center"/>
          </w:tcPr>
          <w:p w14:paraId="3D90ABE9">
            <w:pPr>
              <w:widowControl/>
              <w:spacing w:line="360" w:lineRule="exact"/>
              <w:jc w:val="left"/>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招标人在收到项目整体的验收合格报告后，中标人提供等额的增值税专票，招标人向中标人支付合同金额的剩余款项。</w:t>
            </w:r>
          </w:p>
        </w:tc>
      </w:tr>
    </w:tbl>
    <w:p w14:paraId="65D6EEEF">
      <w:pPr>
        <w:pStyle w:val="1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8.运输、安装和验收要求</w:t>
      </w:r>
    </w:p>
    <w:p w14:paraId="49A30EA4">
      <w:pPr>
        <w:pStyle w:val="1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8</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运输及安装要求</w:t>
      </w:r>
    </w:p>
    <w:p w14:paraId="10194372">
      <w:pPr>
        <w:pStyle w:val="2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auto"/>
          <w:sz w:val="24"/>
          <w:szCs w:val="24"/>
        </w:rPr>
        <w:t>8.1.1</w:t>
      </w:r>
      <w:r>
        <w:rPr>
          <w:rFonts w:hint="eastAsia" w:asciiTheme="minorEastAsia" w:hAnsiTheme="minorEastAsia" w:eastAsiaTheme="minorEastAsia" w:cstheme="minorEastAsia"/>
          <w:b w:val="0"/>
          <w:bCs w:val="0"/>
          <w:color w:val="auto"/>
          <w:sz w:val="24"/>
          <w:szCs w:val="24"/>
          <w:lang w:eastAsia="zh-CN"/>
        </w:rPr>
        <w:t>运输</w:t>
      </w:r>
      <w:r>
        <w:rPr>
          <w:rFonts w:hint="eastAsia" w:asciiTheme="minorEastAsia" w:hAnsiTheme="minorEastAsia" w:eastAsiaTheme="minorEastAsia" w:cstheme="minorEastAsia"/>
          <w:sz w:val="24"/>
          <w:szCs w:val="24"/>
        </w:rPr>
        <w:t>包装</w:t>
      </w:r>
      <w:r>
        <w:rPr>
          <w:rFonts w:hint="eastAsia" w:asciiTheme="minorEastAsia" w:hAnsiTheme="minorEastAsia" w:eastAsiaTheme="minorEastAsia" w:cstheme="minorEastAsia"/>
          <w:sz w:val="24"/>
          <w:szCs w:val="24"/>
          <w:lang w:eastAsia="zh-CN"/>
        </w:rPr>
        <w:t>要求</w:t>
      </w:r>
      <w:r>
        <w:rPr>
          <w:rFonts w:hint="eastAsia" w:asciiTheme="minorEastAsia" w:hAnsiTheme="minorEastAsia" w:eastAsiaTheme="minorEastAsia" w:cstheme="minorEastAsia"/>
          <w:sz w:val="24"/>
          <w:szCs w:val="24"/>
        </w:rPr>
        <w:t>：货物交货时应按国家有关标准要求进行包装。包装必须与运输方式相适应，应足以承受整个过程中的运输、转运、装卸、储存等，充分考虑到运输途中的各种情况(如暴露于恶劣气候等)和项目所在地的气候特点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包装方式的确定及包装费用均由</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人负责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由于不适当的包装而造成货物在运输过程中有任何损坏由</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人负责。</w:t>
      </w:r>
    </w:p>
    <w:p w14:paraId="4EB12C66">
      <w:pPr>
        <w:pStyle w:val="2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val="en-US" w:eastAsia="zh-CN"/>
        </w:rPr>
        <w:t>8.1.2</w:t>
      </w:r>
      <w:r>
        <w:rPr>
          <w:rFonts w:hint="eastAsia" w:asciiTheme="minorEastAsia" w:hAnsiTheme="minorEastAsia" w:eastAsiaTheme="minorEastAsia" w:cstheme="minorEastAsia"/>
          <w:b w:val="0"/>
          <w:bCs w:val="0"/>
          <w:color w:val="auto"/>
          <w:sz w:val="24"/>
          <w:szCs w:val="24"/>
        </w:rPr>
        <w:t>中标人负责按所签订合同的具体要求、具体数量、具体地点将货物运送到招标人</w:t>
      </w:r>
      <w:r>
        <w:rPr>
          <w:rFonts w:hint="eastAsia" w:asciiTheme="minorEastAsia" w:hAnsiTheme="minorEastAsia" w:eastAsiaTheme="minorEastAsia" w:cstheme="minorEastAsia"/>
          <w:b w:val="0"/>
          <w:bCs w:val="0"/>
          <w:color w:val="auto"/>
          <w:sz w:val="24"/>
          <w:szCs w:val="24"/>
          <w:lang w:eastAsia="zh-CN"/>
        </w:rPr>
        <w:t>指定地点，由招标人、中标人指定人员共同进行到货验收，并在送货单上进行签收确认。</w:t>
      </w:r>
    </w:p>
    <w:p w14:paraId="66E88DF3">
      <w:pPr>
        <w:pStyle w:val="1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中标人负责货物安装</w:t>
      </w:r>
      <w:r>
        <w:rPr>
          <w:rFonts w:hint="eastAsia" w:asciiTheme="minorEastAsia" w:hAnsiTheme="minorEastAsia" w:eastAsiaTheme="minorEastAsia" w:cstheme="minorEastAsia"/>
          <w:color w:val="auto"/>
          <w:sz w:val="24"/>
          <w:szCs w:val="24"/>
          <w:lang w:eastAsia="zh-CN"/>
        </w:rPr>
        <w:t>及调试</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并</w:t>
      </w:r>
      <w:r>
        <w:rPr>
          <w:rFonts w:hint="eastAsia" w:asciiTheme="minorEastAsia" w:hAnsiTheme="minorEastAsia" w:eastAsiaTheme="minorEastAsia" w:cstheme="minorEastAsia"/>
          <w:color w:val="auto"/>
          <w:sz w:val="24"/>
          <w:szCs w:val="24"/>
        </w:rPr>
        <w:t>保证各项安装工作顺利进行</w:t>
      </w:r>
      <w:r>
        <w:rPr>
          <w:rFonts w:hint="eastAsia" w:asciiTheme="minorEastAsia" w:hAnsiTheme="minorEastAsia" w:eastAsiaTheme="minorEastAsia" w:cstheme="minorEastAsia"/>
          <w:color w:val="auto"/>
          <w:sz w:val="24"/>
          <w:szCs w:val="24"/>
          <w:lang w:eastAsia="zh-CN"/>
        </w:rPr>
        <w:t>，在安装过程中出现的一切安全责任及财产损失或人身损害等问题，均由中标人自行负责</w:t>
      </w:r>
      <w:r>
        <w:rPr>
          <w:rFonts w:hint="eastAsia" w:asciiTheme="minorEastAsia" w:hAnsiTheme="minorEastAsia" w:eastAsiaTheme="minorEastAsia" w:cstheme="minorEastAsia"/>
          <w:color w:val="auto"/>
          <w:sz w:val="24"/>
          <w:szCs w:val="24"/>
        </w:rPr>
        <w:t>。</w:t>
      </w:r>
    </w:p>
    <w:p w14:paraId="7A4E4467">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8.2 验收标准</w:t>
      </w:r>
    </w:p>
    <w:p w14:paraId="1B85241F">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8.2.1所有货物按厂家产品验收标准(符合国家或行业或地方标准)、招标文件、投标文件等有关部分内容进行验收。产品质量达到设计要求，安装调试各项指标符合技术参数要求且须通过质检、计量部门的检验。</w:t>
      </w:r>
    </w:p>
    <w:p w14:paraId="08B9A7A0">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8.3 验收程序和方法</w:t>
      </w:r>
    </w:p>
    <w:p w14:paraId="57B803F8">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8.3.1出厂检验</w:t>
      </w:r>
    </w:p>
    <w:p w14:paraId="1717A819">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(1)中标人在产品出厂前，应按产品技术标准规定的检验项目和检验方法进行全面检验，中标人应随同货物出具产地证书、出厂检验报告和产品质量合格证等。</w:t>
      </w:r>
    </w:p>
    <w:p w14:paraId="64FD004B">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8.3.2 中标人自检</w:t>
      </w:r>
    </w:p>
    <w:p w14:paraId="38AFBDD1">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(1)货物在安装地安装完毕后，要求中标人对所有货物的性能进行自检，检验结果必须符合招标文件技术要求以及合同中相关条款，并向招标人提供自检记录。</w:t>
      </w:r>
    </w:p>
    <w:p w14:paraId="5FDCF344">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8.3.3验收</w:t>
      </w:r>
    </w:p>
    <w:p w14:paraId="0C3B7000">
      <w:pPr>
        <w:pStyle w:val="5"/>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393939"/>
          <w:sz w:val="24"/>
          <w:szCs w:val="24"/>
          <w:highlight w:val="yellow"/>
        </w:rPr>
      </w:pPr>
      <w:r>
        <w:rPr>
          <w:rFonts w:hint="eastAsia" w:asciiTheme="minorEastAsia" w:hAnsiTheme="minorEastAsia" w:eastAsiaTheme="minorEastAsia" w:cstheme="minorEastAsia"/>
          <w:color w:val="393939"/>
          <w:sz w:val="24"/>
          <w:szCs w:val="24"/>
        </w:rPr>
        <w:t>中标人自检后，中标人与招标人按招标文件以及合同相关条款要求一同对货物进行验收，验收结果应符合招标人使用要求。若发现未符合招标文件及合同相关条款要求，需立即进行整改，</w:t>
      </w:r>
      <w:r>
        <w:rPr>
          <w:rFonts w:hint="eastAsia" w:asciiTheme="minorEastAsia" w:hAnsiTheme="minorEastAsia" w:eastAsiaTheme="minorEastAsia" w:cstheme="minorEastAsia"/>
          <w:color w:val="393939"/>
          <w:sz w:val="24"/>
          <w:szCs w:val="24"/>
          <w:lang w:eastAsia="zh-CN"/>
        </w:rPr>
        <w:t>整改后无任何问题</w:t>
      </w:r>
      <w:r>
        <w:rPr>
          <w:rFonts w:hint="eastAsia" w:asciiTheme="minorEastAsia" w:hAnsiTheme="minorEastAsia" w:eastAsiaTheme="minorEastAsia" w:cstheme="minorEastAsia"/>
          <w:color w:val="393939"/>
          <w:sz w:val="24"/>
          <w:szCs w:val="24"/>
          <w:highlight w:val="none"/>
          <w:lang w:eastAsia="zh-CN"/>
        </w:rPr>
        <w:t>，开始为期</w:t>
      </w:r>
      <w:r>
        <w:rPr>
          <w:rFonts w:hint="eastAsia" w:asciiTheme="minorEastAsia" w:hAnsiTheme="minorEastAsia" w:eastAsiaTheme="minorEastAsia" w:cstheme="minorEastAsia"/>
          <w:color w:val="393939"/>
          <w:sz w:val="24"/>
          <w:szCs w:val="24"/>
          <w:highlight w:val="none"/>
          <w:lang w:val="en-US" w:eastAsia="zh-CN"/>
        </w:rPr>
        <w:t>90天的试运行，试运行期间无任何质量等问题监理须出具试运行确认函</w:t>
      </w:r>
      <w:r>
        <w:rPr>
          <w:rFonts w:hint="eastAsia" w:asciiTheme="minorEastAsia" w:hAnsiTheme="minorEastAsia" w:eastAsiaTheme="minorEastAsia" w:cstheme="minorEastAsia"/>
          <w:color w:val="393939"/>
          <w:sz w:val="24"/>
          <w:szCs w:val="24"/>
          <w:highlight w:val="none"/>
          <w:lang w:eastAsia="zh-CN"/>
        </w:rPr>
        <w:t>，且经监理单位开始对整体项目进行确认，确认无误后出具验收报告，招标人收到报告后验收通过。招标人确认，</w:t>
      </w:r>
      <w:r>
        <w:rPr>
          <w:rFonts w:hint="eastAsia" w:asciiTheme="minorEastAsia" w:hAnsiTheme="minorEastAsia" w:eastAsiaTheme="minorEastAsia" w:cstheme="minorEastAsia"/>
          <w:color w:val="393939"/>
          <w:sz w:val="24"/>
          <w:szCs w:val="24"/>
          <w:highlight w:val="none"/>
        </w:rPr>
        <w:t>通过验收。</w:t>
      </w:r>
      <w:r>
        <w:rPr>
          <w:rFonts w:hint="eastAsia" w:asciiTheme="minorEastAsia" w:hAnsiTheme="minorEastAsia" w:eastAsiaTheme="minorEastAsia" w:cstheme="minorEastAsia"/>
          <w:color w:val="393939"/>
          <w:sz w:val="24"/>
          <w:szCs w:val="24"/>
          <w:highlight w:val="none"/>
          <w:lang w:eastAsia="zh-CN"/>
        </w:rPr>
        <w:t>注：招标人有权邀请专家或相关人员参与验收</w:t>
      </w:r>
      <w:r>
        <w:rPr>
          <w:rFonts w:hint="eastAsia" w:asciiTheme="minorEastAsia" w:hAnsiTheme="minorEastAsia" w:eastAsiaTheme="minorEastAsia" w:cstheme="minorEastAsia"/>
          <w:color w:val="393939"/>
          <w:sz w:val="24"/>
          <w:szCs w:val="24"/>
          <w:highlight w:val="none"/>
        </w:rPr>
        <w:t>。</w:t>
      </w:r>
    </w:p>
    <w:p w14:paraId="2DE8B9CA">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8.4 中标人在招标人安装现场进行验收所发生的一切费用（包括但不限于邀请专家或相关人员参与验收的费用等）均由中标人承担(并入投标报价内)。</w:t>
      </w:r>
    </w:p>
    <w:p w14:paraId="1834B558">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93939"/>
          <w:sz w:val="24"/>
          <w:szCs w:val="24"/>
        </w:rPr>
      </w:pPr>
      <w:r>
        <w:rPr>
          <w:rFonts w:hint="eastAsia" w:asciiTheme="minorEastAsia" w:hAnsiTheme="minorEastAsia" w:eastAsiaTheme="minorEastAsia" w:cstheme="minorEastAsia"/>
          <w:b/>
          <w:bCs/>
          <w:color w:val="393939"/>
          <w:sz w:val="24"/>
          <w:szCs w:val="24"/>
        </w:rPr>
        <w:t>9</w:t>
      </w:r>
      <w:r>
        <w:rPr>
          <w:rFonts w:hint="eastAsia" w:asciiTheme="minorEastAsia" w:hAnsiTheme="minorEastAsia" w:eastAsiaTheme="minorEastAsia" w:cstheme="minorEastAsia"/>
          <w:b/>
          <w:bCs/>
          <w:color w:val="393939"/>
          <w:sz w:val="24"/>
          <w:szCs w:val="24"/>
          <w:lang w:val="en-US" w:eastAsia="zh-CN"/>
        </w:rPr>
        <w:t>.</w:t>
      </w:r>
      <w:r>
        <w:rPr>
          <w:rFonts w:hint="eastAsia" w:asciiTheme="minorEastAsia" w:hAnsiTheme="minorEastAsia" w:eastAsiaTheme="minorEastAsia" w:cstheme="minorEastAsia"/>
          <w:b/>
          <w:bCs/>
          <w:color w:val="393939"/>
          <w:sz w:val="24"/>
          <w:szCs w:val="24"/>
        </w:rPr>
        <w:t>技术资料要求</w:t>
      </w:r>
    </w:p>
    <w:p w14:paraId="1B567887">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9.1中标人应向招标人提供以下目录的产品资料。</w:t>
      </w:r>
    </w:p>
    <w:p w14:paraId="387D897A">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(1) 产品验收标准</w:t>
      </w:r>
    </w:p>
    <w:p w14:paraId="5E46C379">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(2) 产品技术说明书</w:t>
      </w:r>
    </w:p>
    <w:p w14:paraId="11583022">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(3) 使用说明书</w:t>
      </w:r>
    </w:p>
    <w:p w14:paraId="3BF42ED2">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(4) 零部件目录(如果有的话)</w:t>
      </w:r>
    </w:p>
    <w:p w14:paraId="5F1B55E3">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(5) 备品备件、损件清单(如果有的话)</w:t>
      </w:r>
    </w:p>
    <w:p w14:paraId="27E1321A">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(6) 安装、维修及操作手册(如果有的话)</w:t>
      </w:r>
    </w:p>
    <w:p w14:paraId="35A1E087">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(7) 合同中要求的其它文件资料</w:t>
      </w:r>
    </w:p>
    <w:p w14:paraId="1A6C0A2E">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9.2中标人需向招标人提供完整的技术资料壹套并装订成册。各项指标和参数应符合验收标准。</w:t>
      </w:r>
    </w:p>
    <w:p w14:paraId="584BBFD4">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9.3 备品备件及专用工具</w:t>
      </w:r>
    </w:p>
    <w:p w14:paraId="4282FDB6">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9.3.1中标人向招标人提供安装和维修所需特殊专用的工具、备件及清单和中文说明书，其费用包括在投标价格内。</w:t>
      </w:r>
    </w:p>
    <w:p w14:paraId="2FC02BDC">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93939"/>
          <w:sz w:val="24"/>
          <w:szCs w:val="24"/>
        </w:rPr>
      </w:pPr>
      <w:r>
        <w:rPr>
          <w:rFonts w:hint="eastAsia" w:asciiTheme="minorEastAsia" w:hAnsiTheme="minorEastAsia" w:eastAsiaTheme="minorEastAsia" w:cstheme="minorEastAsia"/>
          <w:b/>
          <w:bCs/>
          <w:color w:val="393939"/>
          <w:sz w:val="24"/>
          <w:szCs w:val="24"/>
        </w:rPr>
        <w:t>10.售后服务要求 </w:t>
      </w:r>
    </w:p>
    <w:p w14:paraId="580AD21A">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93939"/>
          <w:sz w:val="24"/>
          <w:szCs w:val="24"/>
        </w:rPr>
        <w:t>10</w:t>
      </w:r>
      <w:r>
        <w:rPr>
          <w:rFonts w:hint="eastAsia" w:asciiTheme="minorEastAsia" w:hAnsiTheme="minorEastAsia" w:eastAsiaTheme="minorEastAsia" w:cstheme="minorEastAsia"/>
          <w:color w:val="393939"/>
          <w:sz w:val="24"/>
          <w:szCs w:val="24"/>
          <w:highlight w:val="none"/>
        </w:rPr>
        <w:t>.1所有</w:t>
      </w:r>
      <w:r>
        <w:rPr>
          <w:rFonts w:hint="eastAsia" w:asciiTheme="minorEastAsia" w:hAnsiTheme="minorEastAsia" w:eastAsiaTheme="minorEastAsia" w:cstheme="minorEastAsia"/>
          <w:color w:val="393939"/>
          <w:sz w:val="24"/>
          <w:szCs w:val="24"/>
          <w:highlight w:val="none"/>
          <w:lang w:eastAsia="zh-CN"/>
        </w:rPr>
        <w:t>产品</w:t>
      </w:r>
      <w:r>
        <w:rPr>
          <w:rFonts w:hint="eastAsia" w:asciiTheme="minorEastAsia" w:hAnsiTheme="minorEastAsia" w:eastAsiaTheme="minorEastAsia" w:cstheme="minorEastAsia"/>
          <w:color w:val="393939"/>
          <w:sz w:val="24"/>
          <w:szCs w:val="24"/>
          <w:highlight w:val="none"/>
        </w:rPr>
        <w:t>均质保</w:t>
      </w:r>
      <w:r>
        <w:rPr>
          <w:rFonts w:hint="eastAsia" w:asciiTheme="minorEastAsia" w:hAnsiTheme="minorEastAsia" w:eastAsiaTheme="minorEastAsia" w:cstheme="minorEastAsia"/>
          <w:color w:val="393939"/>
          <w:sz w:val="24"/>
          <w:szCs w:val="24"/>
          <w:highlight w:val="none"/>
          <w:lang w:val="en-US" w:eastAsia="zh-CN"/>
        </w:rPr>
        <w:t>三</w:t>
      </w:r>
      <w:r>
        <w:rPr>
          <w:rFonts w:hint="eastAsia" w:asciiTheme="minorEastAsia" w:hAnsiTheme="minorEastAsia" w:eastAsiaTheme="minorEastAsia" w:cstheme="minorEastAsia"/>
          <w:color w:val="393939"/>
          <w:sz w:val="24"/>
          <w:szCs w:val="24"/>
          <w:highlight w:val="none"/>
        </w:rPr>
        <w:t>年（</w:t>
      </w:r>
      <w:r>
        <w:rPr>
          <w:rFonts w:hint="eastAsia" w:asciiTheme="minorEastAsia" w:hAnsiTheme="minorEastAsia" w:eastAsiaTheme="minorEastAsia" w:cstheme="minorEastAsia"/>
          <w:color w:val="393939"/>
          <w:sz w:val="24"/>
          <w:szCs w:val="24"/>
          <w:shd w:val="clear" w:color="auto" w:fill="FFFFFF"/>
        </w:rPr>
        <w:t>质量保修期</w:t>
      </w:r>
      <w:r>
        <w:rPr>
          <w:rFonts w:hint="eastAsia" w:asciiTheme="minorEastAsia" w:hAnsiTheme="minorEastAsia" w:eastAsiaTheme="minorEastAsia" w:cstheme="minorEastAsia"/>
          <w:color w:val="393939"/>
          <w:sz w:val="24"/>
          <w:szCs w:val="24"/>
          <w:highlight w:val="none"/>
        </w:rPr>
        <w:t>自</w:t>
      </w:r>
      <w:r>
        <w:rPr>
          <w:rFonts w:hint="eastAsia" w:asciiTheme="minorEastAsia" w:hAnsiTheme="minorEastAsia" w:eastAsiaTheme="minorEastAsia" w:cstheme="minorEastAsia"/>
          <w:color w:val="393939"/>
          <w:sz w:val="24"/>
          <w:szCs w:val="24"/>
          <w:highlight w:val="none"/>
          <w:lang w:eastAsia="zh-CN"/>
        </w:rPr>
        <w:t>招标人收到报告后的验收通过</w:t>
      </w:r>
      <w:r>
        <w:rPr>
          <w:rFonts w:hint="eastAsia" w:asciiTheme="minorEastAsia" w:hAnsiTheme="minorEastAsia" w:eastAsiaTheme="minorEastAsia" w:cstheme="minorEastAsia"/>
          <w:color w:val="393939"/>
          <w:sz w:val="24"/>
          <w:szCs w:val="24"/>
          <w:highlight w:val="none"/>
        </w:rPr>
        <w:t>之日起计算）。</w:t>
      </w:r>
      <w:r>
        <w:rPr>
          <w:rFonts w:hint="eastAsia" w:asciiTheme="minorEastAsia" w:hAnsiTheme="minorEastAsia" w:eastAsiaTheme="minorEastAsia" w:cstheme="minorEastAsia"/>
          <w:color w:val="393939"/>
          <w:sz w:val="24"/>
          <w:szCs w:val="24"/>
          <w:shd w:val="clear" w:color="auto" w:fill="FFFFFF"/>
        </w:rPr>
        <w:t>质量保修期后，中标人仍应负责提供终身维修服务，对货物在必要时进行定期维护和修理，更换配件时只能收取配件的成本费。主要设备出现故障，不能在12小时内修复的，无偿为</w:t>
      </w:r>
      <w:r>
        <w:rPr>
          <w:rFonts w:hint="eastAsia" w:asciiTheme="minorEastAsia" w:hAnsiTheme="minorEastAsia" w:eastAsiaTheme="minorEastAsia" w:cstheme="minorEastAsia"/>
          <w:color w:val="393939"/>
          <w:sz w:val="24"/>
          <w:szCs w:val="24"/>
          <w:shd w:val="clear" w:color="auto" w:fill="FFFFFF"/>
          <w:lang w:eastAsia="zh-CN"/>
        </w:rPr>
        <w:t>招标人</w:t>
      </w:r>
      <w:r>
        <w:rPr>
          <w:rFonts w:hint="eastAsia" w:asciiTheme="minorEastAsia" w:hAnsiTheme="minorEastAsia" w:eastAsiaTheme="minorEastAsia" w:cstheme="minorEastAsia"/>
          <w:color w:val="393939"/>
          <w:sz w:val="24"/>
          <w:szCs w:val="24"/>
          <w:shd w:val="clear" w:color="auto" w:fill="FFFFFF"/>
        </w:rPr>
        <w:t>提供同参数的设备供使用，直到设备故障处理完毕为止。</w:t>
      </w:r>
    </w:p>
    <w:p w14:paraId="2BA5D53A">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shd w:val="clear" w:color="auto" w:fill="FFFFFF"/>
        </w:rPr>
        <w:t>10.2在质量保修期内货物运行发生故障时中标</w:t>
      </w:r>
      <w:r>
        <w:rPr>
          <w:rFonts w:hint="eastAsia" w:asciiTheme="minorEastAsia" w:hAnsiTheme="minorEastAsia" w:eastAsiaTheme="minorEastAsia" w:cstheme="minorEastAsia"/>
          <w:color w:val="393939"/>
          <w:sz w:val="24"/>
          <w:szCs w:val="24"/>
          <w:shd w:val="clear" w:color="auto" w:fill="FFFFFF"/>
          <w:lang w:eastAsia="zh-CN"/>
        </w:rPr>
        <w:t>人</w:t>
      </w:r>
      <w:r>
        <w:rPr>
          <w:rFonts w:hint="eastAsia" w:asciiTheme="minorEastAsia" w:hAnsiTheme="minorEastAsia" w:eastAsiaTheme="minorEastAsia" w:cstheme="minorEastAsia"/>
          <w:color w:val="393939"/>
          <w:sz w:val="24"/>
          <w:szCs w:val="24"/>
          <w:shd w:val="clear" w:color="auto" w:fill="FFFFFF"/>
        </w:rPr>
        <w:t>在接到招标人故障通知后</w:t>
      </w:r>
      <w:r>
        <w:rPr>
          <w:rStyle w:val="17"/>
          <w:rFonts w:hint="eastAsia" w:asciiTheme="minorEastAsia" w:hAnsiTheme="minorEastAsia" w:eastAsiaTheme="minorEastAsia" w:cstheme="minorEastAsia"/>
          <w:bCs/>
          <w:color w:val="393939"/>
          <w:sz w:val="24"/>
          <w:szCs w:val="24"/>
          <w:highlight w:val="none"/>
          <w:shd w:val="clear" w:color="auto" w:fill="FFFFFF"/>
          <w:lang w:val="en-US" w:eastAsia="zh-CN"/>
        </w:rPr>
        <w:t>1</w:t>
      </w:r>
      <w:r>
        <w:rPr>
          <w:rStyle w:val="17"/>
          <w:rFonts w:hint="eastAsia" w:asciiTheme="minorEastAsia" w:hAnsiTheme="minorEastAsia" w:eastAsiaTheme="minorEastAsia" w:cstheme="minorEastAsia"/>
          <w:bCs/>
          <w:color w:val="393939"/>
          <w:sz w:val="24"/>
          <w:szCs w:val="24"/>
          <w:highlight w:val="none"/>
          <w:shd w:val="clear" w:color="auto" w:fill="FFFFFF"/>
        </w:rPr>
        <w:t>小时内响应，并在</w:t>
      </w:r>
      <w:r>
        <w:rPr>
          <w:rStyle w:val="17"/>
          <w:rFonts w:hint="eastAsia" w:asciiTheme="minorEastAsia" w:hAnsiTheme="minorEastAsia" w:eastAsiaTheme="minorEastAsia" w:cstheme="minorEastAsia"/>
          <w:bCs/>
          <w:color w:val="393939"/>
          <w:sz w:val="24"/>
          <w:szCs w:val="24"/>
          <w:highlight w:val="none"/>
          <w:shd w:val="clear" w:color="auto" w:fill="FFFFFF"/>
          <w:lang w:val="en-US" w:eastAsia="zh-CN"/>
        </w:rPr>
        <w:t>2</w:t>
      </w:r>
      <w:r>
        <w:rPr>
          <w:rStyle w:val="17"/>
          <w:rFonts w:hint="eastAsia" w:asciiTheme="minorEastAsia" w:hAnsiTheme="minorEastAsia" w:eastAsiaTheme="minorEastAsia" w:cstheme="minorEastAsia"/>
          <w:bCs/>
          <w:color w:val="393939"/>
          <w:sz w:val="24"/>
          <w:szCs w:val="24"/>
          <w:highlight w:val="none"/>
          <w:shd w:val="clear" w:color="auto" w:fill="FFFFFF"/>
        </w:rPr>
        <w:t>小时内派工程师到达现场，</w:t>
      </w:r>
      <w:r>
        <w:rPr>
          <w:rFonts w:hint="eastAsia" w:asciiTheme="minorEastAsia" w:hAnsiTheme="minorEastAsia" w:eastAsiaTheme="minorEastAsia" w:cstheme="minorEastAsia"/>
          <w:color w:val="393939"/>
          <w:sz w:val="24"/>
          <w:szCs w:val="24"/>
          <w:shd w:val="clear" w:color="auto" w:fill="FFFFFF"/>
        </w:rPr>
        <w:t>免费负责修理或更换有缺陷的零部件或整机，如</w:t>
      </w:r>
      <w:r>
        <w:rPr>
          <w:rFonts w:hint="eastAsia" w:asciiTheme="minorEastAsia" w:hAnsiTheme="minorEastAsia" w:eastAsiaTheme="minorEastAsia" w:cstheme="minorEastAsia"/>
          <w:color w:val="393939"/>
          <w:sz w:val="24"/>
          <w:szCs w:val="24"/>
          <w:shd w:val="clear" w:color="auto" w:fill="FFFFFF"/>
          <w:lang w:val="en-US" w:eastAsia="zh-CN"/>
        </w:rPr>
        <w:t>12</w:t>
      </w:r>
      <w:r>
        <w:rPr>
          <w:rFonts w:hint="eastAsia" w:asciiTheme="minorEastAsia" w:hAnsiTheme="minorEastAsia" w:eastAsiaTheme="minorEastAsia" w:cstheme="minorEastAsia"/>
          <w:color w:val="393939"/>
          <w:sz w:val="24"/>
          <w:szCs w:val="24"/>
          <w:shd w:val="clear" w:color="auto" w:fill="FFFFFF"/>
        </w:rPr>
        <w:t>小时内无法修复的设备，中标</w:t>
      </w:r>
      <w:r>
        <w:rPr>
          <w:rFonts w:hint="eastAsia" w:asciiTheme="minorEastAsia" w:hAnsiTheme="minorEastAsia" w:eastAsiaTheme="minorEastAsia" w:cstheme="minorEastAsia"/>
          <w:color w:val="393939"/>
          <w:sz w:val="24"/>
          <w:szCs w:val="24"/>
          <w:shd w:val="clear" w:color="auto" w:fill="FFFFFF"/>
          <w:lang w:eastAsia="zh-CN"/>
        </w:rPr>
        <w:t>人</w:t>
      </w:r>
      <w:r>
        <w:rPr>
          <w:rFonts w:hint="eastAsia" w:asciiTheme="minorEastAsia" w:hAnsiTheme="minorEastAsia" w:eastAsiaTheme="minorEastAsia" w:cstheme="minorEastAsia"/>
          <w:color w:val="393939"/>
          <w:sz w:val="24"/>
          <w:szCs w:val="24"/>
          <w:shd w:val="clear" w:color="auto" w:fill="FFFFFF"/>
        </w:rPr>
        <w:t>应提供备品供招标人使用。在质量保证期内出现属设备质量问题，招标人则有权要求免费更换整机，更换的质量保证期从更换之日起相应顺延。</w:t>
      </w:r>
    </w:p>
    <w:p w14:paraId="18CA70C2">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93939"/>
          <w:sz w:val="24"/>
          <w:szCs w:val="24"/>
          <w:shd w:val="clear" w:color="auto" w:fill="FFFFFF"/>
        </w:rPr>
        <w:t>10.3质量保证期后的服务要求</w:t>
      </w:r>
    </w:p>
    <w:p w14:paraId="0DC5C6A5">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10.3.1</w:t>
      </w:r>
      <w:r>
        <w:rPr>
          <w:rFonts w:hint="eastAsia" w:asciiTheme="minorEastAsia" w:hAnsiTheme="minorEastAsia" w:eastAsiaTheme="minorEastAsia" w:cstheme="minorEastAsia"/>
          <w:color w:val="auto"/>
          <w:sz w:val="24"/>
          <w:szCs w:val="24"/>
          <w:highlight w:val="none"/>
          <w:lang w:val="en-US" w:eastAsia="zh-CN"/>
        </w:rPr>
        <w:t>针对本项目</w:t>
      </w:r>
      <w:r>
        <w:rPr>
          <w:rFonts w:hint="eastAsia" w:asciiTheme="minorEastAsia" w:hAnsiTheme="minorEastAsia" w:eastAsiaTheme="minorEastAsia" w:cstheme="minorEastAsia"/>
          <w:color w:val="auto"/>
          <w:sz w:val="24"/>
          <w:szCs w:val="24"/>
          <w:highlight w:val="none"/>
          <w:shd w:val="clear" w:color="auto" w:fill="FFFFFF"/>
        </w:rPr>
        <w:t>质保期结束后</w:t>
      </w:r>
      <w:r>
        <w:rPr>
          <w:rFonts w:hint="eastAsia" w:asciiTheme="minorEastAsia" w:hAnsiTheme="minorEastAsia" w:eastAsiaTheme="minorEastAsia" w:cstheme="minorEastAsia"/>
          <w:color w:val="auto"/>
          <w:sz w:val="24"/>
          <w:szCs w:val="24"/>
          <w:highlight w:val="none"/>
          <w:shd w:val="clear" w:color="auto" w:fill="FFFFFF"/>
          <w:lang w:eastAsia="zh-CN"/>
        </w:rPr>
        <w:t>，若招标人有需要，中标人应负责项目的维保任务，期间包含完成招标人少量的开发需求任务（单年度开发服务所需的人数不高于10人\月的，不另行计费），在维保期间提供</w:t>
      </w:r>
      <w:r>
        <w:rPr>
          <w:rFonts w:hint="eastAsia" w:asciiTheme="minorEastAsia" w:hAnsiTheme="minorEastAsia" w:eastAsiaTheme="minorEastAsia" w:cstheme="minorEastAsia"/>
          <w:color w:val="auto"/>
          <w:sz w:val="24"/>
          <w:szCs w:val="24"/>
          <w:highlight w:val="none"/>
          <w:shd w:val="clear" w:color="auto" w:fill="FFFFFF"/>
          <w:lang w:val="en-US" w:eastAsia="zh-CN"/>
        </w:rPr>
        <w:t>2名维保人员（人员必须为其投标文件中响应的人员）按招标人规定驻场，</w:t>
      </w:r>
      <w:r>
        <w:rPr>
          <w:rFonts w:hint="eastAsia" w:asciiTheme="minorEastAsia" w:hAnsiTheme="minorEastAsia" w:eastAsiaTheme="minorEastAsia" w:cstheme="minorEastAsia"/>
          <w:color w:val="auto"/>
          <w:sz w:val="24"/>
          <w:szCs w:val="24"/>
          <w:highlight w:val="none"/>
          <w:shd w:val="clear" w:color="auto" w:fill="FFFFFF"/>
          <w:lang w:eastAsia="zh-CN"/>
        </w:rPr>
        <w:t>此外维保的服务费用不得超过合同总价的</w:t>
      </w:r>
      <w:r>
        <w:rPr>
          <w:rFonts w:hint="eastAsia" w:asciiTheme="minorEastAsia" w:hAnsiTheme="minorEastAsia" w:eastAsiaTheme="minorEastAsia" w:cstheme="minorEastAsia"/>
          <w:color w:val="auto"/>
          <w:sz w:val="24"/>
          <w:szCs w:val="24"/>
          <w:highlight w:val="none"/>
          <w:shd w:val="clear" w:color="auto" w:fill="FFFFFF"/>
          <w:lang w:val="en-US" w:eastAsia="zh-CN"/>
        </w:rPr>
        <w:t>10%/年</w:t>
      </w:r>
      <w:r>
        <w:rPr>
          <w:rFonts w:hint="eastAsia" w:asciiTheme="minorEastAsia" w:hAnsiTheme="minorEastAsia" w:eastAsiaTheme="minorEastAsia" w:cstheme="minorEastAsia"/>
          <w:color w:val="auto"/>
          <w:sz w:val="24"/>
          <w:szCs w:val="24"/>
          <w:highlight w:val="none"/>
          <w:shd w:val="clear" w:color="auto" w:fill="FFFFFF"/>
        </w:rPr>
        <w:t>。</w:t>
      </w:r>
    </w:p>
    <w:p w14:paraId="59A7ABE5">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93939"/>
          <w:sz w:val="24"/>
          <w:szCs w:val="24"/>
          <w:shd w:val="clear" w:color="auto" w:fill="FFFFFF"/>
        </w:rPr>
        <w:t>10.3.2投标人可根据自身情况在投标文件中提供详细提供售后服务承诺、保障措施、保修期内的维保范围和内容、保修期后的维保服务内容等。质量保证期后的服务不收取上门服务人工及差旅费。</w:t>
      </w:r>
    </w:p>
    <w:p w14:paraId="35B9D35C">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93939"/>
          <w:sz w:val="24"/>
          <w:szCs w:val="24"/>
          <w:shd w:val="clear" w:color="auto" w:fill="FFFFFF"/>
        </w:rPr>
      </w:pPr>
      <w:r>
        <w:rPr>
          <w:rFonts w:hint="eastAsia" w:asciiTheme="minorEastAsia" w:hAnsiTheme="minorEastAsia" w:eastAsiaTheme="minorEastAsia" w:cstheme="minorEastAsia"/>
          <w:b/>
          <w:bCs/>
          <w:color w:val="393939"/>
          <w:sz w:val="24"/>
          <w:szCs w:val="24"/>
          <w:shd w:val="clear" w:color="auto" w:fill="FFFFFF"/>
        </w:rPr>
        <w:t>11</w:t>
      </w:r>
      <w:r>
        <w:rPr>
          <w:rFonts w:hint="eastAsia" w:asciiTheme="minorEastAsia" w:hAnsiTheme="minorEastAsia" w:eastAsiaTheme="minorEastAsia" w:cstheme="minorEastAsia"/>
          <w:b/>
          <w:bCs/>
          <w:color w:val="393939"/>
          <w:sz w:val="24"/>
          <w:szCs w:val="24"/>
          <w:shd w:val="clear" w:color="auto" w:fill="FFFFFF"/>
          <w:lang w:val="en-US" w:eastAsia="zh-CN"/>
        </w:rPr>
        <w:t>.</w:t>
      </w:r>
      <w:r>
        <w:rPr>
          <w:rFonts w:hint="eastAsia" w:asciiTheme="minorEastAsia" w:hAnsiTheme="minorEastAsia" w:eastAsiaTheme="minorEastAsia" w:cstheme="minorEastAsia"/>
          <w:b/>
          <w:bCs/>
          <w:color w:val="393939"/>
          <w:sz w:val="24"/>
          <w:szCs w:val="24"/>
          <w:shd w:val="clear" w:color="auto" w:fill="FFFFFF"/>
        </w:rPr>
        <w:t>技术培训</w:t>
      </w:r>
    </w:p>
    <w:p w14:paraId="612D7636">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93939"/>
          <w:sz w:val="24"/>
          <w:szCs w:val="24"/>
          <w:shd w:val="clear" w:color="auto" w:fill="FFFFFF"/>
        </w:rPr>
      </w:pPr>
      <w:r>
        <w:rPr>
          <w:rFonts w:hint="eastAsia" w:asciiTheme="minorEastAsia" w:hAnsiTheme="minorEastAsia" w:eastAsiaTheme="minorEastAsia" w:cstheme="minorEastAsia"/>
          <w:b/>
          <w:bCs/>
          <w:color w:val="393939"/>
          <w:sz w:val="24"/>
          <w:szCs w:val="24"/>
          <w:shd w:val="clear" w:color="auto" w:fill="FFFFFF"/>
        </w:rPr>
        <w:t>质保期内</w:t>
      </w:r>
      <w:r>
        <w:rPr>
          <w:rFonts w:hint="eastAsia" w:asciiTheme="minorEastAsia" w:hAnsiTheme="minorEastAsia" w:eastAsiaTheme="minorEastAsia" w:cstheme="minorEastAsia"/>
          <w:b/>
          <w:bCs/>
          <w:color w:val="393939"/>
          <w:sz w:val="24"/>
          <w:szCs w:val="24"/>
          <w:shd w:val="clear" w:color="auto" w:fill="FFFFFF"/>
          <w:lang w:eastAsia="zh-CN"/>
        </w:rPr>
        <w:t>，</w:t>
      </w:r>
      <w:r>
        <w:rPr>
          <w:rFonts w:hint="eastAsia" w:asciiTheme="minorEastAsia" w:hAnsiTheme="minorEastAsia" w:eastAsiaTheme="minorEastAsia" w:cstheme="minorEastAsia"/>
          <w:b/>
          <w:bCs/>
          <w:color w:val="393939"/>
          <w:sz w:val="24"/>
          <w:szCs w:val="24"/>
          <w:shd w:val="clear" w:color="auto" w:fill="FFFFFF"/>
        </w:rPr>
        <w:t>中标人须免费对设备的使用操作、设备维修、故障排除、日常保养等方面提供现场技术培训，直到受训的技术人员能独立操作为止</w:t>
      </w:r>
      <w:r>
        <w:rPr>
          <w:rFonts w:hint="eastAsia" w:asciiTheme="minorEastAsia" w:hAnsiTheme="minorEastAsia" w:eastAsiaTheme="minorEastAsia" w:cstheme="minorEastAsia"/>
          <w:b/>
          <w:bCs/>
          <w:color w:val="393939"/>
          <w:sz w:val="24"/>
          <w:szCs w:val="24"/>
          <w:shd w:val="clear" w:color="auto" w:fill="FFFFFF"/>
          <w:lang w:eastAsia="zh-CN"/>
        </w:rPr>
        <w:t>。</w:t>
      </w:r>
      <w:r>
        <w:rPr>
          <w:rFonts w:hint="eastAsia" w:asciiTheme="minorEastAsia" w:hAnsiTheme="minorEastAsia" w:eastAsiaTheme="minorEastAsia" w:cstheme="minorEastAsia"/>
          <w:b/>
          <w:bCs/>
          <w:color w:val="393939"/>
          <w:sz w:val="24"/>
          <w:szCs w:val="24"/>
          <w:shd w:val="clear" w:color="auto" w:fill="FFFFFF"/>
        </w:rPr>
        <w:t>对相应的受训人员将免费提供相应讲义教材等资料。</w:t>
      </w:r>
    </w:p>
    <w:p w14:paraId="16BBE44B">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93939"/>
          <w:sz w:val="24"/>
          <w:szCs w:val="24"/>
          <w:shd w:val="clear" w:color="auto" w:fill="FFFFFF"/>
        </w:rPr>
      </w:pPr>
      <w:r>
        <w:rPr>
          <w:rFonts w:hint="eastAsia" w:asciiTheme="minorEastAsia" w:hAnsiTheme="minorEastAsia" w:eastAsiaTheme="minorEastAsia" w:cstheme="minorEastAsia"/>
          <w:b/>
          <w:bCs/>
          <w:color w:val="393939"/>
          <w:sz w:val="24"/>
          <w:szCs w:val="24"/>
          <w:shd w:val="clear" w:color="auto" w:fill="FFFFFF"/>
        </w:rPr>
        <w:t>12</w:t>
      </w:r>
      <w:r>
        <w:rPr>
          <w:rFonts w:hint="eastAsia" w:asciiTheme="minorEastAsia" w:hAnsiTheme="minorEastAsia" w:eastAsiaTheme="minorEastAsia" w:cstheme="minorEastAsia"/>
          <w:b/>
          <w:bCs/>
          <w:color w:val="393939"/>
          <w:sz w:val="24"/>
          <w:szCs w:val="24"/>
          <w:shd w:val="clear" w:color="auto" w:fill="FFFFFF"/>
          <w:lang w:val="en-US" w:eastAsia="zh-CN"/>
        </w:rPr>
        <w:t>.</w:t>
      </w:r>
      <w:r>
        <w:rPr>
          <w:rFonts w:hint="eastAsia" w:asciiTheme="minorEastAsia" w:hAnsiTheme="minorEastAsia" w:eastAsiaTheme="minorEastAsia" w:cstheme="minorEastAsia"/>
          <w:b/>
          <w:bCs/>
          <w:color w:val="393939"/>
          <w:sz w:val="24"/>
          <w:szCs w:val="24"/>
          <w:shd w:val="clear" w:color="auto" w:fill="FFFFFF"/>
        </w:rPr>
        <w:t>其它说明：</w:t>
      </w:r>
    </w:p>
    <w:p w14:paraId="47A1F972">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93939"/>
          <w:sz w:val="24"/>
          <w:szCs w:val="24"/>
          <w:shd w:val="clear" w:color="auto" w:fill="FFFFFF"/>
        </w:rPr>
        <w:t>12.1中标人的投标产品必须符合国家对有关产品的相关标准的规定。</w:t>
      </w:r>
    </w:p>
    <w:p w14:paraId="4844B2B8">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93939"/>
          <w:sz w:val="24"/>
          <w:szCs w:val="24"/>
          <w:shd w:val="clear" w:color="auto" w:fill="FFFFFF"/>
        </w:rPr>
        <w:t>12.2本文所述技术要求，应视为保证涉及项目运行所需的最低要求，如有遗漏，投标人应予以补充，否则，一旦中标将认为投标人认同遗漏部分并免费提供。</w:t>
      </w:r>
    </w:p>
    <w:p w14:paraId="5476C174">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33333"/>
          <w:sz w:val="24"/>
          <w:szCs w:val="24"/>
          <w:lang w:bidi="ar"/>
        </w:rPr>
      </w:pPr>
      <w:r>
        <w:rPr>
          <w:rFonts w:hint="eastAsia" w:asciiTheme="minorEastAsia" w:hAnsiTheme="minorEastAsia" w:eastAsiaTheme="minorEastAsia" w:cstheme="minorEastAsia"/>
          <w:b/>
          <w:bCs/>
          <w:color w:val="333333"/>
          <w:sz w:val="24"/>
          <w:szCs w:val="24"/>
          <w:lang w:val="en-US" w:eastAsia="zh-CN" w:bidi="ar"/>
        </w:rPr>
        <w:t>13.</w:t>
      </w:r>
      <w:r>
        <w:rPr>
          <w:rFonts w:hint="eastAsia" w:asciiTheme="minorEastAsia" w:hAnsiTheme="minorEastAsia" w:eastAsiaTheme="minorEastAsia" w:cstheme="minorEastAsia"/>
          <w:b/>
          <w:bCs/>
          <w:color w:val="333333"/>
          <w:sz w:val="24"/>
          <w:szCs w:val="24"/>
          <w:lang w:bidi="ar"/>
        </w:rPr>
        <w:t>违约责任</w:t>
      </w:r>
    </w:p>
    <w:p w14:paraId="2BC7605C">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33333"/>
          <w:kern w:val="0"/>
          <w:sz w:val="24"/>
          <w:szCs w:val="24"/>
          <w:lang w:eastAsia="zh-CN" w:bidi="ar"/>
        </w:rPr>
      </w:pPr>
      <w:r>
        <w:rPr>
          <w:rFonts w:hint="eastAsia" w:asciiTheme="minorEastAsia" w:hAnsiTheme="minorEastAsia" w:eastAsiaTheme="minorEastAsia" w:cstheme="minorEastAsia"/>
          <w:color w:val="333333"/>
          <w:kern w:val="0"/>
          <w:sz w:val="24"/>
          <w:szCs w:val="24"/>
          <w:lang w:val="en-US" w:eastAsia="zh-CN" w:bidi="ar"/>
        </w:rPr>
        <w:t>13.</w:t>
      </w:r>
      <w:r>
        <w:rPr>
          <w:rFonts w:hint="eastAsia" w:asciiTheme="minorEastAsia" w:hAnsiTheme="minorEastAsia" w:eastAsiaTheme="minorEastAsia" w:cstheme="minorEastAsia"/>
          <w:color w:val="333333"/>
          <w:kern w:val="0"/>
          <w:sz w:val="24"/>
          <w:szCs w:val="24"/>
          <w:lang w:bidi="ar"/>
        </w:rPr>
        <w:t>1</w:t>
      </w:r>
      <w:r>
        <w:rPr>
          <w:rFonts w:hint="eastAsia" w:asciiTheme="minorEastAsia" w:hAnsiTheme="minorEastAsia" w:eastAsiaTheme="minorEastAsia" w:cstheme="minorEastAsia"/>
          <w:color w:val="333333"/>
          <w:kern w:val="0"/>
          <w:sz w:val="24"/>
          <w:szCs w:val="24"/>
          <w:lang w:eastAsia="zh-CN" w:bidi="ar"/>
        </w:rPr>
        <w:t>因中标人原因致使本项目合同无法签订的，中标人应承担相应的法律责任，招标人有权不予退还其投标保证金。已收取履约保证金的，则其履约保证金也不予退还。</w:t>
      </w:r>
    </w:p>
    <w:p w14:paraId="3CBBDC41">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33333"/>
          <w:kern w:val="0"/>
          <w:sz w:val="24"/>
          <w:szCs w:val="24"/>
          <w:lang w:val="en-US" w:eastAsia="zh-CN" w:bidi="ar"/>
        </w:rPr>
        <w:t>13.2</w:t>
      </w:r>
      <w:r>
        <w:rPr>
          <w:rFonts w:hint="eastAsia" w:asciiTheme="minorEastAsia" w:hAnsiTheme="minorEastAsia" w:eastAsiaTheme="minorEastAsia" w:cstheme="minorEastAsia"/>
          <w:color w:val="auto"/>
          <w:kern w:val="0"/>
          <w:sz w:val="24"/>
          <w:szCs w:val="24"/>
          <w:lang w:bidi="ar"/>
        </w:rPr>
        <w:t>中标人</w:t>
      </w:r>
      <w:r>
        <w:rPr>
          <w:rFonts w:hint="eastAsia" w:asciiTheme="minorEastAsia" w:hAnsiTheme="minorEastAsia" w:eastAsiaTheme="minorEastAsia" w:cstheme="minorEastAsia"/>
          <w:color w:val="auto"/>
          <w:kern w:val="0"/>
          <w:sz w:val="24"/>
          <w:szCs w:val="24"/>
          <w:lang w:eastAsia="zh-CN" w:bidi="ar"/>
        </w:rPr>
        <w:t>出现</w:t>
      </w:r>
      <w:r>
        <w:rPr>
          <w:rFonts w:hint="eastAsia" w:asciiTheme="minorEastAsia" w:hAnsiTheme="minorEastAsia" w:eastAsiaTheme="minorEastAsia" w:cstheme="minorEastAsia"/>
          <w:color w:val="auto"/>
          <w:kern w:val="0"/>
          <w:sz w:val="24"/>
          <w:szCs w:val="24"/>
          <w:lang w:bidi="ar"/>
        </w:rPr>
        <w:t>将项目转包</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或分包</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他人，</w:t>
      </w:r>
      <w:r>
        <w:rPr>
          <w:rFonts w:hint="eastAsia" w:asciiTheme="minorEastAsia" w:hAnsiTheme="minorEastAsia" w:eastAsiaTheme="minorEastAsia" w:cstheme="minorEastAsia"/>
          <w:color w:val="auto"/>
          <w:kern w:val="0"/>
          <w:sz w:val="24"/>
          <w:szCs w:val="24"/>
          <w:lang w:eastAsia="zh-CN" w:bidi="ar"/>
        </w:rPr>
        <w:t>或</w:t>
      </w:r>
      <w:r>
        <w:rPr>
          <w:rFonts w:hint="eastAsia" w:asciiTheme="minorEastAsia" w:hAnsiTheme="minorEastAsia" w:eastAsiaTheme="minorEastAsia" w:cstheme="minorEastAsia"/>
          <w:color w:val="auto"/>
          <w:sz w:val="24"/>
          <w:szCs w:val="24"/>
          <w:shd w:val="clear" w:color="auto" w:fill="FFFFFF"/>
        </w:rPr>
        <w:t>未经招标人同意中标人单方解除合同，</w:t>
      </w:r>
      <w:r>
        <w:rPr>
          <w:rFonts w:hint="eastAsia" w:asciiTheme="minorEastAsia" w:hAnsiTheme="minorEastAsia" w:eastAsiaTheme="minorEastAsia" w:cstheme="minorEastAsia"/>
          <w:color w:val="auto"/>
          <w:sz w:val="24"/>
          <w:szCs w:val="24"/>
          <w:shd w:val="clear" w:color="auto" w:fill="FFFFFF"/>
          <w:lang w:eastAsia="zh-CN"/>
        </w:rPr>
        <w:t>或</w:t>
      </w:r>
      <w:r>
        <w:rPr>
          <w:rFonts w:hint="eastAsia" w:asciiTheme="minorEastAsia" w:hAnsiTheme="minorEastAsia" w:eastAsiaTheme="minorEastAsia" w:cstheme="minorEastAsia"/>
          <w:color w:val="auto"/>
          <w:sz w:val="24"/>
          <w:szCs w:val="24"/>
          <w:shd w:val="clear" w:color="auto" w:fill="FFFFFF"/>
        </w:rPr>
        <w:t>以明示或行为等方式拒绝履行合同</w:t>
      </w:r>
      <w:r>
        <w:rPr>
          <w:rFonts w:hint="eastAsia" w:asciiTheme="minorEastAsia" w:hAnsiTheme="minorEastAsia" w:eastAsiaTheme="minorEastAsia" w:cstheme="minorEastAsia"/>
          <w:color w:val="auto"/>
          <w:sz w:val="24"/>
          <w:szCs w:val="24"/>
          <w:shd w:val="clear" w:color="auto" w:fill="FFFFFF"/>
          <w:lang w:eastAsia="zh-CN"/>
        </w:rPr>
        <w:t>行为的，</w:t>
      </w:r>
      <w:r>
        <w:rPr>
          <w:rFonts w:hint="eastAsia" w:asciiTheme="minorEastAsia" w:hAnsiTheme="minorEastAsia" w:eastAsiaTheme="minorEastAsia" w:cstheme="minorEastAsia"/>
          <w:b/>
          <w:bCs/>
          <w:color w:val="333333"/>
          <w:kern w:val="0"/>
          <w:sz w:val="24"/>
          <w:szCs w:val="24"/>
          <w:lang w:bidi="ar"/>
        </w:rPr>
        <w:t>招标人有权单方</w:t>
      </w:r>
      <w:r>
        <w:rPr>
          <w:rFonts w:hint="eastAsia" w:asciiTheme="minorEastAsia" w:hAnsiTheme="minorEastAsia" w:eastAsiaTheme="minorEastAsia" w:cstheme="minorEastAsia"/>
          <w:b/>
          <w:bCs/>
          <w:color w:val="333333"/>
          <w:kern w:val="0"/>
          <w:sz w:val="24"/>
          <w:szCs w:val="24"/>
          <w:lang w:eastAsia="zh-CN" w:bidi="ar"/>
        </w:rPr>
        <w:t>解除</w:t>
      </w:r>
      <w:r>
        <w:rPr>
          <w:rFonts w:hint="eastAsia" w:asciiTheme="minorEastAsia" w:hAnsiTheme="minorEastAsia" w:eastAsiaTheme="minorEastAsia" w:cstheme="minorEastAsia"/>
          <w:b/>
          <w:bCs/>
          <w:color w:val="333333"/>
          <w:kern w:val="0"/>
          <w:sz w:val="24"/>
          <w:szCs w:val="24"/>
          <w:lang w:bidi="ar"/>
        </w:rPr>
        <w:t>合同，</w:t>
      </w:r>
      <w:r>
        <w:rPr>
          <w:rFonts w:hint="eastAsia" w:asciiTheme="minorEastAsia" w:hAnsiTheme="minorEastAsia" w:eastAsiaTheme="minorEastAsia" w:cstheme="minorEastAsia"/>
          <w:b/>
          <w:bCs/>
          <w:color w:val="333333"/>
          <w:kern w:val="0"/>
          <w:sz w:val="24"/>
          <w:szCs w:val="24"/>
          <w:lang w:eastAsia="zh-CN" w:bidi="ar"/>
        </w:rPr>
        <w:t>并不予退还其</w:t>
      </w:r>
      <w:r>
        <w:rPr>
          <w:rFonts w:hint="eastAsia" w:asciiTheme="minorEastAsia" w:hAnsiTheme="minorEastAsia" w:eastAsiaTheme="minorEastAsia" w:cstheme="minorEastAsia"/>
          <w:b/>
          <w:bCs/>
          <w:color w:val="333333"/>
          <w:kern w:val="0"/>
          <w:sz w:val="24"/>
          <w:szCs w:val="24"/>
          <w:lang w:bidi="ar"/>
        </w:rPr>
        <w:t>履</w:t>
      </w:r>
      <w:r>
        <w:rPr>
          <w:rFonts w:hint="eastAsia" w:asciiTheme="minorEastAsia" w:hAnsiTheme="minorEastAsia" w:eastAsiaTheme="minorEastAsia" w:cstheme="minorEastAsia"/>
          <w:b/>
          <w:bCs/>
          <w:color w:val="393939"/>
          <w:sz w:val="24"/>
          <w:szCs w:val="24"/>
          <w:shd w:val="clear" w:color="auto" w:fill="FFFFFF"/>
        </w:rPr>
        <w:t>约保证金，</w:t>
      </w:r>
      <w:r>
        <w:rPr>
          <w:rFonts w:hint="eastAsia" w:asciiTheme="minorEastAsia" w:hAnsiTheme="minorEastAsia" w:eastAsiaTheme="minorEastAsia" w:cstheme="minorEastAsia"/>
          <w:b/>
          <w:bCs/>
          <w:color w:val="393939"/>
          <w:sz w:val="24"/>
          <w:szCs w:val="24"/>
          <w:shd w:val="clear" w:color="auto" w:fill="FFFFFF"/>
          <w:lang w:eastAsia="zh-CN"/>
        </w:rPr>
        <w:t>此外</w:t>
      </w:r>
      <w:r>
        <w:rPr>
          <w:rFonts w:hint="eastAsia" w:asciiTheme="minorEastAsia" w:hAnsiTheme="minorEastAsia" w:eastAsiaTheme="minorEastAsia" w:cstheme="minorEastAsia"/>
          <w:b/>
          <w:bCs/>
          <w:color w:val="393939"/>
          <w:sz w:val="24"/>
          <w:szCs w:val="24"/>
          <w:shd w:val="clear" w:color="auto" w:fill="FFFFFF"/>
        </w:rPr>
        <w:t>中标人</w:t>
      </w:r>
      <w:r>
        <w:rPr>
          <w:rFonts w:hint="eastAsia" w:asciiTheme="minorEastAsia" w:hAnsiTheme="minorEastAsia" w:eastAsiaTheme="minorEastAsia" w:cstheme="minorEastAsia"/>
          <w:b/>
          <w:bCs/>
          <w:color w:val="393939"/>
          <w:sz w:val="24"/>
          <w:szCs w:val="24"/>
          <w:shd w:val="clear" w:color="auto" w:fill="FFFFFF"/>
          <w:lang w:eastAsia="zh-CN"/>
        </w:rPr>
        <w:t>还须向招标人</w:t>
      </w:r>
      <w:r>
        <w:rPr>
          <w:rFonts w:hint="eastAsia" w:asciiTheme="minorEastAsia" w:hAnsiTheme="minorEastAsia" w:eastAsiaTheme="minorEastAsia" w:cstheme="minorEastAsia"/>
          <w:b/>
          <w:bCs/>
          <w:color w:val="393939"/>
          <w:sz w:val="24"/>
          <w:szCs w:val="24"/>
          <w:shd w:val="clear" w:color="auto" w:fill="FFFFFF"/>
        </w:rPr>
        <w:t>支付合同金额</w:t>
      </w:r>
      <w:r>
        <w:rPr>
          <w:rFonts w:hint="eastAsia" w:asciiTheme="minorEastAsia" w:hAnsiTheme="minorEastAsia" w:eastAsiaTheme="minorEastAsia" w:cstheme="minorEastAsia"/>
          <w:b/>
          <w:bCs/>
          <w:color w:val="393939"/>
          <w:sz w:val="24"/>
          <w:szCs w:val="24"/>
          <w:u w:val="single"/>
          <w:shd w:val="clear" w:color="auto" w:fill="FFFFFF"/>
        </w:rPr>
        <w:t xml:space="preserve">  20%  </w:t>
      </w:r>
      <w:r>
        <w:rPr>
          <w:rFonts w:hint="eastAsia" w:asciiTheme="minorEastAsia" w:hAnsiTheme="minorEastAsia" w:eastAsiaTheme="minorEastAsia" w:cstheme="minorEastAsia"/>
          <w:b/>
          <w:bCs/>
          <w:color w:val="393939"/>
          <w:sz w:val="24"/>
          <w:szCs w:val="24"/>
          <w:shd w:val="clear" w:color="auto" w:fill="FFFFFF"/>
        </w:rPr>
        <w:t>的违约金。</w:t>
      </w:r>
    </w:p>
    <w:p w14:paraId="6C37C00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333333"/>
          <w:kern w:val="0"/>
          <w:sz w:val="24"/>
          <w:szCs w:val="24"/>
          <w:lang w:val="en-US" w:eastAsia="zh-CN" w:bidi="ar"/>
        </w:rPr>
        <w:t>13.</w:t>
      </w:r>
      <w:r>
        <w:rPr>
          <w:rFonts w:hint="eastAsia" w:asciiTheme="minorEastAsia" w:hAnsiTheme="minorEastAsia" w:eastAsiaTheme="minorEastAsia" w:cstheme="minorEastAsia"/>
          <w:color w:val="393939"/>
          <w:sz w:val="24"/>
          <w:szCs w:val="24"/>
          <w:shd w:val="clear" w:color="auto" w:fill="FFFFFF"/>
          <w:lang w:val="en-US" w:eastAsia="zh-CN"/>
        </w:rPr>
        <w:t>3</w:t>
      </w:r>
      <w:r>
        <w:rPr>
          <w:rFonts w:hint="eastAsia" w:asciiTheme="minorEastAsia" w:hAnsiTheme="minorEastAsia" w:eastAsiaTheme="minorEastAsia" w:cstheme="minorEastAsia"/>
          <w:color w:val="333333"/>
          <w:kern w:val="0"/>
          <w:sz w:val="24"/>
          <w:szCs w:val="24"/>
          <w:lang w:bidi="ar"/>
        </w:rPr>
        <w:t>在合同履行期间，中标人必须遵守招标人的各项规章制度，如有进出</w:t>
      </w:r>
      <w:r>
        <w:rPr>
          <w:rFonts w:hint="eastAsia" w:asciiTheme="minorEastAsia" w:hAnsiTheme="minorEastAsia" w:eastAsiaTheme="minorEastAsia" w:cstheme="minorEastAsia"/>
          <w:color w:val="333333"/>
          <w:kern w:val="0"/>
          <w:sz w:val="24"/>
          <w:szCs w:val="24"/>
          <w:lang w:eastAsia="zh-CN" w:bidi="ar"/>
        </w:rPr>
        <w:t>招标人</w:t>
      </w:r>
      <w:r>
        <w:rPr>
          <w:rFonts w:hint="eastAsia" w:asciiTheme="minorEastAsia" w:hAnsiTheme="minorEastAsia" w:eastAsiaTheme="minorEastAsia" w:cstheme="minorEastAsia"/>
          <w:color w:val="333333"/>
          <w:kern w:val="0"/>
          <w:sz w:val="24"/>
          <w:szCs w:val="24"/>
          <w:lang w:val="en-US" w:eastAsia="zh-CN" w:bidi="ar"/>
        </w:rPr>
        <w:t>单位</w:t>
      </w:r>
      <w:r>
        <w:rPr>
          <w:rFonts w:hint="eastAsia" w:asciiTheme="minorEastAsia" w:hAnsiTheme="minorEastAsia" w:eastAsiaTheme="minorEastAsia" w:cstheme="minorEastAsia"/>
          <w:color w:val="333333"/>
          <w:kern w:val="0"/>
          <w:sz w:val="24"/>
          <w:szCs w:val="24"/>
          <w:lang w:bidi="ar"/>
        </w:rPr>
        <w:t>的必须按招标人要求提供相关证件，中标人进入招标人所在</w:t>
      </w:r>
      <w:r>
        <w:rPr>
          <w:rFonts w:hint="eastAsia" w:asciiTheme="minorEastAsia" w:hAnsiTheme="minorEastAsia" w:eastAsiaTheme="minorEastAsia" w:cstheme="minorEastAsia"/>
          <w:color w:val="333333"/>
          <w:kern w:val="0"/>
          <w:sz w:val="24"/>
          <w:szCs w:val="24"/>
          <w:lang w:val="en-US" w:eastAsia="zh-CN" w:bidi="ar"/>
        </w:rPr>
        <w:t>单位</w:t>
      </w:r>
      <w:r>
        <w:rPr>
          <w:rFonts w:hint="eastAsia" w:asciiTheme="minorEastAsia" w:hAnsiTheme="minorEastAsia" w:eastAsiaTheme="minorEastAsia" w:cstheme="minorEastAsia"/>
          <w:color w:val="333333"/>
          <w:kern w:val="0"/>
          <w:sz w:val="24"/>
          <w:szCs w:val="24"/>
          <w:lang w:bidi="ar"/>
        </w:rPr>
        <w:t>的车辆、工作人员不得私自离开指定的区域，不得与</w:t>
      </w:r>
      <w:r>
        <w:rPr>
          <w:rFonts w:hint="eastAsia" w:asciiTheme="minorEastAsia" w:hAnsiTheme="minorEastAsia" w:eastAsiaTheme="minorEastAsia" w:cstheme="minorEastAsia"/>
          <w:color w:val="333333"/>
          <w:kern w:val="0"/>
          <w:sz w:val="24"/>
          <w:szCs w:val="24"/>
          <w:lang w:val="en-US" w:eastAsia="zh-CN" w:bidi="ar"/>
        </w:rPr>
        <w:t>员工</w:t>
      </w:r>
      <w:r>
        <w:rPr>
          <w:rFonts w:hint="eastAsia" w:asciiTheme="minorEastAsia" w:hAnsiTheme="minorEastAsia" w:eastAsiaTheme="minorEastAsia" w:cstheme="minorEastAsia"/>
          <w:color w:val="333333"/>
          <w:kern w:val="0"/>
          <w:sz w:val="24"/>
          <w:szCs w:val="24"/>
          <w:lang w:bidi="ar"/>
        </w:rPr>
        <w:t>及</w:t>
      </w:r>
      <w:r>
        <w:rPr>
          <w:rFonts w:hint="eastAsia" w:asciiTheme="minorEastAsia" w:hAnsiTheme="minorEastAsia" w:eastAsiaTheme="minorEastAsia" w:cstheme="minorEastAsia"/>
          <w:color w:val="333333"/>
          <w:kern w:val="0"/>
          <w:sz w:val="24"/>
          <w:szCs w:val="24"/>
          <w:lang w:val="en-US" w:eastAsia="zh-CN" w:bidi="ar"/>
        </w:rPr>
        <w:t>员工</w:t>
      </w:r>
      <w:r>
        <w:rPr>
          <w:rFonts w:hint="eastAsia" w:asciiTheme="minorEastAsia" w:hAnsiTheme="minorEastAsia" w:eastAsiaTheme="minorEastAsia" w:cstheme="minorEastAsia"/>
          <w:color w:val="333333"/>
          <w:kern w:val="0"/>
          <w:sz w:val="24"/>
          <w:szCs w:val="24"/>
          <w:lang w:bidi="ar"/>
        </w:rPr>
        <w:t>家属有违反</w:t>
      </w:r>
      <w:r>
        <w:rPr>
          <w:rFonts w:hint="eastAsia" w:asciiTheme="minorEastAsia" w:hAnsiTheme="minorEastAsia" w:eastAsiaTheme="minorEastAsia" w:cstheme="minorEastAsia"/>
          <w:color w:val="333333"/>
          <w:kern w:val="0"/>
          <w:sz w:val="24"/>
          <w:szCs w:val="24"/>
          <w:lang w:val="en-US" w:eastAsia="zh-CN" w:bidi="ar"/>
        </w:rPr>
        <w:t>集团</w:t>
      </w:r>
      <w:r>
        <w:rPr>
          <w:rFonts w:hint="eastAsia" w:asciiTheme="minorEastAsia" w:hAnsiTheme="minorEastAsia" w:eastAsiaTheme="minorEastAsia" w:cstheme="minorEastAsia"/>
          <w:color w:val="333333"/>
          <w:kern w:val="0"/>
          <w:sz w:val="24"/>
          <w:szCs w:val="24"/>
          <w:lang w:bidi="ar"/>
        </w:rPr>
        <w:t>规定的接触，不得传递物品及信息如：手机、毒品、</w:t>
      </w:r>
      <w:r>
        <w:rPr>
          <w:rFonts w:hint="eastAsia" w:asciiTheme="minorEastAsia" w:hAnsiTheme="minorEastAsia" w:eastAsiaTheme="minorEastAsia" w:cstheme="minorEastAsia"/>
          <w:color w:val="333333"/>
          <w:kern w:val="0"/>
          <w:sz w:val="24"/>
          <w:szCs w:val="24"/>
          <w:lang w:eastAsia="zh-CN" w:bidi="ar"/>
        </w:rPr>
        <w:t>枪支、刀具、</w:t>
      </w:r>
      <w:r>
        <w:rPr>
          <w:rFonts w:hint="eastAsia" w:asciiTheme="minorEastAsia" w:hAnsiTheme="minorEastAsia" w:eastAsiaTheme="minorEastAsia" w:cstheme="minorEastAsia"/>
          <w:color w:val="333333"/>
          <w:kern w:val="0"/>
          <w:sz w:val="24"/>
          <w:szCs w:val="24"/>
          <w:lang w:bidi="ar"/>
        </w:rPr>
        <w:t>酒类、黄色书刊及图片等</w:t>
      </w:r>
      <w:r>
        <w:rPr>
          <w:rFonts w:hint="eastAsia" w:asciiTheme="minorEastAsia" w:hAnsiTheme="minorEastAsia" w:eastAsiaTheme="minorEastAsia" w:cstheme="minorEastAsia"/>
          <w:color w:val="333333"/>
          <w:kern w:val="0"/>
          <w:sz w:val="24"/>
          <w:szCs w:val="24"/>
          <w:lang w:eastAsia="zh-CN" w:bidi="ar"/>
        </w:rPr>
        <w:t>违禁品</w:t>
      </w:r>
      <w:r>
        <w:rPr>
          <w:rFonts w:hint="eastAsia" w:asciiTheme="minorEastAsia" w:hAnsiTheme="minorEastAsia" w:eastAsiaTheme="minorEastAsia" w:cstheme="minorEastAsia"/>
          <w:color w:val="333333"/>
          <w:kern w:val="0"/>
          <w:sz w:val="24"/>
          <w:szCs w:val="24"/>
          <w:lang w:bidi="ar"/>
        </w:rPr>
        <w:t>，一旦发现有上述违规行为，招标人有权根据情节轻重，要求中标人每次支付违约金</w:t>
      </w:r>
      <w:r>
        <w:rPr>
          <w:rFonts w:hint="eastAsia" w:asciiTheme="minorEastAsia" w:hAnsiTheme="minorEastAsia" w:eastAsiaTheme="minorEastAsia" w:cstheme="minorEastAsia"/>
          <w:color w:val="333333"/>
          <w:kern w:val="0"/>
          <w:sz w:val="24"/>
          <w:szCs w:val="24"/>
          <w:lang w:val="en-US" w:eastAsia="zh-CN" w:bidi="ar"/>
        </w:rPr>
        <w:t>10</w:t>
      </w:r>
      <w:r>
        <w:rPr>
          <w:rFonts w:hint="eastAsia" w:asciiTheme="minorEastAsia" w:hAnsiTheme="minorEastAsia" w:eastAsiaTheme="minorEastAsia" w:cstheme="minorEastAsia"/>
          <w:color w:val="333333"/>
          <w:kern w:val="0"/>
          <w:sz w:val="24"/>
          <w:szCs w:val="24"/>
          <w:lang w:bidi="ar"/>
        </w:rPr>
        <w:t>00元至</w:t>
      </w:r>
      <w:r>
        <w:rPr>
          <w:rFonts w:hint="eastAsia" w:asciiTheme="minorEastAsia" w:hAnsiTheme="minorEastAsia" w:eastAsiaTheme="minorEastAsia" w:cstheme="minorEastAsia"/>
          <w:color w:val="333333"/>
          <w:kern w:val="0"/>
          <w:sz w:val="24"/>
          <w:szCs w:val="24"/>
          <w:lang w:val="en-US" w:eastAsia="zh-CN" w:bidi="ar"/>
        </w:rPr>
        <w:t>2</w:t>
      </w:r>
      <w:r>
        <w:rPr>
          <w:rFonts w:hint="eastAsia" w:asciiTheme="minorEastAsia" w:hAnsiTheme="minorEastAsia" w:eastAsiaTheme="minorEastAsia" w:cstheme="minorEastAsia"/>
          <w:color w:val="333333"/>
          <w:kern w:val="0"/>
          <w:sz w:val="24"/>
          <w:szCs w:val="24"/>
          <w:lang w:bidi="ar"/>
        </w:rPr>
        <w:t>0000元</w:t>
      </w:r>
      <w:r>
        <w:rPr>
          <w:rFonts w:hint="eastAsia" w:asciiTheme="minorEastAsia" w:hAnsiTheme="minorEastAsia" w:eastAsiaTheme="minorEastAsia" w:cstheme="minorEastAsia"/>
          <w:color w:val="333333"/>
          <w:kern w:val="0"/>
          <w:sz w:val="24"/>
          <w:szCs w:val="24"/>
          <w:lang w:eastAsia="zh-CN" w:bidi="ar"/>
        </w:rPr>
        <w:t>的违约金</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金额由招标人视情节、后果等情况综合认定</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b/>
          <w:bCs/>
          <w:color w:val="333333"/>
          <w:kern w:val="0"/>
          <w:sz w:val="24"/>
          <w:szCs w:val="24"/>
          <w:lang w:eastAsia="zh-CN" w:bidi="ar"/>
        </w:rPr>
        <w:t>发生二次（含）以上或造成严重后果的，招标人有权单方面解除合同</w:t>
      </w:r>
      <w:r>
        <w:rPr>
          <w:rFonts w:hint="eastAsia" w:asciiTheme="minorEastAsia" w:hAnsiTheme="minorEastAsia" w:eastAsiaTheme="minorEastAsia" w:cstheme="minorEastAsia"/>
          <w:b/>
          <w:bCs/>
          <w:color w:val="333333"/>
          <w:kern w:val="0"/>
          <w:sz w:val="24"/>
          <w:szCs w:val="24"/>
          <w:lang w:bidi="ar"/>
        </w:rPr>
        <w:t>，</w:t>
      </w:r>
      <w:r>
        <w:rPr>
          <w:rFonts w:hint="eastAsia" w:asciiTheme="minorEastAsia" w:hAnsiTheme="minorEastAsia" w:eastAsiaTheme="minorEastAsia" w:cstheme="minorEastAsia"/>
          <w:b/>
          <w:bCs/>
          <w:color w:val="333333"/>
          <w:kern w:val="0"/>
          <w:sz w:val="24"/>
          <w:szCs w:val="24"/>
          <w:lang w:eastAsia="zh-CN" w:bidi="ar"/>
        </w:rPr>
        <w:t>并不予退还其</w:t>
      </w:r>
      <w:r>
        <w:rPr>
          <w:rFonts w:hint="eastAsia" w:asciiTheme="minorEastAsia" w:hAnsiTheme="minorEastAsia" w:eastAsiaTheme="minorEastAsia" w:cstheme="minorEastAsia"/>
          <w:b/>
          <w:bCs/>
          <w:color w:val="333333"/>
          <w:kern w:val="0"/>
          <w:sz w:val="24"/>
          <w:szCs w:val="24"/>
          <w:lang w:bidi="ar"/>
        </w:rPr>
        <w:t>履</w:t>
      </w:r>
      <w:r>
        <w:rPr>
          <w:rFonts w:hint="eastAsia" w:asciiTheme="minorEastAsia" w:hAnsiTheme="minorEastAsia" w:eastAsiaTheme="minorEastAsia" w:cstheme="minorEastAsia"/>
          <w:b/>
          <w:bCs/>
          <w:color w:val="393939"/>
          <w:sz w:val="24"/>
          <w:szCs w:val="24"/>
          <w:shd w:val="clear" w:color="auto" w:fill="FFFFFF"/>
        </w:rPr>
        <w:t>约保证金，</w:t>
      </w:r>
      <w:r>
        <w:rPr>
          <w:rFonts w:hint="eastAsia" w:asciiTheme="minorEastAsia" w:hAnsiTheme="minorEastAsia" w:eastAsiaTheme="minorEastAsia" w:cstheme="minorEastAsia"/>
          <w:b/>
          <w:bCs/>
          <w:color w:val="393939"/>
          <w:sz w:val="24"/>
          <w:szCs w:val="24"/>
          <w:shd w:val="clear" w:color="auto" w:fill="FFFFFF"/>
          <w:lang w:eastAsia="zh-CN"/>
        </w:rPr>
        <w:t>此外</w:t>
      </w:r>
      <w:r>
        <w:rPr>
          <w:rFonts w:hint="eastAsia" w:asciiTheme="minorEastAsia" w:hAnsiTheme="minorEastAsia" w:eastAsiaTheme="minorEastAsia" w:cstheme="minorEastAsia"/>
          <w:b/>
          <w:bCs/>
          <w:color w:val="393939"/>
          <w:sz w:val="24"/>
          <w:szCs w:val="24"/>
          <w:shd w:val="clear" w:color="auto" w:fill="FFFFFF"/>
        </w:rPr>
        <w:t>中标人</w:t>
      </w:r>
      <w:r>
        <w:rPr>
          <w:rFonts w:hint="eastAsia" w:asciiTheme="minorEastAsia" w:hAnsiTheme="minorEastAsia" w:eastAsiaTheme="minorEastAsia" w:cstheme="minorEastAsia"/>
          <w:b/>
          <w:bCs/>
          <w:color w:val="393939"/>
          <w:sz w:val="24"/>
          <w:szCs w:val="24"/>
          <w:shd w:val="clear" w:color="auto" w:fill="FFFFFF"/>
          <w:lang w:eastAsia="zh-CN"/>
        </w:rPr>
        <w:t>还须向招标人</w:t>
      </w:r>
      <w:r>
        <w:rPr>
          <w:rFonts w:hint="eastAsia" w:asciiTheme="minorEastAsia" w:hAnsiTheme="minorEastAsia" w:eastAsiaTheme="minorEastAsia" w:cstheme="minorEastAsia"/>
          <w:b/>
          <w:bCs/>
          <w:color w:val="393939"/>
          <w:sz w:val="24"/>
          <w:szCs w:val="24"/>
          <w:shd w:val="clear" w:color="auto" w:fill="FFFFFF"/>
        </w:rPr>
        <w:t>支付合同金额</w:t>
      </w:r>
      <w:r>
        <w:rPr>
          <w:rFonts w:hint="eastAsia" w:asciiTheme="minorEastAsia" w:hAnsiTheme="minorEastAsia" w:eastAsiaTheme="minorEastAsia" w:cstheme="minorEastAsia"/>
          <w:b/>
          <w:bCs/>
          <w:color w:val="393939"/>
          <w:sz w:val="24"/>
          <w:szCs w:val="24"/>
          <w:u w:val="single"/>
          <w:shd w:val="clear" w:color="auto" w:fill="FFFFFF"/>
        </w:rPr>
        <w:t xml:space="preserve">  20%  </w:t>
      </w:r>
      <w:r>
        <w:rPr>
          <w:rFonts w:hint="eastAsia" w:asciiTheme="minorEastAsia" w:hAnsiTheme="minorEastAsia" w:eastAsiaTheme="minorEastAsia" w:cstheme="minorEastAsia"/>
          <w:b/>
          <w:bCs/>
          <w:color w:val="393939"/>
          <w:sz w:val="24"/>
          <w:szCs w:val="24"/>
          <w:shd w:val="clear" w:color="auto" w:fill="FFFFFF"/>
        </w:rPr>
        <w:t>的违约金。</w:t>
      </w:r>
      <w:r>
        <w:rPr>
          <w:rFonts w:hint="eastAsia" w:asciiTheme="minorEastAsia" w:hAnsiTheme="minorEastAsia" w:eastAsiaTheme="minorEastAsia" w:cstheme="minorEastAsia"/>
          <w:color w:val="333333"/>
          <w:kern w:val="0"/>
          <w:sz w:val="24"/>
          <w:szCs w:val="24"/>
          <w:lang w:eastAsia="zh-CN" w:bidi="ar"/>
        </w:rPr>
        <w:br w:type="textWrapping"/>
      </w:r>
      <w:r>
        <w:rPr>
          <w:rFonts w:hint="eastAsia" w:asciiTheme="minorEastAsia" w:hAnsiTheme="minorEastAsia" w:eastAsiaTheme="minorEastAsia" w:cstheme="minorEastAsia"/>
          <w:b/>
          <w:bCs/>
          <w:color w:val="333333"/>
          <w:kern w:val="0"/>
          <w:sz w:val="24"/>
          <w:szCs w:val="24"/>
          <w:lang w:val="en-US" w:eastAsia="zh-CN" w:bidi="ar"/>
        </w:rPr>
        <w:t xml:space="preserve"> </w:t>
      </w:r>
      <w:r>
        <w:rPr>
          <w:rFonts w:hint="eastAsia" w:asciiTheme="minorEastAsia" w:hAnsiTheme="minorEastAsia" w:eastAsiaTheme="minorEastAsia" w:cstheme="minorEastAsia"/>
          <w:b w:val="0"/>
          <w:bCs w:val="0"/>
          <w:color w:val="333333"/>
          <w:kern w:val="0"/>
          <w:sz w:val="24"/>
          <w:szCs w:val="24"/>
          <w:lang w:val="en-US" w:eastAsia="zh-CN" w:bidi="ar"/>
        </w:rPr>
        <w:t xml:space="preserve">  13.4因中标人原因逾期交货或未能如期完成安装调试（或开发、上线）的，从逾期之日起，每逾期一天中标人须承担违约金</w:t>
      </w:r>
      <w:r>
        <w:rPr>
          <w:rFonts w:hint="eastAsia" w:asciiTheme="minorEastAsia" w:hAnsiTheme="minorEastAsia" w:eastAsiaTheme="minorEastAsia" w:cstheme="minorEastAsia"/>
          <w:b w:val="0"/>
          <w:bCs w:val="0"/>
          <w:color w:val="333333"/>
          <w:kern w:val="0"/>
          <w:sz w:val="24"/>
          <w:szCs w:val="24"/>
          <w:u w:val="single"/>
          <w:lang w:val="en-US" w:eastAsia="zh-CN" w:bidi="ar"/>
        </w:rPr>
        <w:t xml:space="preserve">  500  </w:t>
      </w:r>
      <w:r>
        <w:rPr>
          <w:rFonts w:hint="eastAsia" w:asciiTheme="minorEastAsia" w:hAnsiTheme="minorEastAsia" w:eastAsiaTheme="minorEastAsia" w:cstheme="minorEastAsia"/>
          <w:b w:val="0"/>
          <w:bCs w:val="0"/>
          <w:color w:val="333333"/>
          <w:kern w:val="0"/>
          <w:sz w:val="24"/>
          <w:szCs w:val="24"/>
          <w:lang w:val="en-US" w:eastAsia="zh-CN" w:bidi="ar"/>
        </w:rPr>
        <w:t>元。</w:t>
      </w:r>
      <w:r>
        <w:rPr>
          <w:rFonts w:hint="eastAsia" w:asciiTheme="minorEastAsia" w:hAnsiTheme="minorEastAsia" w:eastAsiaTheme="minorEastAsia" w:cstheme="minorEastAsia"/>
          <w:b w:val="0"/>
          <w:bCs w:val="0"/>
          <w:color w:val="auto"/>
          <w:sz w:val="24"/>
          <w:szCs w:val="24"/>
          <w:lang w:eastAsia="zh-CN"/>
        </w:rPr>
        <w:t>若发现与</w:t>
      </w:r>
      <w:r>
        <w:rPr>
          <w:rFonts w:hint="eastAsia" w:asciiTheme="minorEastAsia" w:hAnsiTheme="minorEastAsia" w:eastAsiaTheme="minorEastAsia" w:cstheme="minorEastAsia"/>
          <w:b w:val="0"/>
          <w:bCs w:val="0"/>
          <w:color w:val="auto"/>
          <w:sz w:val="24"/>
          <w:szCs w:val="24"/>
        </w:rPr>
        <w:t>签订合同</w:t>
      </w:r>
      <w:r>
        <w:rPr>
          <w:rFonts w:hint="eastAsia" w:asciiTheme="minorEastAsia" w:hAnsiTheme="minorEastAsia" w:eastAsiaTheme="minorEastAsia" w:cstheme="minorEastAsia"/>
          <w:b w:val="0"/>
          <w:bCs w:val="0"/>
          <w:color w:val="auto"/>
          <w:sz w:val="24"/>
          <w:szCs w:val="24"/>
          <w:lang w:eastAsia="zh-CN"/>
        </w:rPr>
        <w:t>的产品数量有不一致的，</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应通知</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及时补足，若</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未在约定的时限内补足</w:t>
      </w:r>
      <w:r>
        <w:rPr>
          <w:rFonts w:hint="eastAsia" w:asciiTheme="minorEastAsia" w:hAnsiTheme="minorEastAsia" w:eastAsiaTheme="minorEastAsia" w:cstheme="minorEastAsia"/>
          <w:b w:val="0"/>
          <w:bCs w:val="0"/>
          <w:color w:val="auto"/>
          <w:sz w:val="24"/>
          <w:szCs w:val="24"/>
          <w:lang w:eastAsia="zh-CN"/>
        </w:rPr>
        <w:t>产品</w:t>
      </w:r>
      <w:r>
        <w:rPr>
          <w:rFonts w:hint="eastAsia" w:asciiTheme="minorEastAsia" w:hAnsiTheme="minorEastAsia" w:eastAsiaTheme="minorEastAsia" w:cstheme="minorEastAsia"/>
          <w:sz w:val="24"/>
          <w:szCs w:val="24"/>
        </w:rPr>
        <w:t>影响</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工作的，</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须支付</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违约金，违约金为</w:t>
      </w:r>
      <w:r>
        <w:rPr>
          <w:rFonts w:hint="eastAsia" w:asciiTheme="minorEastAsia" w:hAnsiTheme="minorEastAsia" w:eastAsiaTheme="minorEastAsia" w:cstheme="minorEastAsia"/>
          <w:color w:val="393939"/>
          <w:sz w:val="24"/>
          <w:szCs w:val="24"/>
          <w:shd w:val="clear" w:color="auto" w:fill="FFFFFF"/>
        </w:rPr>
        <w:t>合同金额</w:t>
      </w:r>
      <w:r>
        <w:rPr>
          <w:rFonts w:hint="eastAsia" w:asciiTheme="minorEastAsia" w:hAnsiTheme="minorEastAsia" w:eastAsiaTheme="minorEastAsia" w:cstheme="minorEastAsia"/>
          <w:color w:val="393939"/>
          <w:sz w:val="24"/>
          <w:szCs w:val="24"/>
          <w:shd w:val="clear" w:color="auto" w:fill="FFFFFF"/>
          <w:lang w:eastAsia="zh-CN"/>
        </w:rPr>
        <w:t>的</w:t>
      </w:r>
      <w:r>
        <w:rPr>
          <w:rFonts w:hint="eastAsia" w:asciiTheme="minorEastAsia" w:hAnsiTheme="minorEastAsia" w:eastAsiaTheme="minorEastAsia" w:cstheme="minorEastAsia"/>
          <w:sz w:val="24"/>
          <w:szCs w:val="24"/>
          <w:u w:val="single"/>
          <w:lang w:val="en-US" w:eastAsia="zh-CN"/>
        </w:rPr>
        <w:t xml:space="preserve">  5  </w:t>
      </w:r>
      <w:r>
        <w:rPr>
          <w:rFonts w:hint="eastAsia" w:asciiTheme="minorEastAsia" w:hAnsiTheme="minorEastAsia" w:eastAsiaTheme="minorEastAsia" w:cstheme="minorEastAsia"/>
          <w:sz w:val="24"/>
          <w:szCs w:val="24"/>
        </w:rPr>
        <w:t>%，且</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有权对不足的</w:t>
      </w:r>
      <w:r>
        <w:rPr>
          <w:rFonts w:hint="eastAsia" w:asciiTheme="minorEastAsia" w:hAnsiTheme="minorEastAsia" w:eastAsiaTheme="minorEastAsia" w:cstheme="minorEastAsia"/>
          <w:b w:val="0"/>
          <w:bCs w:val="0"/>
          <w:color w:val="auto"/>
          <w:sz w:val="24"/>
          <w:szCs w:val="24"/>
          <w:lang w:eastAsia="zh-CN"/>
        </w:rPr>
        <w:t>产品</w:t>
      </w:r>
      <w:r>
        <w:rPr>
          <w:rFonts w:hint="eastAsia" w:asciiTheme="minorEastAsia" w:hAnsiTheme="minorEastAsia" w:eastAsiaTheme="minorEastAsia" w:cstheme="minorEastAsia"/>
          <w:sz w:val="24"/>
          <w:szCs w:val="24"/>
        </w:rPr>
        <w:t>部分另行采购，另行采购所发生的费用（包括采购物资费、交通费等）全部由</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承担。</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有权从应付货款中直接扣除违约金、另行采购所支出的费用。上述违约事项发生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3</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次以上（含）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除按约定交纳违约金外，</w:t>
      </w:r>
      <w:r>
        <w:rPr>
          <w:rFonts w:hint="eastAsia" w:asciiTheme="minorEastAsia" w:hAnsiTheme="minorEastAsia" w:eastAsiaTheme="minorEastAsia" w:cstheme="minorEastAsia"/>
          <w:b/>
          <w:bCs/>
          <w:sz w:val="24"/>
          <w:szCs w:val="24"/>
          <w:lang w:eastAsia="zh-CN"/>
        </w:rPr>
        <w:t>招标人</w:t>
      </w:r>
      <w:r>
        <w:rPr>
          <w:rFonts w:hint="eastAsia" w:asciiTheme="minorEastAsia" w:hAnsiTheme="minorEastAsia" w:eastAsiaTheme="minorEastAsia" w:cstheme="minorEastAsia"/>
          <w:b/>
          <w:bCs/>
          <w:sz w:val="24"/>
          <w:szCs w:val="24"/>
        </w:rPr>
        <w:t>有权单方解除合同，不予退还</w:t>
      </w:r>
      <w:r>
        <w:rPr>
          <w:rFonts w:hint="eastAsia" w:asciiTheme="minorEastAsia" w:hAnsiTheme="minorEastAsia" w:eastAsiaTheme="minorEastAsia" w:cstheme="minorEastAsia"/>
          <w:b/>
          <w:bCs/>
          <w:color w:val="333333"/>
          <w:kern w:val="0"/>
          <w:sz w:val="24"/>
          <w:szCs w:val="24"/>
          <w:lang w:eastAsia="zh-CN" w:bidi="ar"/>
        </w:rPr>
        <w:t>中标人</w:t>
      </w:r>
      <w:r>
        <w:rPr>
          <w:rFonts w:hint="eastAsia" w:asciiTheme="minorEastAsia" w:hAnsiTheme="minorEastAsia" w:eastAsiaTheme="minorEastAsia" w:cstheme="minorEastAsia"/>
          <w:b/>
          <w:bCs/>
          <w:sz w:val="24"/>
          <w:szCs w:val="24"/>
        </w:rPr>
        <w:t>的履约保证金</w:t>
      </w:r>
      <w:r>
        <w:rPr>
          <w:rFonts w:hint="eastAsia" w:asciiTheme="minorEastAsia" w:hAnsiTheme="minorEastAsia" w:eastAsiaTheme="minorEastAsia" w:cstheme="minorEastAsia"/>
          <w:b/>
          <w:bCs/>
          <w:sz w:val="24"/>
          <w:szCs w:val="24"/>
          <w:lang w:eastAsia="zh-CN"/>
        </w:rPr>
        <w:t>，此外中标人还须向招标人支付合同金额</w:t>
      </w:r>
      <w:r>
        <w:rPr>
          <w:rFonts w:hint="eastAsia" w:asciiTheme="minorEastAsia" w:hAnsiTheme="minorEastAsia" w:eastAsiaTheme="minorEastAsia" w:cstheme="minorEastAsia"/>
          <w:b/>
          <w:bCs/>
          <w:sz w:val="24"/>
          <w:szCs w:val="24"/>
          <w:u w:val="single"/>
          <w:lang w:val="en-US" w:eastAsia="zh-CN"/>
        </w:rPr>
        <w:t xml:space="preserve">  20  </w:t>
      </w:r>
      <w:r>
        <w:rPr>
          <w:rFonts w:hint="eastAsia" w:asciiTheme="minorEastAsia" w:hAnsiTheme="minorEastAsia" w:eastAsiaTheme="minorEastAsia" w:cstheme="minorEastAsia"/>
          <w:b/>
          <w:bCs/>
          <w:sz w:val="24"/>
          <w:szCs w:val="24"/>
          <w:lang w:val="en-US" w:eastAsia="zh-CN"/>
        </w:rPr>
        <w:t>%的违约金</w:t>
      </w:r>
      <w:r>
        <w:rPr>
          <w:rFonts w:hint="eastAsia" w:asciiTheme="minorEastAsia" w:hAnsiTheme="minorEastAsia" w:eastAsiaTheme="minorEastAsia" w:cstheme="minorEastAsia"/>
          <w:b/>
          <w:bCs/>
          <w:sz w:val="24"/>
          <w:szCs w:val="24"/>
        </w:rPr>
        <w:t>。</w:t>
      </w:r>
    </w:p>
    <w:p w14:paraId="653EF8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kern w:val="0"/>
          <w:sz w:val="24"/>
          <w:szCs w:val="24"/>
          <w:lang w:val="en-US" w:eastAsia="zh-CN" w:bidi="ar"/>
        </w:rPr>
        <w:t>13.5</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提供的货物质量不符合合同</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约定的，</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应无条件予以配合免费退货换货，因退换货不及时影响</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工作的，发现一次，</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应向</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支付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5000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color="auto"/>
          <w:lang w:eastAsia="zh-CN"/>
        </w:rPr>
        <w:t>元</w:t>
      </w:r>
      <w:r>
        <w:rPr>
          <w:rFonts w:hint="eastAsia" w:asciiTheme="minorEastAsia" w:hAnsiTheme="minorEastAsia" w:eastAsiaTheme="minorEastAsia" w:cstheme="minorEastAsia"/>
          <w:sz w:val="24"/>
          <w:szCs w:val="24"/>
        </w:rPr>
        <w:t>违约金；因产品质量问题造成</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或任何第三方损害的，</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应承担一切损害赔偿、法律责任，</w:t>
      </w:r>
      <w:r>
        <w:rPr>
          <w:rFonts w:hint="eastAsia" w:asciiTheme="minorEastAsia" w:hAnsiTheme="minorEastAsia" w:eastAsiaTheme="minorEastAsia" w:cstheme="minorEastAsia"/>
          <w:b/>
          <w:bCs/>
          <w:sz w:val="24"/>
          <w:szCs w:val="24"/>
          <w:lang w:eastAsia="zh-CN"/>
        </w:rPr>
        <w:t>招标人</w:t>
      </w:r>
      <w:r>
        <w:rPr>
          <w:rFonts w:hint="eastAsia" w:asciiTheme="minorEastAsia" w:hAnsiTheme="minorEastAsia" w:eastAsiaTheme="minorEastAsia" w:cstheme="minorEastAsia"/>
          <w:b/>
          <w:bCs/>
          <w:sz w:val="24"/>
          <w:szCs w:val="24"/>
        </w:rPr>
        <w:t>有权单方解除合同，不予退还</w:t>
      </w:r>
      <w:r>
        <w:rPr>
          <w:rFonts w:hint="eastAsia" w:asciiTheme="minorEastAsia" w:hAnsiTheme="minorEastAsia" w:eastAsiaTheme="minorEastAsia" w:cstheme="minorEastAsia"/>
          <w:b/>
          <w:bCs/>
          <w:color w:val="333333"/>
          <w:kern w:val="0"/>
          <w:sz w:val="24"/>
          <w:szCs w:val="24"/>
          <w:lang w:eastAsia="zh-CN" w:bidi="ar"/>
        </w:rPr>
        <w:t>中标人</w:t>
      </w:r>
      <w:r>
        <w:rPr>
          <w:rFonts w:hint="eastAsia" w:asciiTheme="minorEastAsia" w:hAnsiTheme="minorEastAsia" w:eastAsiaTheme="minorEastAsia" w:cstheme="minorEastAsia"/>
          <w:b/>
          <w:bCs/>
          <w:sz w:val="24"/>
          <w:szCs w:val="24"/>
        </w:rPr>
        <w:t>的履约保证金</w:t>
      </w:r>
      <w:r>
        <w:rPr>
          <w:rFonts w:hint="eastAsia" w:asciiTheme="minorEastAsia" w:hAnsiTheme="minorEastAsia" w:eastAsiaTheme="minorEastAsia" w:cstheme="minorEastAsia"/>
          <w:b/>
          <w:bCs/>
          <w:sz w:val="24"/>
          <w:szCs w:val="24"/>
          <w:lang w:eastAsia="zh-CN"/>
        </w:rPr>
        <w:t>，此外中标人还须向招标人支付合同金额</w:t>
      </w:r>
      <w:r>
        <w:rPr>
          <w:rFonts w:hint="eastAsia" w:asciiTheme="minorEastAsia" w:hAnsiTheme="minorEastAsia" w:eastAsiaTheme="minorEastAsia" w:cstheme="minorEastAsia"/>
          <w:b/>
          <w:bCs/>
          <w:sz w:val="24"/>
          <w:szCs w:val="24"/>
          <w:u w:val="single"/>
          <w:lang w:val="en-US" w:eastAsia="zh-CN"/>
        </w:rPr>
        <w:t xml:space="preserve">  20  </w:t>
      </w:r>
      <w:r>
        <w:rPr>
          <w:rFonts w:hint="eastAsia" w:asciiTheme="minorEastAsia" w:hAnsiTheme="minorEastAsia" w:eastAsiaTheme="minorEastAsia" w:cstheme="minorEastAsia"/>
          <w:b/>
          <w:bCs/>
          <w:sz w:val="24"/>
          <w:szCs w:val="24"/>
          <w:lang w:val="en-US" w:eastAsia="zh-CN"/>
        </w:rPr>
        <w:t>%的违约金</w:t>
      </w:r>
      <w:r>
        <w:rPr>
          <w:rFonts w:hint="eastAsia" w:asciiTheme="minorEastAsia" w:hAnsiTheme="minorEastAsia" w:eastAsiaTheme="minorEastAsia" w:cstheme="minorEastAsia"/>
          <w:b/>
          <w:bCs/>
          <w:sz w:val="24"/>
          <w:szCs w:val="24"/>
        </w:rPr>
        <w:t>。</w:t>
      </w:r>
    </w:p>
    <w:p w14:paraId="399A14B4">
      <w:pPr>
        <w:pStyle w:val="25"/>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sz w:val="24"/>
          <w:szCs w:val="24"/>
          <w:lang w:val="en-US" w:eastAsia="zh-CN"/>
        </w:rPr>
        <w:t>13.6</w:t>
      </w:r>
      <w:r>
        <w:rPr>
          <w:rFonts w:hint="eastAsia" w:asciiTheme="minorEastAsia" w:hAnsiTheme="minorEastAsia" w:eastAsiaTheme="minorEastAsia" w:cstheme="minorEastAsia"/>
          <w:sz w:val="24"/>
          <w:szCs w:val="24"/>
          <w:lang w:eastAsia="zh-CN"/>
        </w:rPr>
        <w:t>在质量保修期内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在质保期内接到</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维修电话通知后，如果</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无法按时提供上门维修或更换服务的，</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有权请第三方进行维修，产生的费用从</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的应付</w:t>
      </w:r>
      <w:r>
        <w:rPr>
          <w:rFonts w:hint="eastAsia" w:asciiTheme="minorEastAsia" w:hAnsiTheme="minorEastAsia" w:eastAsiaTheme="minorEastAsia" w:cstheme="minorEastAsia"/>
          <w:sz w:val="24"/>
          <w:szCs w:val="24"/>
          <w:lang w:eastAsia="zh-CN"/>
        </w:rPr>
        <w:t>款项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履约保证</w:t>
      </w:r>
      <w:r>
        <w:rPr>
          <w:rFonts w:hint="eastAsia" w:asciiTheme="minorEastAsia" w:hAnsiTheme="minorEastAsia" w:eastAsiaTheme="minorEastAsia" w:cstheme="minorEastAsia"/>
          <w:sz w:val="24"/>
          <w:szCs w:val="24"/>
        </w:rPr>
        <w:t>金中扣除；</w:t>
      </w:r>
      <w:r>
        <w:rPr>
          <w:rFonts w:hint="eastAsia" w:asciiTheme="minorEastAsia" w:hAnsiTheme="minorEastAsia" w:eastAsiaTheme="minorEastAsia" w:cstheme="minorEastAsia"/>
          <w:b/>
          <w:bCs/>
          <w:sz w:val="24"/>
          <w:szCs w:val="24"/>
        </w:rPr>
        <w:t>同时</w:t>
      </w:r>
      <w:r>
        <w:rPr>
          <w:rFonts w:hint="eastAsia" w:asciiTheme="minorEastAsia" w:hAnsiTheme="minorEastAsia" w:eastAsiaTheme="minorEastAsia" w:cstheme="minorEastAsia"/>
          <w:b/>
          <w:bCs/>
          <w:color w:val="333333"/>
          <w:kern w:val="0"/>
          <w:sz w:val="24"/>
          <w:szCs w:val="24"/>
          <w:lang w:eastAsia="zh-CN" w:bidi="ar"/>
        </w:rPr>
        <w:t>中标人</w:t>
      </w:r>
      <w:r>
        <w:rPr>
          <w:rFonts w:hint="eastAsia" w:asciiTheme="minorEastAsia" w:hAnsiTheme="minorEastAsia" w:eastAsiaTheme="minorEastAsia" w:cstheme="minorEastAsia"/>
          <w:b/>
          <w:bCs/>
          <w:sz w:val="24"/>
          <w:szCs w:val="24"/>
        </w:rPr>
        <w:t>应向</w:t>
      </w:r>
      <w:r>
        <w:rPr>
          <w:rFonts w:hint="eastAsia" w:asciiTheme="minorEastAsia" w:hAnsiTheme="minorEastAsia" w:eastAsiaTheme="minorEastAsia" w:cstheme="minorEastAsia"/>
          <w:b/>
          <w:bCs/>
          <w:sz w:val="24"/>
          <w:szCs w:val="24"/>
          <w:lang w:eastAsia="zh-CN"/>
        </w:rPr>
        <w:t>招标人</w:t>
      </w:r>
      <w:r>
        <w:rPr>
          <w:rFonts w:hint="eastAsia" w:asciiTheme="minorEastAsia" w:hAnsiTheme="minorEastAsia" w:eastAsiaTheme="minorEastAsia" w:cstheme="minorEastAsia"/>
          <w:b/>
          <w:bCs/>
          <w:sz w:val="24"/>
          <w:szCs w:val="24"/>
        </w:rPr>
        <w:t>支付逾期违约金，违约金为逾期每日</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u w:val="single"/>
          <w:lang w:val="en-US" w:eastAsia="zh-CN"/>
        </w:rPr>
        <w:t>1000</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rPr>
        <w:t>元。因</w:t>
      </w:r>
      <w:r>
        <w:rPr>
          <w:rFonts w:hint="eastAsia" w:asciiTheme="minorEastAsia" w:hAnsiTheme="minorEastAsia" w:eastAsiaTheme="minorEastAsia" w:cstheme="minorEastAsia"/>
          <w:b/>
          <w:bCs/>
          <w:color w:val="333333"/>
          <w:kern w:val="0"/>
          <w:sz w:val="24"/>
          <w:szCs w:val="24"/>
          <w:lang w:eastAsia="zh-CN" w:bidi="ar"/>
        </w:rPr>
        <w:t>中标人</w:t>
      </w:r>
      <w:r>
        <w:rPr>
          <w:rFonts w:hint="eastAsia" w:asciiTheme="minorEastAsia" w:hAnsiTheme="minorEastAsia" w:eastAsiaTheme="minorEastAsia" w:cstheme="minorEastAsia"/>
          <w:b/>
          <w:bCs/>
          <w:sz w:val="24"/>
          <w:szCs w:val="24"/>
        </w:rPr>
        <w:t>产品质量问题导致</w:t>
      </w:r>
      <w:r>
        <w:rPr>
          <w:rFonts w:hint="eastAsia" w:asciiTheme="minorEastAsia" w:hAnsiTheme="minorEastAsia" w:eastAsiaTheme="minorEastAsia" w:cstheme="minorEastAsia"/>
          <w:b/>
          <w:bCs/>
          <w:sz w:val="24"/>
          <w:szCs w:val="24"/>
          <w:lang w:eastAsia="zh-CN"/>
        </w:rPr>
        <w:t>招标人</w:t>
      </w:r>
      <w:r>
        <w:rPr>
          <w:rFonts w:hint="eastAsia" w:asciiTheme="minorEastAsia" w:hAnsiTheme="minorEastAsia" w:eastAsiaTheme="minorEastAsia" w:cstheme="minorEastAsia"/>
          <w:b/>
          <w:bCs/>
          <w:sz w:val="24"/>
          <w:szCs w:val="24"/>
        </w:rPr>
        <w:t>人身或财产损失的，</w:t>
      </w:r>
      <w:r>
        <w:rPr>
          <w:rFonts w:hint="eastAsia" w:asciiTheme="minorEastAsia" w:hAnsiTheme="minorEastAsia" w:eastAsiaTheme="minorEastAsia" w:cstheme="minorEastAsia"/>
          <w:b/>
          <w:bCs/>
          <w:color w:val="333333"/>
          <w:kern w:val="0"/>
          <w:sz w:val="24"/>
          <w:szCs w:val="24"/>
          <w:lang w:eastAsia="zh-CN" w:bidi="ar"/>
        </w:rPr>
        <w:t>中标人</w:t>
      </w:r>
      <w:r>
        <w:rPr>
          <w:rFonts w:hint="eastAsia" w:asciiTheme="minorEastAsia" w:hAnsiTheme="minorEastAsia" w:eastAsiaTheme="minorEastAsia" w:cstheme="minorEastAsia"/>
          <w:b/>
          <w:bCs/>
          <w:sz w:val="24"/>
          <w:szCs w:val="24"/>
        </w:rPr>
        <w:t>应予以赔偿。</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color w:val="auto"/>
          <w:sz w:val="24"/>
          <w:szCs w:val="24"/>
          <w:lang w:val="en-US" w:eastAsia="zh-CN"/>
        </w:rPr>
        <w:t>13.7人员</w:t>
      </w:r>
      <w:r>
        <w:rPr>
          <w:rFonts w:hint="eastAsia" w:asciiTheme="minorEastAsia" w:hAnsiTheme="minorEastAsia" w:eastAsiaTheme="minorEastAsia" w:cstheme="minorEastAsia"/>
          <w:b/>
          <w:bCs/>
          <w:color w:val="auto"/>
          <w:kern w:val="0"/>
          <w:sz w:val="24"/>
          <w:szCs w:val="24"/>
          <w:lang w:val="en-US" w:eastAsia="zh-CN" w:bidi="ar"/>
        </w:rPr>
        <w:t>违约责任</w:t>
      </w:r>
      <w:r>
        <w:rPr>
          <w:rFonts w:hint="eastAsia" w:asciiTheme="minorEastAsia" w:hAnsiTheme="minorEastAsia" w:eastAsiaTheme="minorEastAsia" w:cstheme="minorEastAsia"/>
          <w:b/>
          <w:color w:val="auto"/>
          <w:sz w:val="24"/>
          <w:szCs w:val="24"/>
          <w:lang w:val="en-US" w:eastAsia="zh-CN"/>
        </w:rPr>
        <w:br w:type="textWrapping"/>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中标人提供的运维人员与其投标文件中响应的人员不一致时或</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b w:val="0"/>
          <w:bCs/>
          <w:color w:val="auto"/>
          <w:sz w:val="24"/>
          <w:szCs w:val="24"/>
          <w:lang w:val="en-US" w:eastAsia="zh-CN"/>
        </w:rPr>
        <w:t>未经招标人同意擅自更换运维人员的，每</w:t>
      </w:r>
      <w:r>
        <w:rPr>
          <w:rFonts w:hint="eastAsia" w:asciiTheme="minorEastAsia" w:hAnsiTheme="minorEastAsia" w:eastAsiaTheme="minorEastAsia" w:cstheme="minorEastAsia"/>
          <w:color w:val="auto"/>
          <w:sz w:val="24"/>
          <w:szCs w:val="24"/>
        </w:rPr>
        <w:t>发现一次，</w:t>
      </w:r>
      <w:r>
        <w:rPr>
          <w:rFonts w:hint="eastAsia" w:asciiTheme="minorEastAsia" w:hAnsiTheme="minorEastAsia" w:eastAsiaTheme="minorEastAsia" w:cstheme="minorEastAsia"/>
          <w:color w:val="auto"/>
          <w:kern w:val="0"/>
          <w:sz w:val="24"/>
          <w:szCs w:val="24"/>
          <w:lang w:eastAsia="zh-CN" w:bidi="ar"/>
        </w:rPr>
        <w:t>中标人</w:t>
      </w:r>
      <w:r>
        <w:rPr>
          <w:rFonts w:hint="eastAsia" w:asciiTheme="minorEastAsia" w:hAnsiTheme="minorEastAsia" w:eastAsiaTheme="minorEastAsia" w:cstheme="minorEastAsia"/>
          <w:color w:val="auto"/>
          <w:sz w:val="24"/>
          <w:szCs w:val="24"/>
        </w:rPr>
        <w:t>应向</w:t>
      </w:r>
      <w:r>
        <w:rPr>
          <w:rFonts w:hint="eastAsia" w:asciiTheme="minorEastAsia" w:hAnsiTheme="minorEastAsia" w:eastAsiaTheme="minorEastAsia" w:cstheme="minorEastAsia"/>
          <w:color w:val="auto"/>
          <w:sz w:val="24"/>
          <w:szCs w:val="24"/>
          <w:lang w:eastAsia="zh-CN"/>
        </w:rPr>
        <w:t>招标人</w:t>
      </w:r>
      <w:r>
        <w:rPr>
          <w:rFonts w:hint="eastAsia" w:asciiTheme="minorEastAsia" w:hAnsiTheme="minorEastAsia" w:eastAsiaTheme="minorEastAsia" w:cstheme="minorEastAsia"/>
          <w:color w:val="auto"/>
          <w:sz w:val="24"/>
          <w:szCs w:val="24"/>
        </w:rPr>
        <w:t>支</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5000</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元的违约金且应按</w:t>
      </w:r>
      <w:r>
        <w:rPr>
          <w:rFonts w:hint="eastAsia" w:asciiTheme="minorEastAsia" w:hAnsiTheme="minorEastAsia" w:eastAsiaTheme="minorEastAsia" w:cstheme="minorEastAsia"/>
          <w:color w:val="auto"/>
          <w:sz w:val="24"/>
          <w:szCs w:val="24"/>
          <w:lang w:eastAsia="zh-CN"/>
        </w:rPr>
        <w:t>合同、招标文件及其投标文件的规定</w:t>
      </w:r>
      <w:r>
        <w:rPr>
          <w:rFonts w:hint="eastAsia" w:asciiTheme="minorEastAsia" w:hAnsiTheme="minorEastAsia" w:eastAsiaTheme="minorEastAsia" w:cstheme="minorEastAsia"/>
          <w:color w:val="auto"/>
          <w:sz w:val="24"/>
          <w:szCs w:val="24"/>
        </w:rPr>
        <w:t>承担继续履行等责任。上述违约事项发生3次以上（含），</w:t>
      </w:r>
      <w:r>
        <w:rPr>
          <w:rFonts w:hint="eastAsia" w:asciiTheme="minorEastAsia" w:hAnsiTheme="minorEastAsia" w:eastAsiaTheme="minorEastAsia" w:cstheme="minorEastAsia"/>
          <w:color w:val="auto"/>
          <w:kern w:val="0"/>
          <w:sz w:val="24"/>
          <w:szCs w:val="24"/>
          <w:lang w:eastAsia="zh-CN" w:bidi="ar"/>
        </w:rPr>
        <w:t>中标人</w:t>
      </w:r>
      <w:r>
        <w:rPr>
          <w:rFonts w:hint="eastAsia" w:asciiTheme="minorEastAsia" w:hAnsiTheme="minorEastAsia" w:eastAsiaTheme="minorEastAsia" w:cstheme="minorEastAsia"/>
          <w:color w:val="auto"/>
          <w:sz w:val="24"/>
          <w:szCs w:val="24"/>
        </w:rPr>
        <w:t>除按约定交纳违约金外，</w:t>
      </w:r>
      <w:r>
        <w:rPr>
          <w:rFonts w:hint="eastAsia" w:asciiTheme="minorEastAsia" w:hAnsiTheme="minorEastAsia" w:eastAsiaTheme="minorEastAsia" w:cstheme="minorEastAsia"/>
          <w:color w:val="auto"/>
          <w:sz w:val="24"/>
          <w:szCs w:val="24"/>
          <w:lang w:eastAsia="zh-CN"/>
        </w:rPr>
        <w:t>招标人</w:t>
      </w:r>
      <w:r>
        <w:rPr>
          <w:rFonts w:hint="eastAsia" w:asciiTheme="minorEastAsia" w:hAnsiTheme="minorEastAsia" w:eastAsiaTheme="minorEastAsia" w:cstheme="minorEastAsia"/>
          <w:color w:val="auto"/>
          <w:sz w:val="24"/>
          <w:szCs w:val="24"/>
        </w:rPr>
        <w:t>有权单方解除合同，不予退还</w:t>
      </w:r>
      <w:r>
        <w:rPr>
          <w:rFonts w:hint="eastAsia" w:asciiTheme="minorEastAsia" w:hAnsiTheme="minorEastAsia" w:eastAsiaTheme="minorEastAsia" w:cstheme="minorEastAsia"/>
          <w:color w:val="auto"/>
          <w:kern w:val="0"/>
          <w:sz w:val="24"/>
          <w:szCs w:val="24"/>
          <w:lang w:eastAsia="zh-CN" w:bidi="ar"/>
        </w:rPr>
        <w:t>中标人</w:t>
      </w:r>
      <w:r>
        <w:rPr>
          <w:rFonts w:hint="eastAsia" w:asciiTheme="minorEastAsia" w:hAnsiTheme="minorEastAsia" w:eastAsiaTheme="minorEastAsia" w:cstheme="minorEastAsia"/>
          <w:color w:val="auto"/>
          <w:sz w:val="24"/>
          <w:szCs w:val="24"/>
        </w:rPr>
        <w:t>方的履约保证金</w:t>
      </w:r>
      <w:r>
        <w:rPr>
          <w:rFonts w:hint="eastAsia" w:asciiTheme="minorEastAsia" w:hAnsiTheme="minorEastAsia" w:eastAsiaTheme="minorEastAsia" w:cstheme="minorEastAsia"/>
          <w:color w:val="auto"/>
          <w:sz w:val="24"/>
          <w:szCs w:val="24"/>
          <w:lang w:eastAsia="zh-CN"/>
        </w:rPr>
        <w:t>，此外中标人还须向招标人支付合同金额</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u w:val="single"/>
          <w:lang w:val="en-US" w:eastAsia="zh-CN"/>
        </w:rPr>
        <w:t xml:space="preserve">20  </w:t>
      </w:r>
      <w:r>
        <w:rPr>
          <w:rFonts w:hint="eastAsia" w:asciiTheme="minorEastAsia" w:hAnsiTheme="minorEastAsia" w:eastAsiaTheme="minorEastAsia" w:cstheme="minorEastAsia"/>
          <w:color w:val="auto"/>
          <w:sz w:val="24"/>
          <w:szCs w:val="24"/>
          <w:lang w:val="en-US" w:eastAsia="zh-CN"/>
        </w:rPr>
        <w:t>%的违约金</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经招标人同意后更换的运维人员在服务过程中，无法保质保量的完成服务工作的，招标人要求中标人在规定时间内更换的，中标人必须无条件更换同条件的人员，否则每延迟一天，</w:t>
      </w:r>
      <w:r>
        <w:rPr>
          <w:rFonts w:hint="eastAsia" w:asciiTheme="minorEastAsia" w:hAnsiTheme="minorEastAsia" w:eastAsiaTheme="minorEastAsia" w:cstheme="minorEastAsia"/>
          <w:color w:val="auto"/>
          <w:kern w:val="0"/>
          <w:sz w:val="24"/>
          <w:szCs w:val="24"/>
          <w:lang w:eastAsia="zh-CN" w:bidi="ar"/>
        </w:rPr>
        <w:t>中标人</w:t>
      </w:r>
      <w:r>
        <w:rPr>
          <w:rFonts w:hint="eastAsia" w:asciiTheme="minorEastAsia" w:hAnsiTheme="minorEastAsia" w:eastAsiaTheme="minorEastAsia" w:cstheme="minorEastAsia"/>
          <w:color w:val="auto"/>
          <w:sz w:val="24"/>
          <w:szCs w:val="24"/>
        </w:rPr>
        <w:t>应向</w:t>
      </w:r>
      <w:r>
        <w:rPr>
          <w:rFonts w:hint="eastAsia" w:asciiTheme="minorEastAsia" w:hAnsiTheme="minorEastAsia" w:eastAsiaTheme="minorEastAsia" w:cstheme="minorEastAsia"/>
          <w:color w:val="auto"/>
          <w:sz w:val="24"/>
          <w:szCs w:val="24"/>
          <w:lang w:eastAsia="zh-CN"/>
        </w:rPr>
        <w:t>招标人支付</w:t>
      </w:r>
      <w:r>
        <w:rPr>
          <w:rFonts w:hint="eastAsia" w:asciiTheme="minorEastAsia" w:hAnsiTheme="minorEastAsia" w:eastAsiaTheme="minorEastAsia" w:cstheme="minorEastAsia"/>
          <w:color w:val="auto"/>
          <w:sz w:val="24"/>
          <w:szCs w:val="24"/>
          <w:u w:val="single"/>
          <w:lang w:val="en-US" w:eastAsia="zh-CN"/>
        </w:rPr>
        <w:t xml:space="preserve">  1000</w:t>
      </w:r>
      <w:r>
        <w:rPr>
          <w:rFonts w:hint="eastAsia" w:asciiTheme="minorEastAsia" w:hAnsiTheme="minorEastAsia" w:eastAsiaTheme="minorEastAsia" w:cstheme="minorEastAsia"/>
          <w:color w:val="auto"/>
          <w:sz w:val="24"/>
          <w:szCs w:val="24"/>
          <w:u w:val="single"/>
        </w:rPr>
        <w:t>元</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至</w:t>
      </w:r>
      <w:r>
        <w:rPr>
          <w:rFonts w:hint="eastAsia" w:asciiTheme="minorEastAsia" w:hAnsiTheme="minorEastAsia" w:eastAsiaTheme="minorEastAsia" w:cstheme="minorEastAsia"/>
          <w:color w:val="auto"/>
          <w:sz w:val="24"/>
          <w:szCs w:val="24"/>
          <w:u w:val="single"/>
          <w:lang w:val="en-US" w:eastAsia="zh-CN"/>
        </w:rPr>
        <w:t xml:space="preserve"> 10000</w:t>
      </w:r>
      <w:r>
        <w:rPr>
          <w:rFonts w:hint="eastAsia" w:asciiTheme="minorEastAsia" w:hAnsiTheme="minorEastAsia" w:eastAsiaTheme="minorEastAsia" w:cstheme="minorEastAsia"/>
          <w:color w:val="auto"/>
          <w:sz w:val="24"/>
          <w:szCs w:val="24"/>
          <w:u w:val="single"/>
        </w:rPr>
        <w:t>元</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的违约金</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金额由招标人视情节、后果等情况综合认定</w:t>
      </w:r>
      <w:r>
        <w:rPr>
          <w:rFonts w:hint="eastAsia" w:asciiTheme="minorEastAsia" w:hAnsiTheme="minorEastAsia" w:eastAsiaTheme="minorEastAsia" w:cstheme="minorEastAsia"/>
          <w:color w:val="auto"/>
          <w:kern w:val="0"/>
          <w:sz w:val="24"/>
          <w:szCs w:val="24"/>
          <w:lang w:eastAsia="zh-CN" w:bidi="ar"/>
        </w:rPr>
        <w:t>），超出规定期限</w:t>
      </w:r>
      <w:r>
        <w:rPr>
          <w:rFonts w:hint="eastAsia" w:asciiTheme="minorEastAsia" w:hAnsiTheme="minorEastAsia" w:eastAsiaTheme="minorEastAsia" w:cstheme="minorEastAsia"/>
          <w:color w:val="auto"/>
          <w:kern w:val="0"/>
          <w:sz w:val="24"/>
          <w:szCs w:val="24"/>
          <w:lang w:val="en-US" w:eastAsia="zh-CN" w:bidi="ar"/>
        </w:rPr>
        <w:t>10个日历日的，</w:t>
      </w:r>
      <w:r>
        <w:rPr>
          <w:rFonts w:hint="eastAsia" w:asciiTheme="minorEastAsia" w:hAnsiTheme="minorEastAsia" w:eastAsiaTheme="minorEastAsia" w:cstheme="minorEastAsia"/>
          <w:color w:val="auto"/>
          <w:sz w:val="24"/>
          <w:szCs w:val="24"/>
          <w:lang w:val="zh-TW" w:bidi="ar"/>
        </w:rPr>
        <w:t>招标人有权解除合同且不退还履约保证金</w:t>
      </w:r>
      <w:r>
        <w:rPr>
          <w:rFonts w:hint="eastAsia" w:asciiTheme="minorEastAsia" w:hAnsiTheme="minorEastAsia" w:eastAsiaTheme="minorEastAsia" w:cstheme="minorEastAsia"/>
          <w:color w:val="auto"/>
          <w:sz w:val="24"/>
          <w:szCs w:val="24"/>
          <w:lang w:eastAsia="zh-CN"/>
        </w:rPr>
        <w:t>，此外中标人还须向招标人支付合同金额</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u w:val="single"/>
          <w:lang w:val="en-US" w:eastAsia="zh-CN"/>
        </w:rPr>
        <w:t xml:space="preserve">20  </w:t>
      </w:r>
      <w:r>
        <w:rPr>
          <w:rFonts w:hint="eastAsia" w:asciiTheme="minorEastAsia" w:hAnsiTheme="minorEastAsia" w:eastAsiaTheme="minorEastAsia" w:cstheme="minorEastAsia"/>
          <w:color w:val="auto"/>
          <w:sz w:val="24"/>
          <w:szCs w:val="24"/>
          <w:lang w:val="en-US" w:eastAsia="zh-CN"/>
        </w:rPr>
        <w:t>%的违约金</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kern w:val="0"/>
          <w:sz w:val="24"/>
          <w:szCs w:val="24"/>
          <w:lang w:val="en-US" w:eastAsia="zh-CN" w:bidi="ar"/>
        </w:rPr>
        <w:t>13.8</w:t>
      </w:r>
      <w:r>
        <w:rPr>
          <w:rFonts w:hint="eastAsia" w:asciiTheme="minorEastAsia" w:hAnsiTheme="minorEastAsia" w:eastAsiaTheme="minorEastAsia" w:cstheme="minorEastAsia"/>
          <w:color w:val="auto"/>
          <w:sz w:val="24"/>
          <w:szCs w:val="24"/>
        </w:rPr>
        <w:t>除上述具体违约责任外，</w:t>
      </w:r>
      <w:r>
        <w:rPr>
          <w:rFonts w:hint="eastAsia" w:asciiTheme="minorEastAsia" w:hAnsiTheme="minorEastAsia" w:eastAsiaTheme="minorEastAsia" w:cstheme="minorEastAsia"/>
          <w:color w:val="auto"/>
          <w:sz w:val="24"/>
          <w:szCs w:val="24"/>
          <w:lang w:eastAsia="zh-CN"/>
        </w:rPr>
        <w:t>中标</w:t>
      </w:r>
      <w:r>
        <w:rPr>
          <w:rFonts w:hint="eastAsia" w:asciiTheme="minorEastAsia" w:hAnsiTheme="minorEastAsia" w:eastAsiaTheme="minorEastAsia" w:cstheme="minorEastAsia"/>
          <w:color w:val="auto"/>
          <w:sz w:val="24"/>
          <w:szCs w:val="24"/>
        </w:rPr>
        <w:t>人存在其他不满足招标文件、投标文件或合同约定情形的，每发现一次支付违约金</w:t>
      </w:r>
      <w:r>
        <w:rPr>
          <w:rFonts w:hint="eastAsia" w:asciiTheme="minorEastAsia" w:hAnsiTheme="minorEastAsia" w:eastAsiaTheme="minorEastAsia" w:cstheme="minorEastAsia"/>
          <w:color w:val="auto"/>
          <w:sz w:val="24"/>
          <w:szCs w:val="24"/>
          <w:lang w:val="en-US" w:eastAsia="zh-CN"/>
        </w:rPr>
        <w:t>500</w:t>
      </w:r>
      <w:r>
        <w:rPr>
          <w:rFonts w:hint="eastAsia" w:asciiTheme="minorEastAsia" w:hAnsiTheme="minorEastAsia" w:eastAsiaTheme="minorEastAsia" w:cstheme="minorEastAsia"/>
          <w:color w:val="auto"/>
          <w:sz w:val="24"/>
          <w:szCs w:val="24"/>
        </w:rPr>
        <w:t>元，由此造成的损失由</w:t>
      </w:r>
      <w:r>
        <w:rPr>
          <w:rFonts w:hint="eastAsia" w:asciiTheme="minorEastAsia" w:hAnsiTheme="minorEastAsia" w:eastAsiaTheme="minorEastAsia" w:cstheme="minorEastAsia"/>
          <w:color w:val="auto"/>
          <w:sz w:val="24"/>
          <w:szCs w:val="24"/>
          <w:lang w:eastAsia="zh-CN"/>
        </w:rPr>
        <w:t>中标</w:t>
      </w:r>
      <w:r>
        <w:rPr>
          <w:rFonts w:hint="eastAsia" w:asciiTheme="minorEastAsia" w:hAnsiTheme="minorEastAsia" w:eastAsiaTheme="minorEastAsia" w:cstheme="minorEastAsia"/>
          <w:color w:val="auto"/>
          <w:sz w:val="24"/>
          <w:szCs w:val="24"/>
        </w:rPr>
        <w:t>人承担责任。</w:t>
      </w:r>
    </w:p>
    <w:p w14:paraId="3285B6DF">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Theme="minorEastAsia" w:hAnsiTheme="minorEastAsia" w:eastAsiaTheme="minorEastAsia" w:cstheme="minorEastAsia"/>
          <w:color w:val="auto"/>
          <w:sz w:val="24"/>
          <w:szCs w:val="24"/>
          <w:shd w:val="clear" w:color="auto" w:fill="FFFFFF"/>
          <w:lang w:val="en-US"/>
        </w:rPr>
      </w:pPr>
      <w:r>
        <w:rPr>
          <w:rFonts w:hint="eastAsia" w:asciiTheme="minorEastAsia" w:hAnsiTheme="minorEastAsia" w:eastAsiaTheme="minorEastAsia" w:cstheme="minorEastAsia"/>
          <w:color w:val="auto"/>
          <w:sz w:val="24"/>
          <w:szCs w:val="24"/>
          <w:lang w:val="en-US" w:eastAsia="zh-CN"/>
        </w:rPr>
        <w:t xml:space="preserve">    13.9在明确违约责任后，</w:t>
      </w:r>
      <w:r>
        <w:rPr>
          <w:rFonts w:hint="eastAsia" w:asciiTheme="minorEastAsia" w:hAnsiTheme="minorEastAsia" w:eastAsiaTheme="minorEastAsia" w:cstheme="minorEastAsia"/>
          <w:color w:val="auto"/>
          <w:sz w:val="24"/>
          <w:szCs w:val="24"/>
          <w:shd w:val="clear" w:color="auto" w:fill="FFFFFF"/>
        </w:rPr>
        <w:t>招标人</w:t>
      </w:r>
      <w:r>
        <w:rPr>
          <w:rFonts w:hint="eastAsia" w:asciiTheme="minorEastAsia" w:hAnsiTheme="minorEastAsia" w:eastAsiaTheme="minorEastAsia" w:cstheme="minorEastAsia"/>
          <w:color w:val="auto"/>
          <w:sz w:val="24"/>
          <w:szCs w:val="24"/>
          <w:shd w:val="clear" w:color="auto" w:fill="FFFFFF"/>
          <w:lang w:eastAsia="zh-CN"/>
        </w:rPr>
        <w:t>可</w:t>
      </w:r>
      <w:r>
        <w:rPr>
          <w:rFonts w:hint="eastAsia" w:asciiTheme="minorEastAsia" w:hAnsiTheme="minorEastAsia" w:eastAsiaTheme="minorEastAsia" w:cstheme="minorEastAsia"/>
          <w:color w:val="auto"/>
          <w:sz w:val="24"/>
          <w:szCs w:val="24"/>
          <w:shd w:val="clear" w:color="auto" w:fill="FFFFFF"/>
        </w:rPr>
        <w:t>直接从应支付</w:t>
      </w:r>
      <w:r>
        <w:rPr>
          <w:rFonts w:hint="eastAsia" w:asciiTheme="minorEastAsia" w:hAnsiTheme="minorEastAsia" w:eastAsiaTheme="minorEastAsia" w:cstheme="minorEastAsia"/>
          <w:color w:val="auto"/>
          <w:sz w:val="24"/>
          <w:szCs w:val="24"/>
          <w:shd w:val="clear" w:color="auto" w:fill="FFFFFF"/>
          <w:lang w:eastAsia="zh-CN"/>
        </w:rPr>
        <w:t>的合同款或中标人的履约保证金</w:t>
      </w:r>
      <w:r>
        <w:rPr>
          <w:rFonts w:hint="eastAsia" w:asciiTheme="minorEastAsia" w:hAnsiTheme="minorEastAsia" w:eastAsiaTheme="minorEastAsia" w:cstheme="minorEastAsia"/>
          <w:color w:val="auto"/>
          <w:sz w:val="24"/>
          <w:szCs w:val="24"/>
          <w:shd w:val="clear" w:color="auto" w:fill="FFFFFF"/>
        </w:rPr>
        <w:t>中扣除违约金，不足部分，中标人应自收到招标人通知之日起</w:t>
      </w:r>
      <w:r>
        <w:rPr>
          <w:rFonts w:hint="eastAsia" w:asciiTheme="minorEastAsia" w:hAnsiTheme="minorEastAsia" w:eastAsiaTheme="minorEastAsia" w:cstheme="minorEastAsia"/>
          <w:color w:val="auto"/>
          <w:sz w:val="24"/>
          <w:szCs w:val="24"/>
          <w:shd w:val="clear" w:color="auto" w:fill="FFFFFF"/>
          <w:lang w:val="en-US" w:eastAsia="zh-CN"/>
        </w:rPr>
        <w:t>5</w:t>
      </w:r>
      <w:r>
        <w:rPr>
          <w:rFonts w:hint="eastAsia" w:asciiTheme="minorEastAsia" w:hAnsiTheme="minorEastAsia" w:eastAsiaTheme="minorEastAsia" w:cstheme="minorEastAsia"/>
          <w:color w:val="auto"/>
          <w:sz w:val="24"/>
          <w:szCs w:val="24"/>
          <w:shd w:val="clear" w:color="auto" w:fill="FFFFFF"/>
        </w:rPr>
        <w:t>日内缴纳</w:t>
      </w:r>
      <w:r>
        <w:rPr>
          <w:rFonts w:hint="eastAsia" w:asciiTheme="minorEastAsia" w:hAnsiTheme="minorEastAsia" w:eastAsiaTheme="minorEastAsia" w:cstheme="minorEastAsia"/>
          <w:color w:val="auto"/>
          <w:sz w:val="24"/>
          <w:szCs w:val="24"/>
          <w:shd w:val="clear" w:color="auto" w:fill="FFFFFF"/>
          <w:lang w:eastAsia="zh-CN"/>
        </w:rPr>
        <w:t>，此外合同期间内履约保证金不足合同款</w:t>
      </w:r>
      <w:r>
        <w:rPr>
          <w:rFonts w:hint="eastAsia" w:asciiTheme="minorEastAsia" w:hAnsiTheme="minorEastAsia" w:eastAsiaTheme="minorEastAsia" w:cstheme="minorEastAsia"/>
          <w:color w:val="auto"/>
          <w:sz w:val="24"/>
          <w:szCs w:val="24"/>
          <w:shd w:val="clear" w:color="auto" w:fill="FFFFFF"/>
          <w:lang w:val="en-US" w:eastAsia="zh-CN"/>
        </w:rPr>
        <w:t>5%的，中标人应当立即补足，未能及时补足的每推迟一天将承担1000元的违约金，此外合同到期后，若还有应当缴纳但未缴纳的违约金，招标人将不予退还履约保证金及上报相关管理部门，列入不诚信黑名单。</w:t>
      </w:r>
      <w:r>
        <w:rPr>
          <w:rFonts w:hint="eastAsia" w:asciiTheme="minorEastAsia" w:hAnsiTheme="minorEastAsia" w:eastAsiaTheme="minorEastAsia" w:cstheme="minorEastAsia"/>
          <w:color w:val="auto"/>
          <w:sz w:val="24"/>
          <w:szCs w:val="24"/>
          <w:shd w:val="clear" w:color="auto" w:fill="FFFFFF"/>
          <w:lang w:val="en-US" w:eastAsia="zh-CN"/>
        </w:rPr>
        <w:br w:type="textWrapping"/>
      </w:r>
      <w:r>
        <w:rPr>
          <w:rFonts w:hint="eastAsia" w:asciiTheme="minorEastAsia" w:hAnsiTheme="minorEastAsia" w:eastAsiaTheme="minorEastAsia" w:cstheme="minorEastAsia"/>
          <w:color w:val="auto"/>
          <w:sz w:val="24"/>
          <w:szCs w:val="24"/>
          <w:shd w:val="clear" w:color="auto" w:fill="FFFFFF"/>
          <w:lang w:val="en-US" w:eastAsia="zh-CN"/>
        </w:rPr>
        <w:t xml:space="preserve">   13.10</w:t>
      </w:r>
      <w:r>
        <w:rPr>
          <w:rFonts w:hint="eastAsia" w:asciiTheme="minorEastAsia" w:hAnsiTheme="minorEastAsia" w:eastAsiaTheme="minorEastAsia" w:cstheme="minorEastAsia"/>
          <w:color w:val="333333"/>
          <w:kern w:val="0"/>
          <w:sz w:val="24"/>
          <w:szCs w:val="24"/>
          <w:lang w:bidi="ar"/>
        </w:rPr>
        <w:t>上述违约责任内容与本招标要求中其他约定有冲突的，违约责任按就高不就低原则处理。</w:t>
      </w:r>
    </w:p>
    <w:p w14:paraId="04076F69">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33333"/>
          <w:kern w:val="0"/>
          <w:sz w:val="24"/>
          <w:szCs w:val="24"/>
          <w:lang w:bidi="ar"/>
        </w:rPr>
      </w:pPr>
      <w:r>
        <w:rPr>
          <w:rFonts w:hint="eastAsia" w:asciiTheme="minorEastAsia" w:hAnsiTheme="minorEastAsia" w:eastAsiaTheme="minorEastAsia" w:cstheme="minorEastAsia"/>
          <w:b/>
          <w:bCs/>
          <w:color w:val="333333"/>
          <w:kern w:val="0"/>
          <w:sz w:val="24"/>
          <w:szCs w:val="24"/>
          <w:lang w:val="en-US" w:eastAsia="zh-CN" w:bidi="ar"/>
        </w:rPr>
        <w:t>14.</w:t>
      </w:r>
      <w:r>
        <w:rPr>
          <w:rFonts w:hint="eastAsia" w:asciiTheme="minorEastAsia" w:hAnsiTheme="minorEastAsia" w:eastAsiaTheme="minorEastAsia" w:cstheme="minorEastAsia"/>
          <w:b/>
          <w:bCs/>
          <w:color w:val="333333"/>
          <w:kern w:val="0"/>
          <w:sz w:val="24"/>
          <w:szCs w:val="24"/>
          <w:lang w:val="zh-TW" w:bidi="ar"/>
        </w:rPr>
        <w:t>廉政条款：</w:t>
      </w:r>
    </w:p>
    <w:p w14:paraId="049942EC">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33333"/>
          <w:sz w:val="24"/>
          <w:szCs w:val="24"/>
          <w:lang w:val="zh-TW" w:bidi="ar"/>
        </w:rPr>
      </w:pPr>
      <w:r>
        <w:rPr>
          <w:rFonts w:hint="eastAsia" w:asciiTheme="minorEastAsia" w:hAnsiTheme="minorEastAsia" w:eastAsiaTheme="minorEastAsia" w:cstheme="minorEastAsia"/>
          <w:color w:val="333333"/>
          <w:sz w:val="24"/>
          <w:szCs w:val="24"/>
          <w:lang w:val="en-US" w:eastAsia="zh-CN" w:bidi="ar"/>
        </w:rPr>
        <w:t>14.1</w:t>
      </w:r>
      <w:r>
        <w:rPr>
          <w:rFonts w:hint="eastAsia" w:asciiTheme="minorEastAsia" w:hAnsiTheme="minorEastAsia" w:eastAsiaTheme="minorEastAsia" w:cstheme="minorEastAsia"/>
          <w:color w:val="333333"/>
          <w:sz w:val="24"/>
          <w:szCs w:val="24"/>
          <w:lang w:val="zh-TW" w:bidi="ar"/>
        </w:rPr>
        <w:t>投标人及其工作人员不得有以任何形式行贿招标人工作人员的行为，若发现并被核查属实的，招标人有权解除合同且不退还履约保证金，情节严重的，投标人及其工作人员还要承担相应的法律责任；招标人及其工作人员不得索要或接受投标人的礼金及吃请等，如有违反廉政纪律等行为的，依据有关规定给予党纪、政纪或组织处理，情节严重的，还应承担相应的法律责任。</w:t>
      </w:r>
    </w:p>
    <w:p w14:paraId="67492D3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sz w:val="24"/>
          <w:szCs w:val="24"/>
          <w:lang w:val="en-US" w:eastAsia="zh-CN" w:bidi="ar"/>
        </w:rPr>
        <w:t>14.2</w:t>
      </w:r>
      <w:r>
        <w:rPr>
          <w:rFonts w:hint="eastAsia" w:asciiTheme="minorEastAsia" w:hAnsiTheme="minorEastAsia" w:eastAsiaTheme="minorEastAsia" w:cstheme="minorEastAsia"/>
          <w:color w:val="333333"/>
          <w:sz w:val="24"/>
          <w:szCs w:val="24"/>
          <w:lang w:val="zh-TW" w:bidi="ar"/>
        </w:rPr>
        <w:t>中标人不得给予招标人工作人员或其他相关人员任何形式不正当利益，在招投标、合同履行过程中，发现中标人以违规方式中标的，或中标人有行贿等违法行为，一经发现的,招标人将视情予以取消中标资格,没收投标保证金，或终止合同并没收履约保证金,列入不诚信黑名单。</w:t>
      </w:r>
      <w:r>
        <w:rPr>
          <w:rFonts w:hint="eastAsia" w:asciiTheme="minorEastAsia" w:hAnsiTheme="minorEastAsia" w:eastAsiaTheme="minorEastAsia" w:cstheme="minorEastAsia"/>
          <w:color w:val="333333"/>
          <w:sz w:val="24"/>
          <w:szCs w:val="24"/>
          <w:lang w:val="zh-TW" w:bidi="ar"/>
        </w:rPr>
        <w:br w:type="textWrapping"/>
      </w:r>
      <w:r>
        <w:rPr>
          <w:rFonts w:hint="eastAsia" w:asciiTheme="minorEastAsia" w:hAnsiTheme="minorEastAsia" w:eastAsiaTheme="minorEastAsia" w:cstheme="minorEastAsia"/>
          <w:color w:val="333333"/>
          <w:sz w:val="24"/>
          <w:szCs w:val="24"/>
          <w:lang w:val="en-US" w:eastAsia="zh-CN" w:bidi="ar"/>
        </w:rPr>
        <w:t>15.</w:t>
      </w:r>
      <w:r>
        <w:rPr>
          <w:rFonts w:hint="eastAsia" w:asciiTheme="minorEastAsia" w:hAnsiTheme="minorEastAsia" w:eastAsiaTheme="minorEastAsia" w:cstheme="minorEastAsia"/>
          <w:b/>
          <w:bCs/>
          <w:color w:val="333333"/>
          <w:sz w:val="24"/>
          <w:szCs w:val="24"/>
          <w:lang w:val="en-US" w:eastAsia="zh-CN" w:bidi="ar"/>
        </w:rPr>
        <w:t>保密条款：</w:t>
      </w:r>
    </w:p>
    <w:p w14:paraId="2BD040F1">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b/>
          <w:bCs/>
          <w:color w:val="333333"/>
          <w:kern w:val="0"/>
          <w:sz w:val="24"/>
          <w:szCs w:val="24"/>
          <w:lang w:bidi="ar"/>
        </w:rPr>
      </w:pPr>
      <w:r>
        <w:rPr>
          <w:rFonts w:hint="eastAsia" w:asciiTheme="minorEastAsia" w:hAnsiTheme="minorEastAsia" w:eastAsiaTheme="minorEastAsia" w:cstheme="minorEastAsia"/>
          <w:color w:val="333333"/>
          <w:sz w:val="24"/>
          <w:szCs w:val="24"/>
          <w:lang w:val="zh-TW" w:bidi="ar"/>
        </w:rPr>
        <w:t>中标人要认真遵守国家保密法律、法规和招标人相关规章制度，履行保密、保守义务；</w:t>
      </w:r>
      <w:r>
        <w:rPr>
          <w:rFonts w:hint="eastAsia" w:asciiTheme="minorEastAsia" w:hAnsiTheme="minorEastAsia" w:eastAsiaTheme="minorEastAsia" w:cstheme="minorEastAsia"/>
          <w:color w:val="333333"/>
          <w:kern w:val="0"/>
          <w:sz w:val="24"/>
          <w:szCs w:val="24"/>
          <w:lang w:bidi="ar"/>
        </w:rPr>
        <w:t>其进入招标人及其相关机关</w:t>
      </w:r>
      <w:r>
        <w:rPr>
          <w:rFonts w:hint="eastAsia" w:asciiTheme="minorEastAsia" w:hAnsiTheme="minorEastAsia" w:eastAsiaTheme="minorEastAsia" w:cstheme="minorEastAsia"/>
          <w:color w:val="auto"/>
          <w:kern w:val="0"/>
          <w:sz w:val="24"/>
          <w:szCs w:val="24"/>
          <w:lang w:val="en-US" w:eastAsia="zh-CN"/>
        </w:rPr>
        <w:t>子公司</w:t>
      </w:r>
      <w:r>
        <w:rPr>
          <w:rFonts w:hint="eastAsia" w:asciiTheme="minorEastAsia" w:hAnsiTheme="minorEastAsia" w:eastAsiaTheme="minorEastAsia" w:cstheme="minorEastAsia"/>
          <w:color w:val="333333"/>
          <w:kern w:val="0"/>
          <w:sz w:val="24"/>
          <w:szCs w:val="24"/>
          <w:lang w:bidi="ar"/>
        </w:rPr>
        <w:t>工作区域的工作人员需签订《保密承诺书》，严格履行保密义务，所获得的招标人所有信息（包括并不限于工作信息）应严格保守，未经</w:t>
      </w:r>
      <w:r>
        <w:rPr>
          <w:rFonts w:hint="eastAsia" w:asciiTheme="minorEastAsia" w:hAnsiTheme="minorEastAsia" w:eastAsiaTheme="minorEastAsia" w:cstheme="minorEastAsia"/>
          <w:color w:val="333333"/>
          <w:kern w:val="0"/>
          <w:sz w:val="24"/>
          <w:szCs w:val="24"/>
          <w:lang w:eastAsia="zh-CN" w:bidi="ar"/>
        </w:rPr>
        <w:t>招标人</w:t>
      </w:r>
      <w:r>
        <w:rPr>
          <w:rFonts w:hint="eastAsia" w:asciiTheme="minorEastAsia" w:hAnsiTheme="minorEastAsia" w:eastAsiaTheme="minorEastAsia" w:cstheme="minorEastAsia"/>
          <w:color w:val="333333"/>
          <w:kern w:val="0"/>
          <w:sz w:val="24"/>
          <w:szCs w:val="24"/>
          <w:lang w:bidi="ar"/>
        </w:rPr>
        <w:t>允许不得违规记录、存储、复制国家秘密信息，不以任何方式泄露所接触和知悉的国家秘密和招标人相关信息，严禁将招标人工作文件等内部资料泄露出去，招标人根据中标人存在的前述违约行为（包括故意或过失）或因前述违约行为（包括故意或过失）造成招标人相关后果等实际情况，除了有权要求中标人承担相应法律责任外，还有权视情要求中标人偿付项目合同金额1%至20%的违约金，直至没收履约保证金、提前终止合同；造成招标人损失的，中标人还应予以赔偿。</w:t>
      </w:r>
      <w:r>
        <w:rPr>
          <w:rFonts w:hint="eastAsia" w:asciiTheme="minorEastAsia" w:hAnsiTheme="minorEastAsia" w:eastAsiaTheme="minorEastAsia" w:cstheme="minorEastAsia"/>
          <w:b/>
          <w:bCs/>
          <w:color w:val="333333"/>
          <w:kern w:val="0"/>
          <w:sz w:val="24"/>
          <w:szCs w:val="24"/>
          <w:lang w:bidi="ar"/>
        </w:rPr>
        <w:t>本保密条款不因合同届满或解除而失效。</w:t>
      </w:r>
    </w:p>
    <w:p w14:paraId="094D6C9D">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val="0"/>
          <w:bCs w:val="0"/>
          <w:color w:val="auto"/>
          <w:sz w:val="24"/>
          <w:szCs w:val="24"/>
          <w:shd w:val="clear" w:color="auto" w:fill="FFFFFF"/>
          <w:lang w:val="en-US" w:eastAsia="zh-CN"/>
        </w:rPr>
      </w:pPr>
      <w:r>
        <w:rPr>
          <w:rFonts w:hint="eastAsia" w:asciiTheme="minorEastAsia" w:hAnsiTheme="minorEastAsia" w:eastAsiaTheme="minorEastAsia" w:cstheme="minorEastAsia"/>
          <w:color w:val="333333"/>
          <w:kern w:val="0"/>
          <w:sz w:val="24"/>
          <w:szCs w:val="24"/>
          <w:lang w:val="en-US" w:eastAsia="zh-CN" w:bidi="ar"/>
        </w:rPr>
        <w:t>16</w:t>
      </w:r>
      <w:r>
        <w:rPr>
          <w:rFonts w:hint="eastAsia" w:asciiTheme="minorEastAsia" w:hAnsiTheme="minorEastAsia" w:eastAsiaTheme="minorEastAsia" w:cstheme="minorEastAsia"/>
          <w:b/>
          <w:bCs/>
          <w:color w:val="auto"/>
          <w:sz w:val="24"/>
          <w:szCs w:val="24"/>
          <w:shd w:val="clear" w:color="auto" w:fill="FFFFFF"/>
          <w:lang w:val="en-US" w:eastAsia="zh-CN"/>
        </w:rPr>
        <w:t>.合同争议处理方式</w:t>
      </w:r>
    </w:p>
    <w:p w14:paraId="501703AC">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b w:val="0"/>
          <w:bCs w:val="0"/>
          <w:color w:val="auto"/>
          <w:sz w:val="24"/>
          <w:szCs w:val="24"/>
          <w:shd w:val="clear" w:color="auto" w:fill="FFFFFF"/>
          <w:lang w:val="en-US" w:eastAsia="zh-CN"/>
        </w:rPr>
      </w:pPr>
      <w:r>
        <w:rPr>
          <w:rFonts w:hint="eastAsia" w:asciiTheme="minorEastAsia" w:hAnsiTheme="minorEastAsia" w:eastAsiaTheme="minorEastAsia" w:cstheme="minorEastAsia"/>
          <w:b w:val="0"/>
          <w:bCs w:val="0"/>
          <w:color w:val="auto"/>
          <w:sz w:val="24"/>
          <w:szCs w:val="24"/>
          <w:shd w:val="clear" w:color="auto" w:fill="FFFFFF"/>
          <w:lang w:val="en-US" w:eastAsia="zh-CN"/>
        </w:rPr>
        <w:t>招标人与中标人必须认真履行合同条款。因本合同或与本合同有关的一切事项发生争议，由双方友好协商解决，协商不成的，任何一方均可向招标人所在地人民法院提起诉讼。</w:t>
      </w:r>
    </w:p>
    <w:p w14:paraId="6E9E961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kern w:val="0"/>
          <w:sz w:val="24"/>
          <w:szCs w:val="24"/>
          <w:lang w:bidi="ar"/>
        </w:rPr>
      </w:pPr>
      <w:r>
        <w:rPr>
          <w:rFonts w:hint="eastAsia" w:asciiTheme="minorEastAsia" w:hAnsiTheme="minorEastAsia" w:eastAsiaTheme="minorEastAsia" w:cstheme="minorEastAsia"/>
          <w:b/>
          <w:bCs/>
          <w:color w:val="333333"/>
          <w:kern w:val="0"/>
          <w:sz w:val="24"/>
          <w:szCs w:val="24"/>
          <w:lang w:val="en-US" w:eastAsia="zh-CN" w:bidi="ar"/>
        </w:rPr>
        <w:t>17.</w:t>
      </w:r>
      <w:r>
        <w:rPr>
          <w:rFonts w:hint="eastAsia" w:asciiTheme="minorEastAsia" w:hAnsiTheme="minorEastAsia" w:eastAsiaTheme="minorEastAsia" w:cstheme="minorEastAsia"/>
          <w:b/>
          <w:bCs/>
          <w:color w:val="333333"/>
          <w:kern w:val="0"/>
          <w:sz w:val="24"/>
          <w:szCs w:val="24"/>
          <w:lang w:bidi="ar"/>
        </w:rPr>
        <w:t>知识产权</w:t>
      </w:r>
    </w:p>
    <w:p w14:paraId="5A00E49A">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中标人须保障招标人在接受服务过程中不受到第三方关于侵犯专 利权、商 标权或工业设 计权等知识产权的指控。如果任何第三方提出侵权指控与招标人无关，投标人须与第三方交涉并承担可能发生的责任与一切费用。如招标人因此而遭致损失的，投标人应赔偿该损失。</w:t>
      </w:r>
    </w:p>
    <w:p w14:paraId="7A9DA1F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lang w:bidi="ar"/>
        </w:rPr>
      </w:pPr>
      <w:r>
        <w:rPr>
          <w:rFonts w:hint="eastAsia" w:asciiTheme="minorEastAsia" w:hAnsiTheme="minorEastAsia" w:eastAsiaTheme="minorEastAsia" w:cstheme="minorEastAsia"/>
          <w:b/>
          <w:bCs/>
          <w:color w:val="333333"/>
          <w:sz w:val="24"/>
          <w:szCs w:val="24"/>
          <w:lang w:val="en-US" w:eastAsia="zh-CN" w:bidi="ar"/>
        </w:rPr>
        <w:t>18.</w:t>
      </w:r>
      <w:r>
        <w:rPr>
          <w:rFonts w:hint="eastAsia" w:asciiTheme="minorEastAsia" w:hAnsiTheme="minorEastAsia" w:eastAsiaTheme="minorEastAsia" w:cstheme="minorEastAsia"/>
          <w:b/>
          <w:bCs/>
          <w:color w:val="333333"/>
          <w:sz w:val="24"/>
          <w:szCs w:val="24"/>
          <w:lang w:bidi="ar"/>
        </w:rPr>
        <w:t>不可抗力</w:t>
      </w:r>
    </w:p>
    <w:p w14:paraId="5EAE760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lang w:bidi="ar"/>
        </w:rPr>
      </w:pPr>
      <w:r>
        <w:rPr>
          <w:rFonts w:hint="eastAsia" w:asciiTheme="minorEastAsia" w:hAnsiTheme="minorEastAsia" w:eastAsiaTheme="minorEastAsia" w:cstheme="minorEastAsia"/>
          <w:color w:val="333333"/>
          <w:sz w:val="24"/>
          <w:szCs w:val="24"/>
          <w:lang w:val="en-US" w:eastAsia="zh-CN" w:bidi="ar"/>
        </w:rPr>
        <w:t>18.</w:t>
      </w:r>
      <w:r>
        <w:rPr>
          <w:rFonts w:hint="eastAsia" w:asciiTheme="minorEastAsia" w:hAnsiTheme="minorEastAsia" w:eastAsiaTheme="minorEastAsia" w:cstheme="minorEastAsia"/>
          <w:color w:val="333333"/>
          <w:sz w:val="24"/>
          <w:szCs w:val="24"/>
          <w:lang w:bidi="ar"/>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C80818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lang w:bidi="ar"/>
        </w:rPr>
      </w:pPr>
      <w:r>
        <w:rPr>
          <w:rFonts w:hint="eastAsia" w:asciiTheme="minorEastAsia" w:hAnsiTheme="minorEastAsia" w:eastAsiaTheme="minorEastAsia" w:cstheme="minorEastAsia"/>
          <w:color w:val="333333"/>
          <w:sz w:val="24"/>
          <w:szCs w:val="24"/>
          <w:lang w:val="en-US" w:eastAsia="zh-CN" w:bidi="ar"/>
        </w:rPr>
        <w:t>18.</w:t>
      </w:r>
      <w:r>
        <w:rPr>
          <w:rFonts w:hint="eastAsia" w:asciiTheme="minorEastAsia" w:hAnsiTheme="minorEastAsia" w:eastAsiaTheme="minorEastAsia" w:cstheme="minorEastAsia"/>
          <w:color w:val="333333"/>
          <w:sz w:val="24"/>
          <w:szCs w:val="24"/>
          <w:lang w:bidi="ar"/>
        </w:rPr>
        <w:t>2本合同中的不可抗力指不能预见、不能避免、不能克服的客观情况，包括但不限于：自然灾害如地震、台风、洪水、火灾及政府行为、法律规定或其适用的变化或其他任何无法预见、避免或控制的事件。</w:t>
      </w:r>
    </w:p>
    <w:p w14:paraId="01C5CBF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lang w:bidi="ar"/>
        </w:rPr>
      </w:pPr>
      <w:r>
        <w:rPr>
          <w:rFonts w:hint="eastAsia" w:asciiTheme="minorEastAsia" w:hAnsiTheme="minorEastAsia" w:eastAsiaTheme="minorEastAsia" w:cstheme="minorEastAsia"/>
          <w:b/>
          <w:bCs/>
          <w:color w:val="333333"/>
          <w:sz w:val="24"/>
          <w:szCs w:val="24"/>
          <w:lang w:val="en-US" w:eastAsia="zh-CN" w:bidi="ar"/>
        </w:rPr>
        <w:t>19.</w:t>
      </w:r>
      <w:r>
        <w:rPr>
          <w:rFonts w:hint="eastAsia" w:asciiTheme="minorEastAsia" w:hAnsiTheme="minorEastAsia" w:eastAsiaTheme="minorEastAsia" w:cstheme="minorEastAsia"/>
          <w:b/>
          <w:bCs/>
          <w:color w:val="333333"/>
          <w:sz w:val="24"/>
          <w:szCs w:val="24"/>
          <w:lang w:bidi="ar"/>
        </w:rPr>
        <w:t>合同争议处理方式</w:t>
      </w:r>
    </w:p>
    <w:p w14:paraId="7336DFD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lang w:bidi="ar"/>
        </w:rPr>
      </w:pPr>
      <w:r>
        <w:rPr>
          <w:rFonts w:hint="eastAsia" w:asciiTheme="minorEastAsia" w:hAnsiTheme="minorEastAsia" w:eastAsiaTheme="minorEastAsia" w:cstheme="minorEastAsia"/>
          <w:color w:val="333333"/>
          <w:sz w:val="24"/>
          <w:szCs w:val="24"/>
          <w:lang w:bidi="ar"/>
        </w:rPr>
        <w:t>若发生争议，由双方友好协商解决，或根据《中华人民共和国招标投标法》、《中华人民共和国民法典》等相关规定进行解决；通过前述途径仍无法解决的，可向招标人所在地人民法院提请诉讼。</w:t>
      </w:r>
    </w:p>
    <w:p w14:paraId="687A752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四、其他事项</w:t>
      </w:r>
    </w:p>
    <w:p w14:paraId="488F124E">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lang w:bidi="ar"/>
        </w:rPr>
      </w:pPr>
      <w:r>
        <w:rPr>
          <w:rFonts w:hint="eastAsia" w:asciiTheme="minorEastAsia" w:hAnsiTheme="minorEastAsia" w:eastAsiaTheme="minorEastAsia" w:cstheme="minorEastAsia"/>
          <w:color w:val="333333"/>
          <w:sz w:val="24"/>
          <w:szCs w:val="24"/>
          <w:lang w:val="en-US" w:eastAsia="zh-CN" w:bidi="ar"/>
        </w:rPr>
        <w:t>4.</w:t>
      </w:r>
      <w:r>
        <w:rPr>
          <w:rFonts w:hint="eastAsia" w:asciiTheme="minorEastAsia" w:hAnsiTheme="minorEastAsia" w:eastAsiaTheme="minorEastAsia" w:cstheme="minorEastAsia"/>
          <w:color w:val="333333"/>
          <w:sz w:val="24"/>
          <w:szCs w:val="24"/>
          <w:lang w:bidi="ar"/>
        </w:rPr>
        <w:t>1除招标文件另有规定外，若出现有关法律、法规和规章有强制性规定但招标文件未列明的情形，则中标人应按照有关法律、法规和规章强制性规定执行。</w:t>
      </w:r>
    </w:p>
    <w:p w14:paraId="1C016E6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lang w:bidi="ar"/>
        </w:rPr>
      </w:pPr>
      <w:r>
        <w:rPr>
          <w:rFonts w:hint="eastAsia" w:asciiTheme="minorEastAsia" w:hAnsiTheme="minorEastAsia" w:eastAsiaTheme="minorEastAsia" w:cstheme="minorEastAsia"/>
          <w:color w:val="333333"/>
          <w:sz w:val="24"/>
          <w:szCs w:val="24"/>
          <w:lang w:val="en-US" w:eastAsia="zh-CN" w:bidi="ar"/>
        </w:rPr>
        <w:t>4.</w:t>
      </w:r>
      <w:r>
        <w:rPr>
          <w:rFonts w:hint="eastAsia" w:asciiTheme="minorEastAsia" w:hAnsiTheme="minorEastAsia" w:eastAsiaTheme="minorEastAsia" w:cstheme="minorEastAsia"/>
          <w:color w:val="333333"/>
          <w:sz w:val="24"/>
          <w:szCs w:val="24"/>
          <w:lang w:bidi="ar"/>
        </w:rPr>
        <w:t>2若合同期满，招标人未与第三方订立新的合同，如招标人通知中标人继续提供服务的，中标人应在不改变任何条款的前提下继续提供服务，直到新的合同签订为止。</w:t>
      </w:r>
    </w:p>
    <w:p w14:paraId="22BF7632">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val="en-US" w:eastAsia="zh-CN" w:bidi="ar"/>
        </w:rPr>
        <w:t>4.</w:t>
      </w:r>
      <w:r>
        <w:rPr>
          <w:rFonts w:hint="eastAsia" w:asciiTheme="minorEastAsia" w:hAnsiTheme="minorEastAsia" w:eastAsiaTheme="minorEastAsia" w:cstheme="minorEastAsia"/>
          <w:color w:val="auto"/>
          <w:sz w:val="24"/>
          <w:szCs w:val="24"/>
          <w:lang w:bidi="ar"/>
        </w:rPr>
        <w:t>3</w:t>
      </w:r>
      <w:r>
        <w:rPr>
          <w:rFonts w:hint="eastAsia" w:asciiTheme="minorEastAsia" w:hAnsiTheme="minorEastAsia" w:eastAsiaTheme="minorEastAsia" w:cstheme="minorEastAsia"/>
          <w:color w:val="auto"/>
          <w:sz w:val="24"/>
          <w:szCs w:val="24"/>
          <w:shd w:val="clear" w:fill="FFFFFF"/>
        </w:rPr>
        <w:t>在合同履行期间，若遇政府部门或上级单位出台有关该项目的政策调整，继续履行合同违反相关政策文件要求的，</w:t>
      </w:r>
      <w:r>
        <w:rPr>
          <w:rFonts w:hint="eastAsia" w:asciiTheme="minorEastAsia" w:hAnsiTheme="minorEastAsia" w:eastAsiaTheme="minorEastAsia" w:cstheme="minorEastAsia"/>
          <w:color w:val="auto"/>
          <w:sz w:val="24"/>
          <w:szCs w:val="24"/>
          <w:shd w:val="clear" w:fill="FFFFFF"/>
          <w:lang w:eastAsia="zh-CN"/>
        </w:rPr>
        <w:t>招标人</w:t>
      </w:r>
      <w:r>
        <w:rPr>
          <w:rFonts w:hint="eastAsia" w:asciiTheme="minorEastAsia" w:hAnsiTheme="minorEastAsia" w:eastAsiaTheme="minorEastAsia" w:cstheme="minorEastAsia"/>
          <w:color w:val="auto"/>
          <w:sz w:val="24"/>
          <w:szCs w:val="24"/>
          <w:shd w:val="clear" w:fill="FFFFFF"/>
        </w:rPr>
        <w:t>须提前30日通知</w:t>
      </w:r>
      <w:r>
        <w:rPr>
          <w:rFonts w:hint="eastAsia" w:asciiTheme="minorEastAsia" w:hAnsiTheme="minorEastAsia" w:eastAsiaTheme="minorEastAsia" w:cstheme="minorEastAsia"/>
          <w:color w:val="auto"/>
          <w:sz w:val="24"/>
          <w:szCs w:val="24"/>
          <w:shd w:val="clear" w:fill="FFFFFF"/>
          <w:lang w:eastAsia="zh-CN"/>
        </w:rPr>
        <w:t>中标人</w:t>
      </w:r>
      <w:r>
        <w:rPr>
          <w:rFonts w:hint="eastAsia" w:asciiTheme="minorEastAsia" w:hAnsiTheme="minorEastAsia" w:eastAsiaTheme="minorEastAsia" w:cstheme="minorEastAsia"/>
          <w:color w:val="auto"/>
          <w:sz w:val="24"/>
          <w:szCs w:val="24"/>
          <w:shd w:val="clear" w:fill="FFFFFF"/>
        </w:rPr>
        <w:t>终止合同，因此造成的合同解除</w:t>
      </w:r>
      <w:r>
        <w:rPr>
          <w:rFonts w:hint="eastAsia" w:asciiTheme="minorEastAsia" w:hAnsiTheme="minorEastAsia" w:eastAsiaTheme="minorEastAsia" w:cstheme="minorEastAsia"/>
          <w:color w:val="auto"/>
          <w:sz w:val="24"/>
          <w:szCs w:val="24"/>
          <w:shd w:val="clear" w:fill="FFFFFF"/>
          <w:lang w:eastAsia="zh-CN"/>
        </w:rPr>
        <w:t>招标人</w:t>
      </w:r>
      <w:r>
        <w:rPr>
          <w:rFonts w:hint="eastAsia" w:asciiTheme="minorEastAsia" w:hAnsiTheme="minorEastAsia" w:eastAsiaTheme="minorEastAsia" w:cstheme="minorEastAsia"/>
          <w:color w:val="auto"/>
          <w:sz w:val="24"/>
          <w:szCs w:val="24"/>
          <w:shd w:val="clear" w:fill="FFFFFF"/>
        </w:rPr>
        <w:t>不承担违约责任。</w:t>
      </w:r>
    </w:p>
    <w:p w14:paraId="6622F21E">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val="en-US" w:eastAsia="zh-CN" w:bidi="ar"/>
        </w:rPr>
        <w:t>4.</w:t>
      </w:r>
      <w:r>
        <w:rPr>
          <w:rFonts w:hint="eastAsia" w:asciiTheme="minorEastAsia" w:hAnsiTheme="minorEastAsia" w:eastAsiaTheme="minorEastAsia" w:cstheme="minorEastAsia"/>
          <w:color w:val="333333"/>
          <w:lang w:bidi="ar"/>
        </w:rPr>
        <w:t>4因</w:t>
      </w:r>
      <w:r>
        <w:rPr>
          <w:rFonts w:hint="eastAsia" w:asciiTheme="minorEastAsia" w:hAnsiTheme="minorEastAsia" w:eastAsiaTheme="minorEastAsia" w:cstheme="minorEastAsia"/>
          <w:color w:val="333333"/>
          <w:lang w:eastAsia="zh-CN" w:bidi="ar"/>
        </w:rPr>
        <w:t>中标人</w:t>
      </w:r>
      <w:r>
        <w:rPr>
          <w:rFonts w:hint="eastAsia" w:asciiTheme="minorEastAsia" w:hAnsiTheme="minorEastAsia" w:eastAsiaTheme="minorEastAsia" w:cstheme="minorEastAsia"/>
          <w:color w:val="333333"/>
          <w:lang w:bidi="ar"/>
        </w:rPr>
        <w:t>未履行合同项下义务导致招标人所产生的一切损失（包括但不限于人身财产的损失、律师费、诉讼费、保全费、鉴定费等），均由</w:t>
      </w:r>
      <w:r>
        <w:rPr>
          <w:rFonts w:hint="eastAsia" w:asciiTheme="minorEastAsia" w:hAnsiTheme="minorEastAsia" w:eastAsiaTheme="minorEastAsia" w:cstheme="minorEastAsia"/>
          <w:color w:val="333333"/>
          <w:lang w:eastAsia="zh-CN" w:bidi="ar"/>
        </w:rPr>
        <w:t>中标人</w:t>
      </w:r>
      <w:r>
        <w:rPr>
          <w:rFonts w:hint="eastAsia" w:asciiTheme="minorEastAsia" w:hAnsiTheme="minorEastAsia" w:eastAsiaTheme="minorEastAsia" w:cstheme="minorEastAsia"/>
          <w:color w:val="333333"/>
          <w:lang w:bidi="ar"/>
        </w:rPr>
        <w:t>承担赔偿责任。</w:t>
      </w:r>
    </w:p>
    <w:p w14:paraId="20D8601B">
      <w:pPr>
        <w:numPr>
          <w:ilvl w:val="0"/>
          <w:numId w:val="0"/>
        </w:numPr>
        <w:tabs>
          <w:tab w:val="left" w:pos="0"/>
        </w:tabs>
        <w:spacing w:line="360" w:lineRule="auto"/>
        <w:ind w:leftChars="0"/>
        <w:jc w:val="center"/>
        <w:outlineLvl w:val="0"/>
        <w:rPr>
          <w:rFonts w:hint="eastAsia" w:ascii="宋体" w:hAnsi="宋体" w:cs="宋体"/>
          <w:b/>
          <w:bCs/>
          <w:sz w:val="36"/>
          <w:szCs w:val="36"/>
        </w:rPr>
      </w:pPr>
      <w:r>
        <w:rPr>
          <w:rFonts w:hint="eastAsia" w:ascii="宋体" w:hAnsi="宋体" w:cs="宋体"/>
          <w:b/>
          <w:bCs/>
          <w:sz w:val="36"/>
          <w:szCs w:val="36"/>
          <w:lang w:eastAsia="zh-CN"/>
        </w:rPr>
        <w:t>第四章</w:t>
      </w:r>
      <w:r>
        <w:rPr>
          <w:rFonts w:hint="eastAsia" w:ascii="宋体" w:hAnsi="宋体" w:cs="宋体"/>
          <w:b/>
          <w:bCs/>
          <w:sz w:val="36"/>
          <w:szCs w:val="36"/>
        </w:rPr>
        <w:t>合同</w:t>
      </w:r>
    </w:p>
    <w:p w14:paraId="51D053FF">
      <w:pPr>
        <w:pStyle w:val="11"/>
        <w:spacing w:before="0" w:beforeAutospacing="0" w:after="0" w:afterAutospacing="0" w:line="360" w:lineRule="auto"/>
        <w:rPr>
          <w:rFonts w:asciiTheme="minorEastAsia" w:hAnsiTheme="minorEastAsia" w:eastAsiaTheme="minorEastAsia" w:cstheme="minorEastAsia"/>
          <w:b/>
        </w:rPr>
      </w:pPr>
    </w:p>
    <w:p w14:paraId="75E8C70C">
      <w:pPr>
        <w:pStyle w:val="11"/>
        <w:spacing w:before="0" w:beforeAutospacing="0" w:after="0"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1、签订合同应遵守民法典。</w:t>
      </w:r>
    </w:p>
    <w:p w14:paraId="70A6CD60">
      <w:pPr>
        <w:pStyle w:val="11"/>
        <w:spacing w:before="0" w:beforeAutospacing="0" w:after="0"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签订合同时，招标人与中标人应结合招标文件规定和投标文件高于招标文件的承诺填列相应内容。招标文件第三章已有规定的，双方均不得变更或调整；招标文件第三章未作规定的，双方可通过友好协商进行约定。</w:t>
      </w:r>
    </w:p>
    <w:p w14:paraId="2DAE2DF8">
      <w:pPr>
        <w:pStyle w:val="11"/>
        <w:spacing w:before="0" w:beforeAutospacing="0" w:after="0"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3、国家有关部门对若干合同有规范文本的，可使用相应合同文本。</w:t>
      </w:r>
    </w:p>
    <w:p w14:paraId="15B8F3BA">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甲方：</w:t>
      </w:r>
    </w:p>
    <w:p w14:paraId="4A751395">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住所地：________________</w:t>
      </w:r>
    </w:p>
    <w:p w14:paraId="01CC11A0">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联系人：________________</w:t>
      </w:r>
    </w:p>
    <w:p w14:paraId="3ABF0F81">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联系电话：______________</w:t>
      </w:r>
    </w:p>
    <w:p w14:paraId="39B361F6">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传真：________________</w:t>
      </w:r>
    </w:p>
    <w:p w14:paraId="16C0D0E1">
      <w:pPr>
        <w:pStyle w:val="25"/>
        <w:spacing w:line="360" w:lineRule="auto"/>
        <w:rPr>
          <w:rFonts w:hint="default" w:asciiTheme="minorEastAsia" w:hAnsiTheme="minorEastAsia" w:cstheme="minorEastAsia"/>
          <w:sz w:val="24"/>
          <w:szCs w:val="24"/>
          <w:lang w:eastAsia="zh-CN"/>
        </w:rPr>
      </w:pPr>
      <w:r>
        <w:rPr>
          <w:rFonts w:asciiTheme="minorEastAsia" w:hAnsiTheme="minorEastAsia" w:cstheme="minorEastAsia"/>
          <w:sz w:val="24"/>
          <w:szCs w:val="24"/>
        </w:rPr>
        <w:t>电子邮箱：________________</w:t>
      </w:r>
    </w:p>
    <w:p w14:paraId="4B0C64AC">
      <w:pPr>
        <w:pStyle w:val="25"/>
        <w:spacing w:line="360" w:lineRule="auto"/>
        <w:rPr>
          <w:rFonts w:hint="default" w:asciiTheme="minorEastAsia" w:hAnsiTheme="minorEastAsia" w:cstheme="minorEastAsia"/>
          <w:sz w:val="24"/>
          <w:szCs w:val="24"/>
          <w:lang w:eastAsia="zh-CN"/>
        </w:rPr>
      </w:pPr>
    </w:p>
    <w:p w14:paraId="24BF2853">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乙方：________________</w:t>
      </w:r>
    </w:p>
    <w:p w14:paraId="4414052D">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住所地：________________</w:t>
      </w:r>
    </w:p>
    <w:p w14:paraId="042A0F24">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联系人：______________</w:t>
      </w:r>
    </w:p>
    <w:p w14:paraId="057F06CA">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联系电话：______________</w:t>
      </w:r>
    </w:p>
    <w:p w14:paraId="5EB03D97">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传真：________________</w:t>
      </w:r>
    </w:p>
    <w:p w14:paraId="7AF2C11F">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电子邮箱：________________</w:t>
      </w:r>
    </w:p>
    <w:p w14:paraId="4CDFBDA9">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根据项目编号为___________的__________项目（以下简称：“本项目”）的</w:t>
      </w:r>
      <w:r>
        <w:rPr>
          <w:rFonts w:asciiTheme="minorEastAsia" w:hAnsiTheme="minorEastAsia" w:cstheme="minorEastAsia"/>
          <w:sz w:val="24"/>
          <w:szCs w:val="24"/>
          <w:lang w:eastAsia="zh-CN"/>
        </w:rPr>
        <w:t>招标</w:t>
      </w:r>
      <w:r>
        <w:rPr>
          <w:rFonts w:asciiTheme="minorEastAsia" w:hAnsiTheme="minorEastAsia" w:cstheme="minorEastAsia"/>
          <w:sz w:val="24"/>
          <w:szCs w:val="24"/>
        </w:rPr>
        <w:t>结果，遵循平等、自愿、公平和诚实信用的原则，双方签署本合同，具体内容如下：</w:t>
      </w:r>
    </w:p>
    <w:p w14:paraId="1BDE2AEE">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一、合同组成部分</w:t>
      </w:r>
    </w:p>
    <w:p w14:paraId="76AF91CB">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1.1本合同条款及附件；</w:t>
      </w:r>
    </w:p>
    <w:p w14:paraId="3D24E5B9">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1.2</w:t>
      </w:r>
      <w:r>
        <w:rPr>
          <w:rFonts w:asciiTheme="minorEastAsia" w:hAnsiTheme="minorEastAsia" w:cstheme="minorEastAsia"/>
          <w:sz w:val="24"/>
          <w:szCs w:val="24"/>
          <w:lang w:eastAsia="zh-CN"/>
        </w:rPr>
        <w:t>招标</w:t>
      </w:r>
      <w:r>
        <w:rPr>
          <w:rFonts w:asciiTheme="minorEastAsia" w:hAnsiTheme="minorEastAsia" w:cstheme="minorEastAsia"/>
          <w:sz w:val="24"/>
          <w:szCs w:val="24"/>
        </w:rPr>
        <w:t>文件及其附件、补充文件；</w:t>
      </w:r>
    </w:p>
    <w:p w14:paraId="67CA460C">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1.3乙方的</w:t>
      </w:r>
      <w:r>
        <w:rPr>
          <w:rFonts w:asciiTheme="minorEastAsia" w:hAnsiTheme="minorEastAsia" w:cstheme="minorEastAsia"/>
          <w:sz w:val="24"/>
          <w:szCs w:val="24"/>
          <w:lang w:eastAsia="zh-CN"/>
        </w:rPr>
        <w:t>投标</w:t>
      </w:r>
      <w:r>
        <w:rPr>
          <w:rFonts w:asciiTheme="minorEastAsia" w:hAnsiTheme="minorEastAsia" w:cstheme="minorEastAsia"/>
          <w:sz w:val="24"/>
          <w:szCs w:val="24"/>
        </w:rPr>
        <w:t>文件及其附件、补充文件；</w:t>
      </w:r>
    </w:p>
    <w:p w14:paraId="5D2DE2BE">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1.4其他文件或材料：</w:t>
      </w:r>
    </w:p>
    <w:p w14:paraId="67421C3C">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二、合同标的</w:t>
      </w:r>
    </w:p>
    <w:p w14:paraId="137E1754">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三、价格形式及合同价款</w:t>
      </w:r>
    </w:p>
    <w:p w14:paraId="60C1C6AD">
      <w:pPr>
        <w:pStyle w:val="25"/>
        <w:spacing w:line="360" w:lineRule="auto"/>
        <w:outlineLvl w:val="2"/>
        <w:rPr>
          <w:rFonts w:hint="default" w:asciiTheme="minorEastAsia" w:hAnsiTheme="minorEastAsia" w:cstheme="minorEastAsia"/>
          <w:sz w:val="24"/>
          <w:szCs w:val="24"/>
        </w:rPr>
      </w:pPr>
      <w:r>
        <w:rPr>
          <w:rFonts w:asciiTheme="minorEastAsia" w:hAnsiTheme="minorEastAsia" w:cstheme="minorEastAsia"/>
          <w:b/>
          <w:sz w:val="24"/>
          <w:szCs w:val="24"/>
        </w:rPr>
        <w:t>3.1价格形式</w:t>
      </w:r>
    </w:p>
    <w:p w14:paraId="17CAE11B">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固定单价合同。完成约定服务事项的含税合同单价为：人民币（大写）元（￥_____________元）。</w:t>
      </w:r>
    </w:p>
    <w:p w14:paraId="2F728255">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固定总价合同。完成约定服务事项的含税服务费用为：人民币（大写）元（￥_____________元）。</w:t>
      </w:r>
    </w:p>
    <w:p w14:paraId="74055267">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其他方式。</w:t>
      </w:r>
    </w:p>
    <w:p w14:paraId="6C4913FB">
      <w:pPr>
        <w:pStyle w:val="25"/>
        <w:spacing w:line="360" w:lineRule="auto"/>
        <w:outlineLvl w:val="2"/>
        <w:rPr>
          <w:rFonts w:hint="default" w:asciiTheme="minorEastAsia" w:hAnsiTheme="minorEastAsia" w:cstheme="minorEastAsia"/>
          <w:sz w:val="24"/>
          <w:szCs w:val="24"/>
        </w:rPr>
      </w:pPr>
      <w:r>
        <w:rPr>
          <w:rFonts w:asciiTheme="minorEastAsia" w:hAnsiTheme="minorEastAsia" w:cstheme="minorEastAsia"/>
          <w:b/>
          <w:sz w:val="24"/>
          <w:szCs w:val="24"/>
        </w:rPr>
        <w:t>3.2合同价款包含范围</w:t>
      </w:r>
    </w:p>
    <w:p w14:paraId="28C9BC49">
      <w:pPr>
        <w:pStyle w:val="25"/>
        <w:spacing w:line="360" w:lineRule="auto"/>
        <w:outlineLvl w:val="2"/>
        <w:rPr>
          <w:rFonts w:hint="default" w:asciiTheme="minorEastAsia" w:hAnsiTheme="minorEastAsia" w:cstheme="minorEastAsia"/>
          <w:sz w:val="24"/>
          <w:szCs w:val="24"/>
        </w:rPr>
      </w:pPr>
      <w:r>
        <w:rPr>
          <w:rFonts w:asciiTheme="minorEastAsia" w:hAnsiTheme="minorEastAsia" w:cstheme="minorEastAsia"/>
          <w:b/>
          <w:sz w:val="24"/>
          <w:szCs w:val="24"/>
        </w:rPr>
        <w:t>3.3其他需说明的事项：</w:t>
      </w:r>
    </w:p>
    <w:p w14:paraId="6A3BB698">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四、合同标的及服务范围、地点和时间</w:t>
      </w:r>
    </w:p>
    <w:p w14:paraId="5EB5ACBB">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4.1项目名称：_____________</w:t>
      </w:r>
    </w:p>
    <w:p w14:paraId="00FDBFA0">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4.2服务范围：_____________</w:t>
      </w:r>
    </w:p>
    <w:p w14:paraId="18F4AD29">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4.3服务地点：_____________</w:t>
      </w:r>
    </w:p>
    <w:p w14:paraId="57A2BD4D">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4.4服务完成时间：_____________</w:t>
      </w:r>
    </w:p>
    <w:p w14:paraId="17AB1916">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五、服务内容、质量标准和要求</w:t>
      </w:r>
    </w:p>
    <w:p w14:paraId="21F6DDF4">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5.1服务工作量的计量方式：_____________</w:t>
      </w:r>
    </w:p>
    <w:p w14:paraId="7732A029">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5.2服务内容：_____________</w:t>
      </w:r>
    </w:p>
    <w:p w14:paraId="33F83FCC">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5.3技术保障、服务人员组成、所涉及的货物的质量标准：</w:t>
      </w:r>
    </w:p>
    <w:p w14:paraId="063171D5">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（1）服务技术保障：_____________</w:t>
      </w:r>
    </w:p>
    <w:p w14:paraId="473C3D9C">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（2）服务人员组成：_____________</w:t>
      </w:r>
    </w:p>
    <w:p w14:paraId="4A205C3C">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（3）服务设备及物资投入及质量标准：_____________</w:t>
      </w:r>
    </w:p>
    <w:p w14:paraId="394A287C">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5.4服务质量标准及要求：</w:t>
      </w:r>
    </w:p>
    <w:p w14:paraId="41FE207B">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8A88387">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5.4.2若乙方提供的服务或使用的产品、软件等不符合国家知识产权法律、法规的规定或被有关主管机关认定为侵权或假冒伪劣品，则乙方中标或</w:t>
      </w:r>
      <w:r>
        <w:rPr>
          <w:rFonts w:hint="eastAsia" w:asciiTheme="minorEastAsia" w:hAnsiTheme="minorEastAsia" w:cstheme="minorEastAsia"/>
          <w:sz w:val="24"/>
          <w:szCs w:val="24"/>
          <w:lang w:eastAsia="zh-CN"/>
        </w:rPr>
        <w:t>中标资格</w:t>
      </w:r>
      <w:r>
        <w:rPr>
          <w:rFonts w:asciiTheme="minorEastAsia" w:hAnsiTheme="minorEastAsia" w:cstheme="minorEastAsia"/>
          <w:sz w:val="24"/>
          <w:szCs w:val="24"/>
        </w:rPr>
        <w:t>将被取消；甲方还将按照有关法律、法规和规章的规定进行处理，具体如下：</w:t>
      </w:r>
    </w:p>
    <w:p w14:paraId="5EFDDB50">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5.4.3其他要求：</w:t>
      </w:r>
    </w:p>
    <w:p w14:paraId="78246A0F">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六、服务履约验收或考核</w:t>
      </w:r>
    </w:p>
    <w:p w14:paraId="5F24D223">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甲方按照</w:t>
      </w:r>
      <w:r>
        <w:rPr>
          <w:rFonts w:asciiTheme="minorEastAsia" w:hAnsiTheme="minorEastAsia" w:cstheme="minorEastAsia"/>
          <w:sz w:val="24"/>
          <w:szCs w:val="24"/>
          <w:lang w:eastAsia="zh-CN"/>
        </w:rPr>
        <w:t>招标文件</w:t>
      </w:r>
      <w:r>
        <w:rPr>
          <w:rFonts w:asciiTheme="minorEastAsia" w:hAnsiTheme="minorEastAsia" w:cstheme="minorEastAsia"/>
          <w:sz w:val="24"/>
          <w:szCs w:val="24"/>
        </w:rPr>
        <w:t>、乙方的投标文件和本协议约定的服务内容及质量要求按次组织对乙方所提供服务进行验收，或定期进行服务考核，并根据验收或考核结果支付服务费用。具体如下：</w:t>
      </w:r>
    </w:p>
    <w:p w14:paraId="124FA19C">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七、甲方的权利与义务</w:t>
      </w:r>
    </w:p>
    <w:p w14:paraId="65D12BC3">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7.1甲方委派___________为联系人，联系方式___________，负责与乙方联系。如甲方联系人发生变更，甲方应书面告知乙方。</w:t>
      </w:r>
    </w:p>
    <w:p w14:paraId="3B731373">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7.2甲方应为乙方开展服务工作提供必要的工作条件，以及对内对外沟通和配合协助。</w:t>
      </w:r>
    </w:p>
    <w:p w14:paraId="517B38F6">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7.3甲方应于___________之前提供服务所需的全部资料，并对所提供材料真实性、完整性、合法性负责。</w:t>
      </w:r>
    </w:p>
    <w:p w14:paraId="18D6AA42">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7.4甲方应对委托服务事项提出明确、合理的要求，并对乙方开展服务过程中需</w:t>
      </w:r>
      <w:r>
        <w:rPr>
          <w:rFonts w:asciiTheme="minorEastAsia" w:hAnsiTheme="minorEastAsia" w:cstheme="minorEastAsia"/>
          <w:sz w:val="24"/>
          <w:szCs w:val="24"/>
          <w:lang w:eastAsia="zh-CN"/>
        </w:rPr>
        <w:t>招标人</w:t>
      </w:r>
      <w:r>
        <w:rPr>
          <w:rFonts w:asciiTheme="minorEastAsia" w:hAnsiTheme="minorEastAsia" w:cstheme="minorEastAsia"/>
          <w:sz w:val="24"/>
          <w:szCs w:val="24"/>
        </w:rPr>
        <w:t>确认事项及时予以确认。甲方根据乙方服务成果提出的建议、方案所做出的决定而导致的损失，非乙方及其委派人员的过错造成由甲方自行承担。</w:t>
      </w:r>
    </w:p>
    <w:p w14:paraId="1071745C">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7.5甲方应按本合同约定及时足额支付服务费用及相关费用。</w:t>
      </w:r>
    </w:p>
    <w:p w14:paraId="1DAF19EE">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7.6其他</w:t>
      </w:r>
    </w:p>
    <w:p w14:paraId="781BB4F2">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八、乙方的权利与义务</w:t>
      </w:r>
    </w:p>
    <w:p w14:paraId="546A5076">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8.1乙方委派___________为联系人，联系方式___________，负责与甲方联系。如乙方联系人发生变更，乙方应书面告知甲方</w:t>
      </w:r>
    </w:p>
    <w:p w14:paraId="50E5A929">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8.2乙方应国家法律法规和{{乙方的权利与义务-响应要求-福建}}等要求开展{{乙方的权利与义务-开展服务-福建}}服务；</w:t>
      </w:r>
    </w:p>
    <w:p w14:paraId="553A82E9">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8.3乙方及其所委派服务人员应按标准或协议约定方式出具服务成果，并对其真实性和合法性负法律责任；</w:t>
      </w:r>
    </w:p>
    <w:p w14:paraId="4238BAF5">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0C30A2B6">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8.5乙方对服务业务应当单独建档，保存完整的工作记录，并对服务过程使用和暂存甲方的文件、材料和财物应当妥善保管。</w:t>
      </w:r>
    </w:p>
    <w:p w14:paraId="661E2778">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8.6服务工作结束后,乙方将根据情况对甲方服务相关的管理制度及其他事项等提出改进意见。</w:t>
      </w:r>
    </w:p>
    <w:p w14:paraId="1942026E">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8.7其他</w:t>
      </w:r>
    </w:p>
    <w:p w14:paraId="3927CC38">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九、资金支付方式、时间和条件</w:t>
      </w:r>
    </w:p>
    <w:p w14:paraId="7FC6A443">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十、履约保证金</w:t>
      </w:r>
    </w:p>
    <w:p w14:paraId="073B4AF3">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□有，□无。具体如下：（按照</w:t>
      </w:r>
      <w:r>
        <w:rPr>
          <w:rFonts w:asciiTheme="minorEastAsia" w:hAnsiTheme="minorEastAsia" w:cstheme="minorEastAsia"/>
          <w:sz w:val="24"/>
          <w:szCs w:val="24"/>
          <w:lang w:eastAsia="zh-CN"/>
        </w:rPr>
        <w:t>招标文件</w:t>
      </w:r>
      <w:r>
        <w:rPr>
          <w:rFonts w:asciiTheme="minorEastAsia" w:hAnsiTheme="minorEastAsia" w:cstheme="minorEastAsia"/>
          <w:sz w:val="24"/>
          <w:szCs w:val="24"/>
        </w:rPr>
        <w:t>规定填写）。</w:t>
      </w:r>
    </w:p>
    <w:p w14:paraId="2B18DCF1">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10.1乙方向甲方缴纳人民币 / 元作为本合同的履约保证金。</w:t>
      </w:r>
    </w:p>
    <w:p w14:paraId="39DCFB7A">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10.2履约保证金缴纳形式：支票/汇票/电汇/保函等非现金形式。</w:t>
      </w:r>
    </w:p>
    <w:p w14:paraId="7C9D3AB8">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10.3履约保证金合同履行完毕前有效，合同履行完毕后一次性结清退还。</w:t>
      </w:r>
    </w:p>
    <w:p w14:paraId="561BF668">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十一、合同期限</w:t>
      </w:r>
    </w:p>
    <w:p w14:paraId="776EE092">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十二、保密条款</w:t>
      </w:r>
    </w:p>
    <w:p w14:paraId="3B970955">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12.1对于在</w:t>
      </w:r>
      <w:r>
        <w:rPr>
          <w:rFonts w:asciiTheme="minorEastAsia" w:hAnsiTheme="minorEastAsia" w:cstheme="minorEastAsia"/>
          <w:sz w:val="24"/>
          <w:szCs w:val="24"/>
          <w:lang w:eastAsia="zh-CN"/>
        </w:rPr>
        <w:t>招标</w:t>
      </w:r>
      <w:r>
        <w:rPr>
          <w:rFonts w:asciiTheme="minorEastAsia" w:hAnsiTheme="minorEastAsia" w:cstheme="minorEastAsia"/>
          <w:sz w:val="24"/>
          <w:szCs w:val="24"/>
        </w:rPr>
        <w:t>和合同履行过程中所获悉的属于保密的内容，甲、乙双方均负有保密义务。</w:t>
      </w:r>
    </w:p>
    <w:p w14:paraId="054853ED">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12.2其他</w:t>
      </w:r>
    </w:p>
    <w:p w14:paraId="4334B7EB">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十三、违约责任</w:t>
      </w:r>
    </w:p>
    <w:p w14:paraId="0C383E92">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13.1甲方违约责任</w:t>
      </w:r>
    </w:p>
    <w:p w14:paraId="5FAC0554">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（1）甲方无正当理由拒绝乙方提供合格服务的，甲方应向乙方偿付所拒收合同总价________的违约金</w:t>
      </w:r>
    </w:p>
    <w:p w14:paraId="74E6988D">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（2）甲方无故逾期验收和办理合同款项支付手续的,甲方应按逾期付款总额每日________向乙方支付违约金。</w:t>
      </w:r>
    </w:p>
    <w:p w14:paraId="7AD671BA">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（3）其他违约情形</w:t>
      </w:r>
    </w:p>
    <w:p w14:paraId="293243F7">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13.2乙方违约责任</w:t>
      </w:r>
    </w:p>
    <w:p w14:paraId="5F169BF2">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6964ADA4">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（2）乙方所履行的服务不符合合同规定及《</w:t>
      </w:r>
      <w:r>
        <w:rPr>
          <w:rFonts w:asciiTheme="minorEastAsia" w:hAnsiTheme="minorEastAsia" w:cstheme="minorEastAsia"/>
          <w:sz w:val="24"/>
          <w:szCs w:val="24"/>
          <w:lang w:eastAsia="zh-CN"/>
        </w:rPr>
        <w:t>招标文件</w:t>
      </w:r>
      <w:r>
        <w:rPr>
          <w:rFonts w:asciiTheme="minorEastAsia" w:hAnsiTheme="minorEastAsia" w:cstheme="minorEastAsia"/>
          <w:sz w:val="24"/>
          <w:szCs w:val="24"/>
        </w:rPr>
        <w:t>》规定标准的，甲方有权拒绝，乙方愿意整改但逾期履行的，按乙方逾期履行处理。乙方拒绝整改的，视为“乙方不按合同约定履约”</w:t>
      </w:r>
    </w:p>
    <w:p w14:paraId="23B5BEC7">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（3）乙方不按合同约定履约的，甲方可以解除</w:t>
      </w:r>
      <w:r>
        <w:rPr>
          <w:rFonts w:asciiTheme="minorEastAsia" w:hAnsiTheme="minorEastAsia" w:cstheme="minorEastAsia"/>
          <w:sz w:val="24"/>
          <w:szCs w:val="24"/>
          <w:lang w:eastAsia="zh-CN"/>
        </w:rPr>
        <w:t>本</w:t>
      </w:r>
      <w:r>
        <w:rPr>
          <w:rFonts w:asciiTheme="minorEastAsia" w:hAnsiTheme="minorEastAsia" w:cstheme="minorEastAsia"/>
          <w:sz w:val="24"/>
          <w:szCs w:val="24"/>
        </w:rPr>
        <w:t>合同，并对乙方已缴纳的履约保证金作“不予退还”处理。同时，乙方须按以下约定向甲方支付违约金：</w:t>
      </w:r>
    </w:p>
    <w:p w14:paraId="30BE8762">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（4）其他违约情形</w:t>
      </w:r>
    </w:p>
    <w:p w14:paraId="2287B585">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十四、不可抗力事件处理</w:t>
      </w:r>
    </w:p>
    <w:p w14:paraId="05EAD36D">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4DA6DBB">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十五、解决争议的方法</w:t>
      </w:r>
    </w:p>
    <w:p w14:paraId="4E11B3D2">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15.1甲、乙双方协商解决。</w:t>
      </w:r>
    </w:p>
    <w:p w14:paraId="699045F6">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15.2若协商解决不成，则通过下列途径之一解决：</w:t>
      </w:r>
    </w:p>
    <w:p w14:paraId="6DDFDD89">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□提交仲裁委员会仲裁，具体如下：</w:t>
      </w:r>
    </w:p>
    <w:p w14:paraId="3950D096">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□向人民法院提起诉讼，具体如下：</w:t>
      </w:r>
    </w:p>
    <w:p w14:paraId="22E856C3">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十六、合同其他条款</w:t>
      </w:r>
    </w:p>
    <w:p w14:paraId="52A2C655">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十七、其他约定</w:t>
      </w:r>
    </w:p>
    <w:p w14:paraId="0E01B78F">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17.1合同文件与本合同具有同等法律效力。</w:t>
      </w:r>
    </w:p>
    <w:p w14:paraId="0AEACEAB">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17.2合同生效：合同经双方法定代表人或委托代理人签字并加盖单位公章后生效。</w:t>
      </w:r>
    </w:p>
    <w:p w14:paraId="6526E637">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17.3本合同未尽事宜，遵照《中华人民共和国民法典》有关条文执行。</w:t>
      </w:r>
    </w:p>
    <w:p w14:paraId="39C7656B">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17.4本合同正本一式_______份，具有同等法律效力，甲方、乙方各执_______份；副本_______份，_______</w:t>
      </w:r>
    </w:p>
    <w:p w14:paraId="71CC48D9">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17.5其他</w:t>
      </w:r>
    </w:p>
    <w:p w14:paraId="31C6D6CD">
      <w:pPr>
        <w:pStyle w:val="25"/>
        <w:spacing w:line="360" w:lineRule="auto"/>
        <w:outlineLvl w:val="1"/>
        <w:rPr>
          <w:rFonts w:hint="default" w:asciiTheme="minorEastAsia" w:hAnsiTheme="minorEastAsia" w:cstheme="minorEastAsia"/>
          <w:b/>
          <w:sz w:val="24"/>
          <w:szCs w:val="24"/>
          <w:lang w:eastAsia="zh-CN"/>
        </w:rPr>
      </w:pPr>
      <w:r>
        <w:rPr>
          <w:rFonts w:asciiTheme="minorEastAsia" w:hAnsiTheme="minorEastAsia" w:cstheme="minorEastAsia"/>
          <w:b/>
          <w:sz w:val="24"/>
          <w:szCs w:val="24"/>
        </w:rPr>
        <w:t>十八、合同附件</w:t>
      </w:r>
    </w:p>
    <w:p w14:paraId="2EFABCA5">
      <w:pPr>
        <w:bidi w:val="0"/>
        <w:rPr>
          <w:rFonts w:hint="default"/>
          <w:lang w:eastAsia="zh-CN"/>
        </w:rPr>
      </w:pPr>
    </w:p>
    <w:p w14:paraId="747E5272">
      <w:pPr>
        <w:bidi w:val="0"/>
        <w:rPr>
          <w:rFonts w:hint="default"/>
          <w:lang w:eastAsia="zh-CN"/>
        </w:rPr>
      </w:pPr>
    </w:p>
    <w:p w14:paraId="01005453">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甲方（</w:t>
      </w:r>
      <w:r>
        <w:rPr>
          <w:rFonts w:asciiTheme="minorEastAsia" w:hAnsiTheme="minorEastAsia" w:cstheme="minorEastAsia"/>
          <w:sz w:val="24"/>
          <w:szCs w:val="24"/>
          <w:lang w:eastAsia="zh-CN"/>
        </w:rPr>
        <w:t>招标人</w:t>
      </w:r>
      <w:r>
        <w:rPr>
          <w:rFonts w:asciiTheme="minorEastAsia" w:hAnsiTheme="minorEastAsia" w:cstheme="minorEastAsia"/>
          <w:sz w:val="24"/>
          <w:szCs w:val="24"/>
        </w:rPr>
        <w:t>）：</w:t>
      </w:r>
    </w:p>
    <w:p w14:paraId="1750EEC3">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法定（授权）代表人：</w:t>
      </w:r>
    </w:p>
    <w:p w14:paraId="396A5A85">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纳税人识别号：</w:t>
      </w:r>
    </w:p>
    <w:p w14:paraId="258FC5C8">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开户银行：</w:t>
      </w:r>
    </w:p>
    <w:p w14:paraId="285BD5DA">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账号：</w:t>
      </w:r>
    </w:p>
    <w:p w14:paraId="47E56EBE">
      <w:pPr>
        <w:pStyle w:val="25"/>
        <w:spacing w:line="360" w:lineRule="auto"/>
        <w:rPr>
          <w:rFonts w:hint="default" w:asciiTheme="minorEastAsia" w:hAnsiTheme="minorEastAsia" w:cstheme="minorEastAsia"/>
          <w:sz w:val="24"/>
          <w:szCs w:val="24"/>
        </w:rPr>
      </w:pPr>
    </w:p>
    <w:p w14:paraId="1DC0146B">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乙方（中标或</w:t>
      </w:r>
      <w:r>
        <w:rPr>
          <w:rFonts w:asciiTheme="minorEastAsia" w:hAnsiTheme="minorEastAsia" w:cstheme="minorEastAsia"/>
          <w:sz w:val="24"/>
          <w:szCs w:val="24"/>
          <w:lang w:eastAsia="zh-CN"/>
        </w:rPr>
        <w:t>中标人</w:t>
      </w:r>
      <w:r>
        <w:rPr>
          <w:rFonts w:asciiTheme="minorEastAsia" w:hAnsiTheme="minorEastAsia" w:cstheme="minorEastAsia"/>
          <w:sz w:val="24"/>
          <w:szCs w:val="24"/>
        </w:rPr>
        <w:t>）：</w:t>
      </w:r>
    </w:p>
    <w:p w14:paraId="57F926E5">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法定（授权）代表人：</w:t>
      </w:r>
    </w:p>
    <w:p w14:paraId="5842E895">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纳税人识别号：</w:t>
      </w:r>
    </w:p>
    <w:p w14:paraId="41ED9692">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开户银行：</w:t>
      </w:r>
    </w:p>
    <w:p w14:paraId="7C9387C0">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账号：</w:t>
      </w:r>
    </w:p>
    <w:p w14:paraId="6DD36DBC">
      <w:pPr>
        <w:pStyle w:val="25"/>
        <w:spacing w:line="360" w:lineRule="auto"/>
        <w:rPr>
          <w:rFonts w:hint="default" w:asciiTheme="minorEastAsia" w:hAnsiTheme="minorEastAsia" w:cstheme="minorEastAsia"/>
          <w:sz w:val="24"/>
          <w:szCs w:val="24"/>
        </w:rPr>
      </w:pPr>
    </w:p>
    <w:p w14:paraId="3CCE545D">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签订地点：_____________</w:t>
      </w:r>
    </w:p>
    <w:p w14:paraId="0EE906C0">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签订日期：____年___月___日</w:t>
      </w:r>
    </w:p>
    <w:p w14:paraId="77E59590">
      <w:pPr>
        <w:bidi w:val="0"/>
      </w:pPr>
    </w:p>
    <w:p w14:paraId="2DD754B6">
      <w:pPr>
        <w:bidi w:val="0"/>
      </w:pPr>
    </w:p>
    <w:p w14:paraId="5A321C3E">
      <w:pPr>
        <w:bidi w:val="0"/>
      </w:pPr>
    </w:p>
    <w:p w14:paraId="734657D9">
      <w:pPr>
        <w:bidi w:val="0"/>
      </w:pPr>
    </w:p>
    <w:p w14:paraId="00A7B6F7">
      <w:pPr>
        <w:bidi w:val="0"/>
      </w:pPr>
    </w:p>
    <w:p w14:paraId="29EFBD38">
      <w:pPr>
        <w:bidi w:val="0"/>
      </w:pPr>
    </w:p>
    <w:p w14:paraId="63A2CB41">
      <w:pPr>
        <w:bidi w:val="0"/>
      </w:pPr>
    </w:p>
    <w:p w14:paraId="0D5B6D4D">
      <w:pPr>
        <w:bidi w:val="0"/>
      </w:pPr>
    </w:p>
    <w:p w14:paraId="7382DEC1">
      <w:pPr>
        <w:bidi w:val="0"/>
      </w:pPr>
    </w:p>
    <w:p w14:paraId="45D89E55">
      <w:pPr>
        <w:bidi w:val="0"/>
      </w:pPr>
    </w:p>
    <w:p w14:paraId="7FA57F51">
      <w:pPr>
        <w:bidi w:val="0"/>
      </w:pPr>
    </w:p>
    <w:p w14:paraId="71C42A29">
      <w:pPr>
        <w:bidi w:val="0"/>
      </w:pPr>
    </w:p>
    <w:p w14:paraId="4FE3471E">
      <w:pPr>
        <w:bidi w:val="0"/>
      </w:pPr>
    </w:p>
    <w:p w14:paraId="5233ABD4">
      <w:pPr>
        <w:bidi w:val="0"/>
      </w:pPr>
    </w:p>
    <w:p w14:paraId="7A59044A">
      <w:pPr>
        <w:bidi w:val="0"/>
      </w:pPr>
    </w:p>
    <w:p w14:paraId="67077A5E">
      <w:pPr>
        <w:bidi w:val="0"/>
      </w:pPr>
    </w:p>
    <w:p w14:paraId="5A5CBCFA">
      <w:pPr>
        <w:bidi w:val="0"/>
      </w:pPr>
    </w:p>
    <w:p w14:paraId="72AD9EDE">
      <w:pPr>
        <w:bidi w:val="0"/>
      </w:pPr>
    </w:p>
    <w:p w14:paraId="21800B61">
      <w:pPr>
        <w:bidi w:val="0"/>
      </w:pPr>
    </w:p>
    <w:p w14:paraId="7AB28850">
      <w:pPr>
        <w:bidi w:val="0"/>
      </w:pPr>
    </w:p>
    <w:p w14:paraId="490A425C">
      <w:pPr>
        <w:bidi w:val="0"/>
      </w:pPr>
    </w:p>
    <w:p w14:paraId="5017B95E">
      <w:pPr>
        <w:bidi w:val="0"/>
      </w:pPr>
    </w:p>
    <w:p w14:paraId="6A6581AC">
      <w:pPr>
        <w:numPr>
          <w:ilvl w:val="0"/>
          <w:numId w:val="2"/>
        </w:numPr>
        <w:spacing w:line="360" w:lineRule="auto"/>
        <w:ind w:left="0" w:leftChars="0" w:firstLine="0" w:firstLineChars="0"/>
        <w:jc w:val="center"/>
        <w:outlineLvl w:val="0"/>
        <w:rPr>
          <w:rFonts w:hint="eastAsia" w:ascii="宋体" w:hAnsi="宋体" w:cs="宋体"/>
          <w:b/>
          <w:bCs/>
          <w:sz w:val="36"/>
          <w:szCs w:val="36"/>
        </w:rPr>
      </w:pPr>
      <w:r>
        <w:rPr>
          <w:rFonts w:hint="eastAsia" w:ascii="宋体" w:hAnsi="宋体" w:cs="宋体"/>
          <w:b/>
          <w:bCs/>
          <w:sz w:val="36"/>
          <w:szCs w:val="36"/>
          <w:lang w:val="en-US" w:eastAsia="zh-CN"/>
        </w:rPr>
        <w:t xml:space="preserve"> </w:t>
      </w:r>
      <w:r>
        <w:rPr>
          <w:rFonts w:hint="eastAsia" w:ascii="宋体" w:hAnsi="宋体" w:cs="宋体"/>
          <w:b/>
          <w:bCs/>
          <w:sz w:val="36"/>
          <w:szCs w:val="36"/>
        </w:rPr>
        <w:t>投标文件格式</w:t>
      </w:r>
      <w:bookmarkEnd w:id="64"/>
    </w:p>
    <w:p w14:paraId="7177903C">
      <w:pPr>
        <w:spacing w:line="360" w:lineRule="auto"/>
        <w:jc w:val="center"/>
        <w:rPr>
          <w:rFonts w:ascii="宋体" w:hAnsi="宋体"/>
          <w:b/>
          <w:sz w:val="36"/>
        </w:rPr>
      </w:pPr>
    </w:p>
    <w:p w14:paraId="777A368D">
      <w:pPr>
        <w:pStyle w:val="6"/>
        <w:spacing w:line="480" w:lineRule="exact"/>
        <w:rPr>
          <w:rFonts w:ascii="宋体" w:hAnsi="宋体" w:eastAsia="宋体" w:cs="宋体"/>
          <w:b/>
          <w:sz w:val="24"/>
        </w:rPr>
      </w:pPr>
      <w:r>
        <w:rPr>
          <w:rFonts w:hint="eastAsia" w:ascii="宋体" w:hAnsi="宋体" w:eastAsia="宋体" w:cs="宋体"/>
          <w:b/>
          <w:sz w:val="24"/>
        </w:rPr>
        <w:t>注:</w:t>
      </w:r>
    </w:p>
    <w:p w14:paraId="4F061A4E">
      <w:pPr>
        <w:pStyle w:val="6"/>
        <w:spacing w:line="480" w:lineRule="exact"/>
        <w:rPr>
          <w:rFonts w:ascii="宋体" w:hAnsi="宋体" w:eastAsia="宋体" w:cs="宋体"/>
          <w:b/>
          <w:sz w:val="24"/>
        </w:rPr>
      </w:pPr>
      <w:r>
        <w:rPr>
          <w:rFonts w:hint="eastAsia" w:ascii="宋体" w:hAnsi="宋体" w:eastAsia="宋体" w:cs="宋体"/>
          <w:b/>
          <w:sz w:val="24"/>
        </w:rPr>
        <w:t>1、本附件格式分第一册“技术商务部分格式”和第二册“报价部分格式”两册,胶装时第一册和第二册均须单独胶装。</w:t>
      </w:r>
    </w:p>
    <w:p w14:paraId="5113A511">
      <w:pPr>
        <w:pStyle w:val="6"/>
        <w:spacing w:line="480" w:lineRule="exact"/>
        <w:rPr>
          <w:rFonts w:ascii="宋体" w:hAnsi="宋体" w:eastAsia="宋体" w:cs="宋体"/>
          <w:b/>
          <w:sz w:val="24"/>
        </w:rPr>
      </w:pPr>
      <w:r>
        <w:rPr>
          <w:rFonts w:hint="eastAsia" w:ascii="宋体" w:hAnsi="宋体" w:eastAsia="宋体" w:cs="宋体"/>
          <w:b/>
          <w:sz w:val="24"/>
        </w:rPr>
        <w:t>2、本章格式供投标人制作投标文件时使用,投标人可根据行业特点,结合本次招标技术规格要求,对有关表格进行补充或扩展,但不得对实质性条款作出变动。</w:t>
      </w:r>
    </w:p>
    <w:p w14:paraId="053CD9C7">
      <w:pPr>
        <w:pStyle w:val="6"/>
        <w:spacing w:line="480" w:lineRule="exact"/>
        <w:rPr>
          <w:rFonts w:ascii="宋体" w:hAnsi="宋体" w:eastAsia="宋体" w:cs="宋体"/>
          <w:b/>
          <w:sz w:val="24"/>
        </w:rPr>
      </w:pPr>
      <w:r>
        <w:rPr>
          <w:rFonts w:hint="eastAsia" w:ascii="宋体" w:hAnsi="宋体" w:eastAsia="宋体" w:cs="宋体"/>
          <w:b/>
          <w:sz w:val="24"/>
        </w:rPr>
        <w:t>3、</w:t>
      </w:r>
      <w:r>
        <w:rPr>
          <w:rFonts w:hint="eastAsia" w:ascii="宋体" w:hAnsi="宋体" w:eastAsia="宋体" w:cs="宋体"/>
          <w:b/>
          <w:sz w:val="24"/>
          <w:u w:val="double"/>
        </w:rPr>
        <w:t>投标人必须将技术商务部分和报价部分分别单独胶装，密封投标，且技术商务部分中不得出现投标报价的信息，否则该投标人将被视为无效投标。</w:t>
      </w:r>
    </w:p>
    <w:p w14:paraId="3629451B">
      <w:pPr>
        <w:pStyle w:val="6"/>
        <w:spacing w:line="360" w:lineRule="auto"/>
        <w:rPr>
          <w:rFonts w:ascii="宋体" w:hAnsi="宋体" w:eastAsia="宋体"/>
          <w:b/>
          <w:szCs w:val="30"/>
        </w:rPr>
      </w:pPr>
    </w:p>
    <w:p w14:paraId="1F42EDF8">
      <w:pPr>
        <w:rPr>
          <w:rFonts w:ascii="宋体" w:hAnsi="宋体"/>
          <w:sz w:val="24"/>
        </w:rPr>
      </w:pPr>
    </w:p>
    <w:p w14:paraId="25052025">
      <w:pPr>
        <w:rPr>
          <w:rFonts w:ascii="宋体" w:hAnsi="宋体"/>
          <w:sz w:val="24"/>
        </w:rPr>
      </w:pPr>
    </w:p>
    <w:p w14:paraId="47F1D0F8">
      <w:pPr>
        <w:rPr>
          <w:rFonts w:ascii="宋体" w:hAnsi="宋体"/>
          <w:sz w:val="24"/>
        </w:rPr>
      </w:pPr>
    </w:p>
    <w:p w14:paraId="639BA010">
      <w:pPr>
        <w:rPr>
          <w:rFonts w:ascii="宋体" w:hAnsi="宋体"/>
          <w:sz w:val="24"/>
        </w:rPr>
      </w:pPr>
    </w:p>
    <w:p w14:paraId="0594DE5C">
      <w:pPr>
        <w:rPr>
          <w:rFonts w:ascii="宋体" w:hAnsi="宋体"/>
          <w:sz w:val="24"/>
        </w:rPr>
      </w:pPr>
    </w:p>
    <w:p w14:paraId="0CA1084D">
      <w:pPr>
        <w:pStyle w:val="7"/>
        <w:spacing w:line="1200" w:lineRule="exact"/>
        <w:ind w:firstLine="0"/>
        <w:jc w:val="center"/>
        <w:rPr>
          <w:b/>
          <w:bCs/>
          <w:sz w:val="84"/>
          <w:szCs w:val="84"/>
        </w:rPr>
      </w:pPr>
    </w:p>
    <w:p w14:paraId="3B47D8EB">
      <w:pPr>
        <w:pStyle w:val="7"/>
        <w:spacing w:line="1200" w:lineRule="exact"/>
        <w:ind w:firstLine="0"/>
        <w:jc w:val="center"/>
        <w:rPr>
          <w:b/>
          <w:bCs/>
          <w:sz w:val="84"/>
          <w:szCs w:val="84"/>
        </w:rPr>
      </w:pPr>
    </w:p>
    <w:p w14:paraId="45AB9225">
      <w:pPr>
        <w:pStyle w:val="7"/>
        <w:spacing w:line="1200" w:lineRule="exact"/>
        <w:ind w:firstLine="0"/>
        <w:jc w:val="right"/>
        <w:rPr>
          <w:rFonts w:hint="eastAsia"/>
          <w:b/>
          <w:bCs/>
          <w:sz w:val="52"/>
          <w:szCs w:val="52"/>
        </w:rPr>
      </w:pPr>
    </w:p>
    <w:p w14:paraId="22BF3BA3">
      <w:pPr>
        <w:pStyle w:val="7"/>
        <w:spacing w:line="1200" w:lineRule="exact"/>
        <w:ind w:firstLine="0"/>
        <w:jc w:val="right"/>
        <w:rPr>
          <w:rFonts w:hint="eastAsia"/>
          <w:b/>
          <w:bCs/>
          <w:sz w:val="52"/>
          <w:szCs w:val="52"/>
        </w:rPr>
      </w:pPr>
    </w:p>
    <w:p w14:paraId="25CE66B7">
      <w:pPr>
        <w:pStyle w:val="7"/>
        <w:spacing w:line="1200" w:lineRule="exact"/>
        <w:ind w:firstLine="0"/>
        <w:jc w:val="right"/>
        <w:rPr>
          <w:rFonts w:hint="eastAsia"/>
          <w:b/>
          <w:bCs/>
          <w:sz w:val="52"/>
          <w:szCs w:val="52"/>
        </w:rPr>
      </w:pPr>
    </w:p>
    <w:p w14:paraId="24605B59">
      <w:pPr>
        <w:pStyle w:val="7"/>
        <w:spacing w:line="1200" w:lineRule="exact"/>
        <w:ind w:firstLine="0"/>
        <w:jc w:val="right"/>
        <w:rPr>
          <w:rFonts w:hint="eastAsia"/>
          <w:b/>
          <w:bCs/>
          <w:sz w:val="52"/>
          <w:szCs w:val="52"/>
        </w:rPr>
      </w:pPr>
    </w:p>
    <w:p w14:paraId="59CD72B3">
      <w:pPr>
        <w:pStyle w:val="7"/>
        <w:spacing w:line="1200" w:lineRule="exact"/>
        <w:ind w:firstLine="0"/>
        <w:jc w:val="right"/>
        <w:rPr>
          <w:b/>
          <w:bCs/>
          <w:sz w:val="52"/>
          <w:szCs w:val="52"/>
        </w:rPr>
      </w:pPr>
      <w:r>
        <w:rPr>
          <w:rFonts w:hint="eastAsia"/>
          <w:b/>
          <w:bCs/>
          <w:sz w:val="52"/>
          <w:szCs w:val="52"/>
        </w:rPr>
        <w:t>正本/副本</w:t>
      </w:r>
    </w:p>
    <w:p w14:paraId="07199DDF">
      <w:pPr>
        <w:pStyle w:val="7"/>
        <w:spacing w:line="1200" w:lineRule="exact"/>
        <w:ind w:firstLine="0"/>
        <w:jc w:val="right"/>
        <w:rPr>
          <w:b/>
          <w:bCs/>
          <w:sz w:val="52"/>
          <w:szCs w:val="52"/>
        </w:rPr>
      </w:pPr>
    </w:p>
    <w:p w14:paraId="7F0D35B2">
      <w:pPr>
        <w:pStyle w:val="7"/>
        <w:spacing w:line="1200" w:lineRule="exact"/>
        <w:ind w:firstLine="0"/>
        <w:jc w:val="center"/>
        <w:rPr>
          <w:b/>
          <w:bCs/>
          <w:sz w:val="84"/>
          <w:szCs w:val="84"/>
        </w:rPr>
      </w:pPr>
      <w:r>
        <w:rPr>
          <w:rFonts w:hint="eastAsia"/>
          <w:b/>
          <w:bCs/>
          <w:sz w:val="84"/>
          <w:szCs w:val="84"/>
        </w:rPr>
        <w:t>投  标  文  件</w:t>
      </w:r>
    </w:p>
    <w:p w14:paraId="749D5BDE">
      <w:pPr>
        <w:pStyle w:val="7"/>
        <w:spacing w:line="1200" w:lineRule="exact"/>
        <w:ind w:firstLine="0"/>
        <w:jc w:val="center"/>
        <w:rPr>
          <w:b/>
          <w:bCs/>
          <w:sz w:val="72"/>
          <w:szCs w:val="72"/>
        </w:rPr>
      </w:pPr>
      <w:r>
        <w:rPr>
          <w:rFonts w:hint="eastAsia"/>
          <w:b/>
          <w:bCs/>
          <w:sz w:val="72"/>
          <w:szCs w:val="72"/>
        </w:rPr>
        <w:t>第一册 技术商务部分</w:t>
      </w:r>
    </w:p>
    <w:p w14:paraId="6852ED41">
      <w:pPr>
        <w:pStyle w:val="7"/>
        <w:ind w:firstLine="0"/>
      </w:pPr>
    </w:p>
    <w:p w14:paraId="6C8D17C7">
      <w:pPr>
        <w:pStyle w:val="8"/>
        <w:spacing w:line="360" w:lineRule="auto"/>
        <w:ind w:firstLine="1428" w:firstLineChars="395"/>
        <w:rPr>
          <w:rFonts w:hAnsi="宋体"/>
          <w:b/>
          <w:sz w:val="36"/>
          <w:szCs w:val="36"/>
          <w:u w:val="single"/>
        </w:rPr>
      </w:pPr>
      <w:r>
        <w:rPr>
          <w:rFonts w:hint="eastAsia" w:hAnsi="宋体"/>
          <w:b/>
          <w:bCs/>
          <w:sz w:val="36"/>
          <w:szCs w:val="36"/>
        </w:rPr>
        <w:t>招标编号：</w:t>
      </w:r>
      <w:r>
        <w:rPr>
          <w:rFonts w:hint="eastAsia" w:hAnsi="宋体"/>
          <w:b/>
          <w:bCs/>
          <w:sz w:val="36"/>
          <w:szCs w:val="36"/>
          <w:u w:val="single"/>
        </w:rPr>
        <w:t xml:space="preserve">               </w:t>
      </w:r>
      <w:r>
        <w:rPr>
          <w:rFonts w:hint="eastAsia" w:hAnsi="宋体"/>
          <w:b/>
          <w:sz w:val="36"/>
          <w:szCs w:val="36"/>
          <w:u w:val="single"/>
        </w:rPr>
        <w:t xml:space="preserve">       </w:t>
      </w:r>
    </w:p>
    <w:p w14:paraId="24037BFC">
      <w:pPr>
        <w:spacing w:line="360" w:lineRule="auto"/>
        <w:ind w:firstLine="1435" w:firstLineChars="397"/>
        <w:rPr>
          <w:rFonts w:ascii="宋体" w:hAnsi="宋体"/>
          <w:b/>
          <w:sz w:val="36"/>
          <w:szCs w:val="36"/>
          <w:u w:val="single"/>
        </w:rPr>
      </w:pPr>
      <w:r>
        <w:rPr>
          <w:rFonts w:hint="eastAsia" w:ascii="宋体" w:hAnsi="宋体"/>
          <w:b/>
          <w:bCs/>
          <w:sz w:val="36"/>
          <w:szCs w:val="36"/>
        </w:rPr>
        <w:t>项目名称</w:t>
      </w:r>
      <w:r>
        <w:rPr>
          <w:rFonts w:hint="eastAsia" w:ascii="宋体" w:hAnsi="宋体"/>
          <w:b/>
          <w:bCs/>
          <w:sz w:val="36"/>
          <w:szCs w:val="36"/>
          <w:u w:val="single"/>
        </w:rPr>
        <w:t>：</w:t>
      </w:r>
      <w:r>
        <w:rPr>
          <w:rFonts w:hint="eastAsia" w:ascii="宋体" w:hAnsi="宋体"/>
          <w:b/>
          <w:sz w:val="36"/>
          <w:szCs w:val="36"/>
          <w:u w:val="single"/>
        </w:rPr>
        <w:t xml:space="preserve">                      </w:t>
      </w:r>
    </w:p>
    <w:p w14:paraId="0E28682C">
      <w:pPr>
        <w:pStyle w:val="8"/>
        <w:spacing w:line="360" w:lineRule="auto"/>
        <w:ind w:firstLine="1428" w:firstLineChars="395"/>
        <w:rPr>
          <w:rFonts w:hAnsi="宋体"/>
          <w:b/>
          <w:sz w:val="36"/>
          <w:szCs w:val="36"/>
          <w:u w:val="single"/>
        </w:rPr>
      </w:pPr>
      <w:r>
        <w:rPr>
          <w:rFonts w:hint="eastAsia" w:hAnsi="宋体"/>
          <w:b/>
          <w:sz w:val="36"/>
          <w:szCs w:val="36"/>
        </w:rPr>
        <w:t>合 同 包：</w:t>
      </w:r>
      <w:r>
        <w:rPr>
          <w:rFonts w:hint="eastAsia" w:hAnsi="宋体"/>
          <w:b/>
          <w:sz w:val="36"/>
          <w:szCs w:val="36"/>
          <w:u w:val="single"/>
        </w:rPr>
        <w:t xml:space="preserve">                      </w:t>
      </w:r>
    </w:p>
    <w:p w14:paraId="7FED45FF">
      <w:pPr>
        <w:pStyle w:val="8"/>
        <w:spacing w:line="360" w:lineRule="auto"/>
        <w:jc w:val="center"/>
        <w:rPr>
          <w:rFonts w:hAnsi="宋体"/>
          <w:b/>
          <w:sz w:val="36"/>
          <w:szCs w:val="36"/>
        </w:rPr>
      </w:pPr>
    </w:p>
    <w:p w14:paraId="4B04F449">
      <w:pPr>
        <w:pStyle w:val="8"/>
        <w:spacing w:line="360" w:lineRule="auto"/>
        <w:jc w:val="center"/>
        <w:rPr>
          <w:rFonts w:hAnsi="宋体"/>
          <w:b/>
          <w:sz w:val="36"/>
          <w:szCs w:val="36"/>
        </w:rPr>
      </w:pPr>
    </w:p>
    <w:p w14:paraId="6C0FD45B">
      <w:pPr>
        <w:pStyle w:val="8"/>
        <w:spacing w:line="360" w:lineRule="auto"/>
        <w:jc w:val="center"/>
        <w:rPr>
          <w:rFonts w:hAnsi="宋体"/>
          <w:b/>
          <w:sz w:val="36"/>
          <w:szCs w:val="36"/>
        </w:rPr>
      </w:pPr>
    </w:p>
    <w:p w14:paraId="1BA84E3C">
      <w:pPr>
        <w:pStyle w:val="8"/>
        <w:spacing w:line="360" w:lineRule="auto"/>
        <w:jc w:val="center"/>
        <w:rPr>
          <w:rFonts w:hAnsi="宋体"/>
          <w:b/>
          <w:sz w:val="36"/>
          <w:szCs w:val="36"/>
        </w:rPr>
      </w:pPr>
    </w:p>
    <w:p w14:paraId="5443CE56">
      <w:pPr>
        <w:pStyle w:val="8"/>
        <w:tabs>
          <w:tab w:val="left" w:pos="1620"/>
        </w:tabs>
        <w:spacing w:line="360" w:lineRule="auto"/>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int="eastAsia" w:hAnsi="宋体"/>
          <w:b/>
          <w:bCs/>
          <w:sz w:val="36"/>
          <w:szCs w:val="36"/>
          <w:u w:val="single"/>
        </w:rPr>
        <w:t xml:space="preserve">           </w:t>
      </w:r>
    </w:p>
    <w:p w14:paraId="3C441FF5">
      <w:pPr>
        <w:pStyle w:val="8"/>
        <w:tabs>
          <w:tab w:val="left" w:pos="1620"/>
        </w:tabs>
        <w:spacing w:line="360" w:lineRule="auto"/>
        <w:ind w:firstLine="1438" w:firstLineChars="398"/>
        <w:rPr>
          <w:rFonts w:hAnsi="宋体"/>
          <w:b/>
          <w:bCs/>
          <w:sz w:val="36"/>
          <w:szCs w:val="36"/>
          <w:u w:val="single"/>
        </w:rPr>
      </w:pPr>
      <w:r>
        <w:rPr>
          <w:rFonts w:hint="eastAsia" w:hAnsi="宋体"/>
          <w:b/>
          <w:bCs/>
          <w:sz w:val="36"/>
          <w:szCs w:val="36"/>
        </w:rPr>
        <w:t>联系电话：</w:t>
      </w:r>
      <w:r>
        <w:rPr>
          <w:rFonts w:hint="eastAsia" w:hAnsi="宋体"/>
          <w:b/>
          <w:bCs/>
          <w:sz w:val="36"/>
          <w:szCs w:val="36"/>
          <w:u w:val="single"/>
        </w:rPr>
        <w:t xml:space="preserve">                      </w:t>
      </w:r>
    </w:p>
    <w:p w14:paraId="1AC13B04">
      <w:pPr>
        <w:pStyle w:val="8"/>
        <w:tabs>
          <w:tab w:val="left" w:pos="1620"/>
        </w:tabs>
        <w:spacing w:line="360" w:lineRule="auto"/>
        <w:ind w:firstLine="1438" w:firstLineChars="398"/>
        <w:rPr>
          <w:rFonts w:hAnsi="宋体"/>
          <w:b/>
          <w:bCs/>
          <w:sz w:val="36"/>
          <w:szCs w:val="36"/>
        </w:rPr>
      </w:pPr>
      <w:r>
        <w:rPr>
          <w:rFonts w:hint="eastAsia" w:hAnsi="宋体"/>
          <w:b/>
          <w:bCs/>
          <w:sz w:val="36"/>
          <w:szCs w:val="36"/>
        </w:rPr>
        <w:t>授权代表人（签字）：</w:t>
      </w:r>
      <w:r>
        <w:rPr>
          <w:rFonts w:hint="eastAsia" w:hAnsi="宋体"/>
          <w:b/>
          <w:bCs/>
          <w:sz w:val="36"/>
          <w:szCs w:val="36"/>
          <w:u w:val="single"/>
        </w:rPr>
        <w:t xml:space="preserve">            </w:t>
      </w:r>
    </w:p>
    <w:p w14:paraId="35A83644">
      <w:pPr>
        <w:pStyle w:val="8"/>
        <w:tabs>
          <w:tab w:val="left" w:pos="1620"/>
        </w:tabs>
        <w:spacing w:line="360" w:lineRule="auto"/>
        <w:ind w:firstLine="1438" w:firstLineChars="398"/>
        <w:rPr>
          <w:rFonts w:hAnsi="宋体"/>
          <w:b/>
          <w:bCs/>
          <w:sz w:val="36"/>
          <w:szCs w:val="36"/>
        </w:rPr>
      </w:pPr>
      <w:r>
        <w:rPr>
          <w:rFonts w:hint="eastAsia" w:hAnsi="宋体"/>
          <w:b/>
          <w:bCs/>
          <w:sz w:val="36"/>
          <w:szCs w:val="36"/>
        </w:rPr>
        <w:t>联系地址：</w:t>
      </w:r>
      <w:r>
        <w:rPr>
          <w:rFonts w:hint="eastAsia" w:hAnsi="宋体"/>
          <w:b/>
          <w:bCs/>
          <w:sz w:val="36"/>
          <w:szCs w:val="36"/>
          <w:u w:val="single"/>
        </w:rPr>
        <w:t xml:space="preserve">                    </w:t>
      </w:r>
      <w:r>
        <w:rPr>
          <w:rFonts w:hint="eastAsia" w:hAnsi="宋体"/>
          <w:b/>
          <w:bCs/>
          <w:sz w:val="36"/>
          <w:szCs w:val="36"/>
        </w:rPr>
        <w:t xml:space="preserve">   </w:t>
      </w:r>
    </w:p>
    <w:p w14:paraId="6CA55FBF">
      <w:pPr>
        <w:pStyle w:val="8"/>
        <w:tabs>
          <w:tab w:val="left" w:pos="1620"/>
        </w:tabs>
        <w:spacing w:line="360" w:lineRule="auto"/>
        <w:ind w:firstLine="1428" w:firstLineChars="395"/>
        <w:rPr>
          <w:rFonts w:hAnsi="宋体"/>
          <w:b/>
          <w:sz w:val="36"/>
          <w:szCs w:val="36"/>
          <w:u w:val="single"/>
        </w:rPr>
      </w:pPr>
      <w:r>
        <w:rPr>
          <w:rFonts w:hint="eastAsia" w:hAnsi="宋体"/>
          <w:b/>
          <w:sz w:val="36"/>
          <w:szCs w:val="36"/>
        </w:rPr>
        <w:t>日   期：</w:t>
      </w:r>
      <w:r>
        <w:rPr>
          <w:rFonts w:hint="eastAsia" w:hAnsi="宋体"/>
          <w:b/>
          <w:sz w:val="36"/>
          <w:szCs w:val="36"/>
          <w:u w:val="single"/>
        </w:rPr>
        <w:t xml:space="preserve">     年   月    日</w:t>
      </w:r>
    </w:p>
    <w:p w14:paraId="2153E0D4">
      <w:pPr>
        <w:spacing w:line="360" w:lineRule="auto"/>
        <w:rPr>
          <w:rFonts w:ascii="宋体" w:hAnsi="宋体"/>
          <w:sz w:val="24"/>
        </w:rPr>
      </w:pPr>
    </w:p>
    <w:p w14:paraId="0C15F9F4">
      <w:pPr>
        <w:pStyle w:val="2"/>
        <w:rPr>
          <w:rFonts w:ascii="宋体" w:hAnsi="宋体"/>
          <w:sz w:val="24"/>
        </w:rPr>
      </w:pPr>
    </w:p>
    <w:p w14:paraId="6AA7F1C7">
      <w:pPr>
        <w:spacing w:line="360" w:lineRule="auto"/>
        <w:rPr>
          <w:rFonts w:ascii="宋体" w:hAnsi="宋体"/>
          <w:sz w:val="24"/>
        </w:rPr>
      </w:pPr>
    </w:p>
    <w:p w14:paraId="2A4A6E4A">
      <w:pPr>
        <w:pStyle w:val="7"/>
        <w:spacing w:line="360" w:lineRule="auto"/>
        <w:ind w:firstLine="0"/>
        <w:jc w:val="center"/>
        <w:rPr>
          <w:b/>
          <w:bCs/>
          <w:sz w:val="32"/>
          <w:szCs w:val="32"/>
        </w:rPr>
      </w:pPr>
      <w:r>
        <w:rPr>
          <w:rFonts w:hint="eastAsia"/>
          <w:b/>
          <w:bCs/>
          <w:sz w:val="32"/>
          <w:szCs w:val="32"/>
        </w:rPr>
        <w:t>第一册 技术商务部分</w:t>
      </w:r>
    </w:p>
    <w:p w14:paraId="62187F78">
      <w:pPr>
        <w:pStyle w:val="4"/>
        <w:snapToGrid w:val="0"/>
        <w:spacing w:line="420" w:lineRule="atLeast"/>
        <w:ind w:left="-2" w:leftChars="-1" w:firstLine="0" w:firstLineChars="0"/>
        <w:jc w:val="center"/>
        <w:rPr>
          <w:rFonts w:ascii="宋体" w:hAnsi="宋体"/>
          <w:b/>
          <w:bCs/>
          <w:sz w:val="36"/>
          <w:szCs w:val="36"/>
        </w:rPr>
      </w:pPr>
    </w:p>
    <w:p w14:paraId="239C7C1D">
      <w:pPr>
        <w:pStyle w:val="4"/>
        <w:snapToGrid w:val="0"/>
        <w:spacing w:line="420" w:lineRule="atLeast"/>
        <w:ind w:left="-2" w:leftChars="-1" w:firstLine="0" w:firstLineChars="0"/>
        <w:jc w:val="center"/>
        <w:rPr>
          <w:rFonts w:ascii="宋体" w:hAnsi="宋体"/>
        </w:rPr>
      </w:pPr>
      <w:r>
        <w:rPr>
          <w:rFonts w:hint="eastAsia" w:ascii="宋体" w:hAnsi="宋体"/>
          <w:b/>
          <w:bCs/>
          <w:sz w:val="36"/>
          <w:szCs w:val="36"/>
        </w:rPr>
        <w:t>目    录</w:t>
      </w:r>
    </w:p>
    <w:p w14:paraId="253BC610">
      <w:pPr>
        <w:spacing w:line="480" w:lineRule="exact"/>
        <w:rPr>
          <w:rFonts w:ascii="宋体" w:hAnsi="宋体"/>
          <w:sz w:val="24"/>
        </w:rPr>
      </w:pPr>
    </w:p>
    <w:p w14:paraId="5CFE38AA">
      <w:pPr>
        <w:spacing w:line="360" w:lineRule="auto"/>
        <w:rPr>
          <w:rFonts w:ascii="宋体" w:hAnsi="宋体" w:cs="宋体"/>
          <w:bCs/>
          <w:sz w:val="24"/>
        </w:rPr>
      </w:pPr>
      <w:r>
        <w:rPr>
          <w:rFonts w:hint="eastAsia" w:ascii="宋体" w:hAnsi="宋体" w:cs="宋体"/>
          <w:bCs/>
          <w:sz w:val="24"/>
        </w:rPr>
        <w:t>一、投标人的资格证明文件</w:t>
      </w:r>
    </w:p>
    <w:p w14:paraId="107470C1">
      <w:pPr>
        <w:spacing w:line="360" w:lineRule="auto"/>
        <w:rPr>
          <w:rFonts w:ascii="宋体" w:hAnsi="宋体" w:cs="宋体"/>
          <w:bCs/>
          <w:sz w:val="24"/>
        </w:rPr>
      </w:pPr>
      <w:r>
        <w:rPr>
          <w:rFonts w:hint="eastAsia" w:ascii="宋体" w:hAnsi="宋体" w:cs="宋体"/>
          <w:bCs/>
          <w:sz w:val="24"/>
        </w:rPr>
        <w:t>1、投标函</w:t>
      </w:r>
    </w:p>
    <w:p w14:paraId="26BC7AD3">
      <w:pPr>
        <w:spacing w:line="360" w:lineRule="auto"/>
        <w:rPr>
          <w:rFonts w:ascii="宋体" w:hAnsi="宋体" w:cs="宋体"/>
          <w:bCs/>
          <w:sz w:val="24"/>
        </w:rPr>
      </w:pPr>
      <w:r>
        <w:rPr>
          <w:rFonts w:hint="eastAsia" w:ascii="宋体" w:hAnsi="宋体" w:cs="宋体"/>
          <w:bCs/>
          <w:sz w:val="24"/>
        </w:rPr>
        <w:t>2、关于资格的声明函</w:t>
      </w:r>
    </w:p>
    <w:p w14:paraId="10BA5AF1">
      <w:pPr>
        <w:spacing w:line="360" w:lineRule="auto"/>
        <w:rPr>
          <w:rFonts w:ascii="宋体" w:hAnsi="宋体" w:cs="宋体"/>
          <w:bCs/>
          <w:sz w:val="24"/>
        </w:rPr>
      </w:pPr>
      <w:r>
        <w:rPr>
          <w:rFonts w:hint="eastAsia" w:ascii="宋体" w:hAnsi="宋体" w:cs="宋体"/>
          <w:bCs/>
          <w:sz w:val="24"/>
        </w:rPr>
        <w:t>3、投标人的资格声明</w:t>
      </w:r>
    </w:p>
    <w:p w14:paraId="4AF12F78">
      <w:pPr>
        <w:spacing w:line="360" w:lineRule="auto"/>
        <w:jc w:val="left"/>
        <w:rPr>
          <w:rFonts w:ascii="宋体" w:hAnsi="宋体" w:cs="宋体"/>
          <w:bCs/>
          <w:sz w:val="24"/>
        </w:rPr>
      </w:pPr>
      <w:r>
        <w:rPr>
          <w:rFonts w:hint="eastAsia" w:ascii="宋体" w:hAnsi="宋体" w:cs="宋体"/>
          <w:bCs/>
          <w:sz w:val="24"/>
        </w:rPr>
        <w:t>4、投标人的资格证明材料</w:t>
      </w:r>
    </w:p>
    <w:p w14:paraId="1E6A65A5">
      <w:pPr>
        <w:pStyle w:val="23"/>
        <w:spacing w:line="360" w:lineRule="auto"/>
        <w:jc w:val="left"/>
        <w:outlineLvl w:val="9"/>
        <w:rPr>
          <w:rFonts w:hAnsi="宋体" w:cs="宋体"/>
          <w:bCs/>
          <w:sz w:val="24"/>
        </w:rPr>
      </w:pPr>
      <w:r>
        <w:rPr>
          <w:rFonts w:hint="eastAsia" w:hAnsi="宋体" w:cs="宋体"/>
          <w:bCs/>
          <w:sz w:val="24"/>
        </w:rPr>
        <w:t>4.1合格有效的营业执照复印件</w:t>
      </w:r>
    </w:p>
    <w:p w14:paraId="09151F49">
      <w:pPr>
        <w:pStyle w:val="23"/>
        <w:spacing w:line="360" w:lineRule="auto"/>
        <w:jc w:val="left"/>
        <w:outlineLvl w:val="9"/>
        <w:rPr>
          <w:rFonts w:hAnsi="宋体" w:cs="宋体"/>
          <w:bCs/>
          <w:sz w:val="24"/>
        </w:rPr>
      </w:pPr>
      <w:r>
        <w:rPr>
          <w:rFonts w:hint="eastAsia" w:hAnsi="宋体" w:cs="宋体"/>
          <w:bCs/>
          <w:sz w:val="24"/>
        </w:rPr>
        <w:t>4.2单位负责人授权书</w:t>
      </w:r>
    </w:p>
    <w:p w14:paraId="516F7A93">
      <w:pPr>
        <w:pStyle w:val="23"/>
        <w:spacing w:line="360" w:lineRule="auto"/>
        <w:jc w:val="left"/>
        <w:outlineLvl w:val="9"/>
        <w:rPr>
          <w:rFonts w:hAnsi="宋体" w:cs="宋体"/>
          <w:bCs/>
          <w:sz w:val="24"/>
        </w:rPr>
      </w:pPr>
      <w:r>
        <w:rPr>
          <w:rFonts w:hint="eastAsia" w:hAnsi="宋体" w:cs="宋体"/>
          <w:bCs/>
          <w:sz w:val="24"/>
        </w:rPr>
        <w:t>4.3投标人财务状况报告、依法缴纳税收和社会保障资金的相关材料</w:t>
      </w:r>
    </w:p>
    <w:p w14:paraId="5F728117">
      <w:pPr>
        <w:pStyle w:val="23"/>
        <w:spacing w:line="360" w:lineRule="auto"/>
        <w:jc w:val="left"/>
        <w:outlineLvl w:val="9"/>
        <w:rPr>
          <w:rFonts w:hAnsi="宋体" w:cs="宋体"/>
          <w:bCs/>
          <w:sz w:val="24"/>
        </w:rPr>
      </w:pPr>
      <w:r>
        <w:rPr>
          <w:rFonts w:hint="eastAsia" w:hAnsi="宋体" w:cs="宋体"/>
          <w:bCs/>
          <w:sz w:val="24"/>
        </w:rPr>
        <w:t>4.4声明函及承诺函</w:t>
      </w:r>
    </w:p>
    <w:p w14:paraId="208AE95C">
      <w:pPr>
        <w:spacing w:line="360" w:lineRule="auto"/>
        <w:rPr>
          <w:rFonts w:ascii="宋体" w:hAnsi="宋体" w:cs="宋体"/>
          <w:bCs/>
          <w:sz w:val="24"/>
        </w:rPr>
      </w:pPr>
      <w:r>
        <w:rPr>
          <w:rFonts w:hint="eastAsia" w:ascii="宋体" w:hAnsi="宋体" w:cs="宋体"/>
          <w:bCs/>
          <w:sz w:val="24"/>
        </w:rPr>
        <w:t>4.5投标人廉政承诺书</w:t>
      </w:r>
    </w:p>
    <w:p w14:paraId="72702B9C">
      <w:pPr>
        <w:spacing w:line="360" w:lineRule="auto"/>
        <w:rPr>
          <w:rFonts w:ascii="宋体" w:hAnsi="宋体" w:cs="宋体"/>
          <w:bCs/>
          <w:sz w:val="24"/>
        </w:rPr>
      </w:pPr>
      <w:r>
        <w:rPr>
          <w:rFonts w:hint="eastAsia" w:ascii="宋体" w:hAnsi="宋体" w:cs="宋体"/>
          <w:bCs/>
          <w:sz w:val="24"/>
        </w:rPr>
        <w:t>4.6招标服务费承诺书</w:t>
      </w:r>
    </w:p>
    <w:p w14:paraId="780BE0D4">
      <w:pPr>
        <w:spacing w:line="360" w:lineRule="auto"/>
        <w:rPr>
          <w:rFonts w:ascii="宋体" w:hAnsi="宋体" w:cs="宋体"/>
          <w:bCs/>
          <w:sz w:val="24"/>
        </w:rPr>
      </w:pPr>
      <w:r>
        <w:rPr>
          <w:rFonts w:hint="eastAsia" w:ascii="宋体" w:hAnsi="宋体" w:cs="宋体"/>
          <w:bCs/>
          <w:sz w:val="24"/>
        </w:rPr>
        <w:t>4.7投标保证金复印件</w:t>
      </w:r>
    </w:p>
    <w:p w14:paraId="3BEC3FF9">
      <w:pPr>
        <w:spacing w:line="360" w:lineRule="auto"/>
        <w:rPr>
          <w:rFonts w:ascii="宋体" w:hAnsi="宋体" w:cs="宋体"/>
          <w:bCs/>
          <w:sz w:val="24"/>
        </w:rPr>
      </w:pPr>
      <w:r>
        <w:rPr>
          <w:rFonts w:hint="eastAsia" w:ascii="宋体" w:hAnsi="宋体" w:cs="宋体"/>
          <w:bCs/>
          <w:sz w:val="24"/>
        </w:rPr>
        <w:t>4.8招标文件规定的其他资格证明材料</w:t>
      </w:r>
    </w:p>
    <w:p w14:paraId="260C7A13">
      <w:pPr>
        <w:spacing w:line="360" w:lineRule="auto"/>
        <w:rPr>
          <w:rFonts w:ascii="宋体" w:hAnsi="宋体" w:cs="宋体"/>
          <w:bCs/>
          <w:sz w:val="24"/>
        </w:rPr>
      </w:pPr>
      <w:r>
        <w:rPr>
          <w:rFonts w:hint="eastAsia" w:ascii="宋体" w:hAnsi="宋体" w:cs="宋体"/>
          <w:bCs/>
          <w:sz w:val="24"/>
        </w:rPr>
        <w:t>二、技术商务部分</w:t>
      </w:r>
    </w:p>
    <w:p w14:paraId="4D96A486">
      <w:pPr>
        <w:pStyle w:val="11"/>
        <w:spacing w:before="0" w:beforeAutospacing="0" w:after="0" w:afterAutospacing="0" w:line="360" w:lineRule="auto"/>
        <w:rPr>
          <w:bCs/>
        </w:rPr>
      </w:pPr>
      <w:r>
        <w:rPr>
          <w:rFonts w:hint="eastAsia"/>
          <w:bCs/>
        </w:rPr>
        <w:t>1、标的说明一览表</w:t>
      </w:r>
    </w:p>
    <w:p w14:paraId="0917A019">
      <w:pPr>
        <w:pStyle w:val="11"/>
        <w:spacing w:before="0" w:beforeAutospacing="0" w:after="0" w:afterAutospacing="0" w:line="360" w:lineRule="auto"/>
        <w:rPr>
          <w:bCs/>
          <w:kern w:val="2"/>
        </w:rPr>
      </w:pPr>
      <w:r>
        <w:rPr>
          <w:rFonts w:hint="eastAsia"/>
          <w:bCs/>
        </w:rPr>
        <w:t>2</w:t>
      </w:r>
      <w:r>
        <w:rPr>
          <w:rFonts w:hint="eastAsia"/>
          <w:bCs/>
          <w:kern w:val="2"/>
        </w:rPr>
        <w:t>、技术和服务要求响应表</w:t>
      </w:r>
    </w:p>
    <w:p w14:paraId="764E821F">
      <w:pPr>
        <w:pStyle w:val="11"/>
        <w:spacing w:before="0" w:beforeAutospacing="0" w:after="0" w:afterAutospacing="0" w:line="360" w:lineRule="auto"/>
        <w:rPr>
          <w:bCs/>
          <w:kern w:val="2"/>
        </w:rPr>
      </w:pPr>
      <w:r>
        <w:rPr>
          <w:rFonts w:hint="eastAsia"/>
          <w:bCs/>
          <w:kern w:val="2"/>
        </w:rPr>
        <w:t>3、商务条件响应表</w:t>
      </w:r>
    </w:p>
    <w:p w14:paraId="65BB5321">
      <w:pPr>
        <w:spacing w:line="360" w:lineRule="auto"/>
      </w:pPr>
      <w:r>
        <w:rPr>
          <w:rFonts w:hint="eastAsia" w:ascii="宋体" w:hAnsi="宋体" w:cs="宋体"/>
          <w:bCs/>
          <w:sz w:val="24"/>
        </w:rPr>
        <w:t>4、投标人认为应提交的其他资料</w:t>
      </w:r>
    </w:p>
    <w:p w14:paraId="51B0D05B">
      <w:pPr>
        <w:spacing w:line="480" w:lineRule="exact"/>
        <w:rPr>
          <w:rFonts w:ascii="宋体" w:hAnsi="宋体"/>
          <w:b/>
          <w:sz w:val="24"/>
        </w:rPr>
      </w:pPr>
    </w:p>
    <w:p w14:paraId="1CD2FEA0">
      <w:pPr>
        <w:spacing w:line="480" w:lineRule="exact"/>
        <w:rPr>
          <w:rFonts w:ascii="宋体" w:hAnsi="宋体"/>
          <w:b/>
          <w:sz w:val="24"/>
        </w:rPr>
      </w:pPr>
    </w:p>
    <w:p w14:paraId="4E5F6702">
      <w:pPr>
        <w:spacing w:line="480" w:lineRule="exact"/>
        <w:ind w:firstLine="601"/>
        <w:rPr>
          <w:rFonts w:ascii="宋体" w:hAnsi="宋体"/>
          <w:b/>
          <w:sz w:val="24"/>
        </w:rPr>
      </w:pPr>
      <w:r>
        <w:rPr>
          <w:rFonts w:hint="eastAsia" w:ascii="宋体" w:hAnsi="宋体"/>
          <w:b/>
          <w:sz w:val="24"/>
        </w:rPr>
        <w:t>注：须编制目录、页码</w:t>
      </w:r>
    </w:p>
    <w:p w14:paraId="5C4D6881">
      <w:pPr>
        <w:spacing w:line="0" w:lineRule="atLeast"/>
        <w:ind w:firstLine="600"/>
        <w:rPr>
          <w:rFonts w:ascii="宋体" w:hAnsi="宋体"/>
          <w:b/>
          <w:szCs w:val="21"/>
        </w:rPr>
      </w:pPr>
    </w:p>
    <w:p w14:paraId="3B3C2ABD">
      <w:pPr>
        <w:spacing w:line="380" w:lineRule="exact"/>
        <w:jc w:val="center"/>
        <w:rPr>
          <w:rFonts w:ascii="宋体" w:hAnsi="宋体"/>
          <w:b/>
          <w:sz w:val="36"/>
        </w:rPr>
      </w:pPr>
    </w:p>
    <w:p w14:paraId="6709ADF8">
      <w:pPr>
        <w:spacing w:line="380" w:lineRule="exact"/>
        <w:jc w:val="center"/>
        <w:rPr>
          <w:rFonts w:ascii="宋体" w:hAnsi="宋体"/>
        </w:rPr>
      </w:pPr>
      <w:r>
        <w:rPr>
          <w:rFonts w:hAnsi="宋体"/>
          <w:b/>
          <w:sz w:val="36"/>
        </w:rPr>
        <w:br w:type="page"/>
      </w:r>
      <w:r>
        <w:rPr>
          <w:rFonts w:hint="eastAsia" w:hAnsi="宋体"/>
          <w:b/>
          <w:sz w:val="36"/>
        </w:rPr>
        <w:t>一、</w:t>
      </w:r>
      <w:r>
        <w:rPr>
          <w:rFonts w:hint="eastAsia" w:ascii="宋体" w:hAnsi="宋体"/>
          <w:b/>
          <w:sz w:val="36"/>
        </w:rPr>
        <w:t>投标人的资格证明文件</w:t>
      </w:r>
    </w:p>
    <w:p w14:paraId="38859C5B">
      <w:pPr>
        <w:pStyle w:val="23"/>
        <w:outlineLvl w:val="9"/>
        <w:rPr>
          <w:rFonts w:hAnsi="宋体"/>
        </w:rPr>
      </w:pPr>
    </w:p>
    <w:p w14:paraId="2EAFCEEC">
      <w:pPr>
        <w:pStyle w:val="23"/>
        <w:spacing w:line="480" w:lineRule="exact"/>
        <w:jc w:val="center"/>
        <w:outlineLvl w:val="9"/>
        <w:rPr>
          <w:rFonts w:hAnsi="宋体"/>
          <w:b/>
          <w:sz w:val="36"/>
        </w:rPr>
      </w:pPr>
      <w:bookmarkStart w:id="73" w:name="_Toc462994808"/>
      <w:bookmarkStart w:id="74" w:name="_Toc467163878"/>
      <w:bookmarkStart w:id="75" w:name="_Toc462989268"/>
      <w:bookmarkStart w:id="76" w:name="_Toc459798546"/>
      <w:bookmarkStart w:id="77" w:name="_Toc462990138"/>
      <w:r>
        <w:rPr>
          <w:rFonts w:hint="eastAsia" w:hAnsi="宋体"/>
          <w:b/>
          <w:sz w:val="36"/>
        </w:rPr>
        <w:t xml:space="preserve">1、投 标 </w:t>
      </w:r>
      <w:bookmarkEnd w:id="73"/>
      <w:bookmarkEnd w:id="74"/>
      <w:bookmarkEnd w:id="75"/>
      <w:bookmarkEnd w:id="76"/>
      <w:bookmarkEnd w:id="77"/>
      <w:r>
        <w:rPr>
          <w:rFonts w:hint="eastAsia" w:hAnsi="宋体"/>
          <w:b/>
          <w:sz w:val="36"/>
        </w:rPr>
        <w:t>函</w:t>
      </w:r>
    </w:p>
    <w:p w14:paraId="03DD1B8F">
      <w:pPr>
        <w:tabs>
          <w:tab w:val="left" w:pos="5940"/>
        </w:tabs>
        <w:spacing w:line="480" w:lineRule="exact"/>
        <w:rPr>
          <w:rFonts w:ascii="宋体" w:hAnsi="宋体"/>
          <w:sz w:val="24"/>
        </w:rPr>
      </w:pPr>
      <w:r>
        <w:rPr>
          <w:rFonts w:hint="eastAsia" w:ascii="宋体" w:hAnsi="宋体"/>
          <w:sz w:val="24"/>
        </w:rPr>
        <w:t>致：</w:t>
      </w:r>
      <w:r>
        <w:rPr>
          <w:rFonts w:hint="eastAsia" w:ascii="宋体" w:hAnsi="宋体"/>
          <w:sz w:val="24"/>
          <w:u w:val="single"/>
        </w:rPr>
        <w:t xml:space="preserve">  福建省宏瑞招标代理有限公司  </w:t>
      </w:r>
    </w:p>
    <w:p w14:paraId="2E1E720F">
      <w:pPr>
        <w:spacing w:line="48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项目的投标邀请（招标编号）： </w:t>
      </w:r>
      <w:r>
        <w:rPr>
          <w:rFonts w:hint="eastAsia" w:ascii="宋体" w:hAnsi="宋体"/>
          <w:sz w:val="24"/>
          <w:u w:val="single"/>
        </w:rPr>
        <w:t xml:space="preserve">        </w:t>
      </w:r>
      <w:r>
        <w:rPr>
          <w:rFonts w:hint="eastAsia" w:ascii="宋体" w:hAnsi="宋体"/>
          <w:sz w:val="24"/>
        </w:rPr>
        <w:t>，本签名代表</w:t>
      </w:r>
      <w:r>
        <w:rPr>
          <w:rFonts w:hint="eastAsia" w:ascii="宋体" w:hAnsi="宋体"/>
          <w:sz w:val="24"/>
          <w:u w:val="single"/>
        </w:rPr>
        <w:t>（全名、职务）</w:t>
      </w:r>
      <w:r>
        <w:rPr>
          <w:rFonts w:hint="eastAsia" w:ascii="宋体" w:hAnsi="宋体"/>
          <w:sz w:val="24"/>
        </w:rPr>
        <w:t>正式被授权并代表投标人</w:t>
      </w:r>
      <w:r>
        <w:rPr>
          <w:rFonts w:hint="eastAsia" w:ascii="宋体" w:hAnsi="宋体"/>
          <w:sz w:val="24"/>
          <w:u w:val="single"/>
        </w:rPr>
        <w:t>（投标人名称、地址）</w:t>
      </w:r>
      <w:r>
        <w:rPr>
          <w:rFonts w:hint="eastAsia" w:ascii="宋体" w:hAnsi="宋体"/>
          <w:sz w:val="24"/>
        </w:rPr>
        <w:t>提交下述文件正本一份和副本五份。</w:t>
      </w:r>
    </w:p>
    <w:p w14:paraId="07C18D6C">
      <w:pPr>
        <w:spacing w:line="480" w:lineRule="exact"/>
        <w:rPr>
          <w:rFonts w:ascii="宋体" w:hAnsi="宋体"/>
          <w:b/>
          <w:sz w:val="24"/>
        </w:rPr>
      </w:pPr>
      <w:r>
        <w:rPr>
          <w:rFonts w:hint="eastAsia" w:ascii="宋体" w:hAnsi="宋体"/>
          <w:b/>
          <w:sz w:val="24"/>
        </w:rPr>
        <w:t>（一）第一册  技术商务文件</w:t>
      </w:r>
    </w:p>
    <w:p w14:paraId="07C9FFCC">
      <w:pPr>
        <w:spacing w:line="480" w:lineRule="exact"/>
        <w:rPr>
          <w:rFonts w:ascii="宋体" w:hAnsi="宋体"/>
          <w:b/>
          <w:sz w:val="24"/>
        </w:rPr>
      </w:pPr>
      <w:r>
        <w:rPr>
          <w:rFonts w:hint="eastAsia" w:ascii="宋体" w:hAnsi="宋体"/>
          <w:b/>
          <w:sz w:val="24"/>
        </w:rPr>
        <w:t>（二）第二册  报价文件</w:t>
      </w:r>
    </w:p>
    <w:p w14:paraId="2B02F479">
      <w:pPr>
        <w:spacing w:line="480" w:lineRule="exact"/>
        <w:ind w:firstLine="240" w:firstLineChars="100"/>
        <w:rPr>
          <w:rFonts w:ascii="宋体" w:hAnsi="宋体"/>
          <w:sz w:val="24"/>
        </w:rPr>
      </w:pPr>
      <w:r>
        <w:rPr>
          <w:rFonts w:hint="eastAsia" w:ascii="宋体" w:hAnsi="宋体"/>
          <w:sz w:val="24"/>
        </w:rPr>
        <w:t>合同包1：以</w:t>
      </w:r>
      <w:r>
        <w:rPr>
          <w:rFonts w:hint="eastAsia" w:ascii="宋体" w:hAnsi="宋体"/>
          <w:sz w:val="24"/>
          <w:u w:val="single"/>
        </w:rPr>
        <w:t xml:space="preserve">      </w:t>
      </w:r>
      <w:r>
        <w:rPr>
          <w:rFonts w:hint="eastAsia" w:ascii="宋体" w:hAnsi="宋体"/>
          <w:sz w:val="24"/>
        </w:rPr>
        <w:t>方式提供的金额为人民币</w:t>
      </w:r>
      <w:r>
        <w:rPr>
          <w:rFonts w:hint="eastAsia" w:ascii="宋体" w:hAnsi="宋体"/>
          <w:sz w:val="24"/>
          <w:u w:val="single"/>
        </w:rPr>
        <w:t xml:space="preserve">       </w:t>
      </w:r>
      <w:r>
        <w:rPr>
          <w:rFonts w:hint="eastAsia" w:ascii="宋体" w:hAnsi="宋体"/>
          <w:sz w:val="24"/>
        </w:rPr>
        <w:t>元的投标保证金</w:t>
      </w:r>
    </w:p>
    <w:p w14:paraId="71268EC8">
      <w:pPr>
        <w:spacing w:line="480" w:lineRule="exact"/>
        <w:rPr>
          <w:rFonts w:ascii="宋体" w:hAnsi="宋体"/>
          <w:sz w:val="24"/>
        </w:rPr>
      </w:pPr>
      <w:r>
        <w:rPr>
          <w:rFonts w:hint="eastAsia" w:ascii="宋体" w:hAnsi="宋体"/>
          <w:sz w:val="24"/>
        </w:rPr>
        <w:t xml:space="preserve">    据此函，签名代表宣布同意如下：</w:t>
      </w:r>
    </w:p>
    <w:p w14:paraId="3DCE6AC7">
      <w:pPr>
        <w:spacing w:line="480" w:lineRule="exact"/>
        <w:ind w:firstLine="480" w:firstLineChars="200"/>
        <w:rPr>
          <w:rFonts w:ascii="宋体" w:hAnsi="宋体"/>
          <w:sz w:val="24"/>
        </w:rPr>
      </w:pPr>
      <w:r>
        <w:rPr>
          <w:rFonts w:hint="eastAsia" w:ascii="宋体" w:hAnsi="宋体"/>
          <w:sz w:val="24"/>
        </w:rPr>
        <w:t>1.投标人已详细审查全部招标文件，包括修改文件（如有的话）和有关附件，将自行承担因对全部招标文件理解不正确或误解而产生的相应后果。</w:t>
      </w:r>
    </w:p>
    <w:p w14:paraId="59497D33">
      <w:pPr>
        <w:spacing w:line="480" w:lineRule="exact"/>
        <w:ind w:firstLine="480" w:firstLineChars="200"/>
        <w:rPr>
          <w:rFonts w:ascii="宋体" w:hAnsi="宋体"/>
          <w:sz w:val="24"/>
        </w:rPr>
      </w:pPr>
      <w:r>
        <w:rPr>
          <w:rFonts w:hint="eastAsia" w:ascii="宋体" w:hAnsi="宋体"/>
          <w:sz w:val="24"/>
        </w:rPr>
        <w:t>2.投标人保证遵守招标文件的全部规定，投标人所提交的材料中所含的信息均为真实、准确、完整，且不具有任何误导性。</w:t>
      </w:r>
    </w:p>
    <w:p w14:paraId="4CFFD77C">
      <w:pPr>
        <w:spacing w:line="480" w:lineRule="exact"/>
        <w:ind w:firstLine="480" w:firstLineChars="200"/>
        <w:rPr>
          <w:rFonts w:ascii="宋体" w:hAnsi="宋体"/>
          <w:sz w:val="24"/>
        </w:rPr>
      </w:pPr>
      <w:r>
        <w:rPr>
          <w:rFonts w:hint="eastAsia" w:ascii="宋体" w:hAnsi="宋体"/>
          <w:sz w:val="24"/>
        </w:rPr>
        <w:t>3.投标人投标文件中提供的材料若为复印件或扫描件的，均与原件一致。</w:t>
      </w:r>
    </w:p>
    <w:p w14:paraId="61A38935">
      <w:pPr>
        <w:spacing w:line="480" w:lineRule="exact"/>
        <w:ind w:firstLine="480" w:firstLineChars="200"/>
        <w:rPr>
          <w:rFonts w:ascii="宋体" w:hAnsi="宋体"/>
          <w:sz w:val="24"/>
        </w:rPr>
      </w:pPr>
      <w:r>
        <w:rPr>
          <w:rFonts w:hint="eastAsia" w:ascii="宋体" w:hAnsi="宋体"/>
          <w:sz w:val="24"/>
        </w:rPr>
        <w:t>4.投标人将按招标文件的规定履行合同责任和义务。</w:t>
      </w:r>
    </w:p>
    <w:p w14:paraId="76DACC0E">
      <w:pPr>
        <w:spacing w:line="480" w:lineRule="exact"/>
        <w:ind w:firstLine="480" w:firstLineChars="200"/>
        <w:rPr>
          <w:rFonts w:ascii="宋体" w:hAnsi="宋体"/>
          <w:sz w:val="24"/>
        </w:rPr>
      </w:pPr>
      <w:r>
        <w:rPr>
          <w:rFonts w:hint="eastAsia" w:ascii="宋体" w:hAnsi="宋体"/>
          <w:sz w:val="24"/>
        </w:rPr>
        <w:t>5.本投标文件有效期为：投标截止时间止 90个日历日。</w:t>
      </w:r>
    </w:p>
    <w:p w14:paraId="3AEAEED8">
      <w:pPr>
        <w:spacing w:line="480" w:lineRule="exact"/>
        <w:ind w:firstLine="480" w:firstLineChars="200"/>
        <w:rPr>
          <w:rFonts w:ascii="宋体" w:hAnsi="宋体"/>
          <w:sz w:val="24"/>
        </w:rPr>
      </w:pPr>
      <w:r>
        <w:rPr>
          <w:rFonts w:hint="eastAsia" w:ascii="宋体" w:hAnsi="宋体"/>
          <w:sz w:val="24"/>
        </w:rPr>
        <w:t>6.如果发生招标文件第二章投标人须知第11条所述情况，则同意招标代理机构不予退还投标保证金。</w:t>
      </w:r>
    </w:p>
    <w:p w14:paraId="35449387">
      <w:pPr>
        <w:spacing w:line="480" w:lineRule="exact"/>
        <w:ind w:firstLine="480" w:firstLineChars="200"/>
        <w:rPr>
          <w:rFonts w:ascii="宋体" w:hAnsi="宋体"/>
          <w:sz w:val="24"/>
        </w:rPr>
      </w:pPr>
      <w:r>
        <w:rPr>
          <w:rFonts w:hint="eastAsia" w:ascii="宋体" w:hAnsi="宋体"/>
          <w:sz w:val="24"/>
        </w:rPr>
        <w:t>7.投标人同意提供按照招标采购单位可能要求的与其投标有关的一切数据或资料，完全理解贵方不一定要接受最低的报价或收到的任何投标。</w:t>
      </w:r>
    </w:p>
    <w:p w14:paraId="5824AA89">
      <w:pPr>
        <w:spacing w:line="480" w:lineRule="exact"/>
        <w:ind w:firstLine="480" w:firstLineChars="200"/>
        <w:rPr>
          <w:rFonts w:ascii="宋体" w:hAnsi="宋体"/>
          <w:sz w:val="24"/>
        </w:rPr>
      </w:pPr>
      <w:r>
        <w:rPr>
          <w:rFonts w:hint="eastAsia" w:ascii="宋体" w:hAnsi="宋体"/>
          <w:sz w:val="24"/>
        </w:rPr>
        <w:t>8. 与本投标有关的一切正式往来通讯请寄：</w:t>
      </w:r>
    </w:p>
    <w:p w14:paraId="7C3FA9CD">
      <w:pPr>
        <w:spacing w:line="480" w:lineRule="exact"/>
        <w:rPr>
          <w:rFonts w:ascii="宋体" w:hAnsi="宋体"/>
          <w:sz w:val="24"/>
          <w:u w:val="single"/>
        </w:rPr>
      </w:pPr>
      <w:r>
        <w:rPr>
          <w:rFonts w:hint="eastAsia" w:ascii="宋体" w:hAnsi="宋体"/>
          <w:sz w:val="24"/>
        </w:rPr>
        <w:t xml:space="preserve">      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14:paraId="5D49F799">
      <w:pPr>
        <w:spacing w:line="48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14:paraId="03FC9BCD">
      <w:pPr>
        <w:spacing w:line="480" w:lineRule="exact"/>
        <w:rPr>
          <w:rFonts w:ascii="宋体" w:hAnsi="宋体"/>
          <w:sz w:val="24"/>
          <w:u w:val="single"/>
        </w:rPr>
      </w:pPr>
      <w:r>
        <w:rPr>
          <w:rFonts w:hint="eastAsia" w:ascii="宋体" w:hAnsi="宋体"/>
          <w:sz w:val="24"/>
        </w:rPr>
        <w:t xml:space="preserve">      投标人代表签名： </w:t>
      </w:r>
      <w:r>
        <w:rPr>
          <w:rFonts w:hint="eastAsia" w:ascii="宋体" w:hAnsi="宋体"/>
          <w:sz w:val="24"/>
          <w:u w:val="single"/>
        </w:rPr>
        <w:t xml:space="preserve">                </w:t>
      </w:r>
    </w:p>
    <w:p w14:paraId="663F5AB2">
      <w:pPr>
        <w:spacing w:line="480" w:lineRule="exact"/>
        <w:rPr>
          <w:rFonts w:ascii="宋体" w:hAnsi="宋体"/>
          <w:sz w:val="24"/>
        </w:rPr>
      </w:pPr>
      <w:r>
        <w:rPr>
          <w:rFonts w:hint="eastAsia" w:ascii="宋体" w:hAnsi="宋体"/>
          <w:sz w:val="24"/>
        </w:rPr>
        <w:t xml:space="preserve">      投标人（全称并加盖公章）：</w:t>
      </w:r>
      <w:r>
        <w:rPr>
          <w:rFonts w:hint="eastAsia" w:ascii="宋体" w:hAnsi="宋体"/>
          <w:sz w:val="24"/>
          <w:u w:val="single"/>
        </w:rPr>
        <w:t xml:space="preserve">                       </w:t>
      </w:r>
    </w:p>
    <w:p w14:paraId="32E68210">
      <w:pPr>
        <w:spacing w:line="48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1CCDF8D0">
      <w:pPr>
        <w:pStyle w:val="23"/>
        <w:spacing w:line="500" w:lineRule="exact"/>
        <w:jc w:val="center"/>
        <w:outlineLvl w:val="1"/>
        <w:rPr>
          <w:rFonts w:hAnsi="宋体"/>
          <w:b/>
          <w:sz w:val="24"/>
        </w:rPr>
        <w:sectPr>
          <w:headerReference r:id="rId8" w:type="default"/>
          <w:footerReference r:id="rId9" w:type="default"/>
          <w:type w:val="continuous"/>
          <w:pgSz w:w="11907" w:h="16840"/>
          <w:pgMar w:top="1134" w:right="907" w:bottom="850" w:left="1134" w:header="680" w:footer="283" w:gutter="0"/>
          <w:cols w:space="720" w:num="1"/>
          <w:docGrid w:linePitch="312" w:charSpace="0"/>
        </w:sectPr>
      </w:pPr>
    </w:p>
    <w:p w14:paraId="672CC752">
      <w:pPr>
        <w:jc w:val="center"/>
        <w:rPr>
          <w:rFonts w:ascii="宋体" w:hAnsi="宋体"/>
          <w:b/>
          <w:bCs/>
          <w:sz w:val="36"/>
        </w:rPr>
      </w:pPr>
    </w:p>
    <w:p w14:paraId="7C60F83B">
      <w:pPr>
        <w:jc w:val="center"/>
        <w:rPr>
          <w:rFonts w:ascii="宋体" w:hAnsi="宋体"/>
          <w:b/>
          <w:bCs/>
          <w:sz w:val="36"/>
        </w:rPr>
      </w:pPr>
    </w:p>
    <w:p w14:paraId="6FEFB15E">
      <w:pPr>
        <w:jc w:val="center"/>
        <w:rPr>
          <w:rFonts w:ascii="宋体" w:hAnsi="宋体"/>
          <w:b/>
          <w:bCs/>
          <w:sz w:val="36"/>
        </w:rPr>
      </w:pPr>
    </w:p>
    <w:p w14:paraId="163D15EC">
      <w:pPr>
        <w:spacing w:line="380" w:lineRule="exact"/>
        <w:jc w:val="center"/>
        <w:rPr>
          <w:rFonts w:ascii="宋体" w:hAnsi="宋体"/>
          <w:b/>
          <w:sz w:val="36"/>
        </w:rPr>
      </w:pPr>
    </w:p>
    <w:p w14:paraId="2AB7C8DE">
      <w:pPr>
        <w:spacing w:line="380" w:lineRule="exact"/>
        <w:jc w:val="center"/>
        <w:rPr>
          <w:rFonts w:ascii="宋体" w:hAnsi="宋体"/>
          <w:sz w:val="24"/>
        </w:rPr>
      </w:pPr>
      <w:r>
        <w:rPr>
          <w:rFonts w:hint="eastAsia" w:ascii="宋体" w:hAnsi="宋体"/>
          <w:b/>
          <w:sz w:val="36"/>
        </w:rPr>
        <w:t>2、关于资格的声明函</w:t>
      </w:r>
      <w:r>
        <w:rPr>
          <w:rFonts w:hint="eastAsia" w:ascii="宋体" w:hAnsi="宋体"/>
          <w:sz w:val="36"/>
        </w:rPr>
        <w:cr/>
      </w:r>
    </w:p>
    <w:p w14:paraId="6A3A0BFF">
      <w:pPr>
        <w:spacing w:line="480" w:lineRule="exact"/>
        <w:rPr>
          <w:rFonts w:ascii="宋体" w:hAnsi="宋体"/>
          <w:sz w:val="24"/>
        </w:rPr>
      </w:pPr>
      <w:r>
        <w:rPr>
          <w:rFonts w:hint="eastAsia" w:ascii="宋体" w:hAnsi="宋体"/>
          <w:szCs w:val="21"/>
          <w:u w:val="single"/>
        </w:rPr>
        <w:t xml:space="preserve"> </w:t>
      </w:r>
      <w:r>
        <w:rPr>
          <w:rFonts w:hint="eastAsia" w:ascii="宋体" w:hAnsi="宋体"/>
          <w:sz w:val="24"/>
          <w:u w:val="single"/>
        </w:rPr>
        <w:t xml:space="preserve">福建省宏瑞招标代理有限公司 </w:t>
      </w:r>
      <w:r>
        <w:rPr>
          <w:rFonts w:hint="eastAsia" w:ascii="宋体" w:hAnsi="宋体"/>
          <w:sz w:val="24"/>
        </w:rPr>
        <w:t>：</w:t>
      </w:r>
    </w:p>
    <w:p w14:paraId="6FA9E697">
      <w:pPr>
        <w:spacing w:line="480" w:lineRule="exact"/>
        <w:rPr>
          <w:rFonts w:ascii="宋体" w:hAnsi="宋体"/>
          <w:sz w:val="24"/>
        </w:rPr>
      </w:pPr>
    </w:p>
    <w:p w14:paraId="7E92D5F3">
      <w:pPr>
        <w:spacing w:line="48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 xml:space="preserve"> （招标编号）投标邀请，本签名人愿意参加投标，提供招标文件“招标标的一览表”中规定的</w:t>
      </w:r>
      <w:r>
        <w:rPr>
          <w:rFonts w:hint="eastAsia" w:ascii="宋体" w:hAnsi="宋体"/>
          <w:sz w:val="24"/>
          <w:u w:val="single"/>
        </w:rPr>
        <w:t xml:space="preserve">          </w:t>
      </w:r>
      <w:r>
        <w:rPr>
          <w:rFonts w:hint="eastAsia" w:ascii="宋体" w:hAnsi="宋体"/>
          <w:sz w:val="24"/>
        </w:rPr>
        <w:t>（合同包）</w:t>
      </w:r>
      <w:r>
        <w:rPr>
          <w:rFonts w:hint="eastAsia" w:ascii="宋体" w:hAnsi="宋体"/>
          <w:sz w:val="24"/>
          <w:u w:val="single"/>
        </w:rPr>
        <w:t xml:space="preserve">         </w:t>
      </w:r>
      <w:r>
        <w:rPr>
          <w:rFonts w:hint="eastAsia" w:ascii="宋体" w:hAnsi="宋体"/>
          <w:sz w:val="24"/>
        </w:rPr>
        <w:t>（标的名称），并证明提交的下列文件和说明是准确的和真实的。</w:t>
      </w:r>
      <w:r>
        <w:rPr>
          <w:rFonts w:hint="eastAsia" w:ascii="宋体" w:hAnsi="宋体"/>
          <w:sz w:val="24"/>
        </w:rPr>
        <w:cr/>
      </w:r>
      <w:r>
        <w:rPr>
          <w:rFonts w:hint="eastAsia" w:ascii="宋体" w:hAnsi="宋体"/>
          <w:sz w:val="24"/>
        </w:rPr>
        <w:t xml:space="preserve">    1．本签名人确认资格文件中的说明以及投标文件中所有提交的文件和材料是真实的、准确的。</w:t>
      </w:r>
      <w:r>
        <w:rPr>
          <w:rFonts w:ascii="宋体" w:hAnsi="宋体"/>
          <w:sz w:val="24"/>
        </w:rPr>
        <w:t>若在评标过程中</w:t>
      </w:r>
      <w:r>
        <w:rPr>
          <w:rFonts w:hint="eastAsia" w:ascii="宋体" w:hAnsi="宋体"/>
          <w:sz w:val="24"/>
        </w:rPr>
        <w:t>、中标公示期内、</w:t>
      </w:r>
      <w:r>
        <w:rPr>
          <w:rFonts w:ascii="宋体" w:hAnsi="宋体"/>
          <w:sz w:val="24"/>
        </w:rPr>
        <w:t>中标后和执行合同过程中发现提供虚假资料的</w:t>
      </w:r>
      <w:r>
        <w:rPr>
          <w:rFonts w:hint="eastAsia" w:ascii="宋体" w:hAnsi="宋体"/>
          <w:sz w:val="24"/>
        </w:rPr>
        <w:t>，可</w:t>
      </w:r>
      <w:r>
        <w:rPr>
          <w:rFonts w:ascii="宋体" w:hAnsi="宋体"/>
          <w:sz w:val="24"/>
        </w:rPr>
        <w:t>取消</w:t>
      </w:r>
      <w:r>
        <w:rPr>
          <w:rFonts w:hint="eastAsia" w:ascii="宋体" w:hAnsi="宋体"/>
          <w:sz w:val="24"/>
        </w:rPr>
        <w:t>我公司</w:t>
      </w:r>
      <w:r>
        <w:rPr>
          <w:rFonts w:ascii="宋体" w:hAnsi="宋体"/>
          <w:sz w:val="24"/>
        </w:rPr>
        <w:t>中标资格，</w:t>
      </w:r>
      <w:r>
        <w:rPr>
          <w:rFonts w:hint="eastAsia" w:ascii="宋体" w:hAnsi="宋体"/>
          <w:sz w:val="24"/>
        </w:rPr>
        <w:t>且我司</w:t>
      </w:r>
      <w:r>
        <w:rPr>
          <w:rFonts w:ascii="宋体" w:hAnsi="宋体"/>
          <w:sz w:val="24"/>
        </w:rPr>
        <w:t>保证金</w:t>
      </w:r>
      <w:r>
        <w:rPr>
          <w:rFonts w:hint="eastAsia" w:ascii="宋体" w:hAnsi="宋体"/>
          <w:sz w:val="24"/>
        </w:rPr>
        <w:t>可</w:t>
      </w:r>
      <w:r>
        <w:rPr>
          <w:rFonts w:ascii="宋体" w:hAnsi="宋体"/>
          <w:sz w:val="24"/>
        </w:rPr>
        <w:t>不予退还，给</w:t>
      </w:r>
      <w:r>
        <w:rPr>
          <w:rFonts w:hint="eastAsia" w:ascii="宋体" w:hAnsi="宋体"/>
          <w:sz w:val="24"/>
        </w:rPr>
        <w:t>招标人</w:t>
      </w:r>
      <w:r>
        <w:rPr>
          <w:rFonts w:ascii="宋体" w:hAnsi="宋体"/>
          <w:sz w:val="24"/>
        </w:rPr>
        <w:t>造成损失的，</w:t>
      </w:r>
      <w:r>
        <w:rPr>
          <w:rFonts w:hint="eastAsia" w:ascii="宋体" w:hAnsi="宋体"/>
          <w:sz w:val="24"/>
        </w:rPr>
        <w:t>将</w:t>
      </w:r>
      <w:r>
        <w:rPr>
          <w:rFonts w:ascii="宋体" w:hAnsi="宋体"/>
          <w:sz w:val="24"/>
        </w:rPr>
        <w:t>进行赔偿并负相关责任。评标过程中无论是否有对原件进行核实，</w:t>
      </w:r>
      <w:r>
        <w:rPr>
          <w:rFonts w:hint="eastAsia" w:ascii="宋体" w:hAnsi="宋体"/>
          <w:sz w:val="24"/>
        </w:rPr>
        <w:t>我公司</w:t>
      </w:r>
      <w:r>
        <w:rPr>
          <w:rFonts w:ascii="宋体" w:hAnsi="宋体"/>
          <w:sz w:val="24"/>
        </w:rPr>
        <w:t>都对其提供各种资料、说明的真实性负责。</w:t>
      </w:r>
      <w:r>
        <w:rPr>
          <w:rFonts w:hint="eastAsia" w:ascii="宋体" w:hAnsi="宋体"/>
          <w:sz w:val="24"/>
        </w:rPr>
        <w:t>在中标公示期内、</w:t>
      </w:r>
      <w:r>
        <w:rPr>
          <w:rFonts w:ascii="宋体" w:hAnsi="宋体"/>
          <w:sz w:val="24"/>
        </w:rPr>
        <w:t>中标后和执行合同过程中</w:t>
      </w:r>
      <w:r>
        <w:rPr>
          <w:rFonts w:hint="eastAsia" w:ascii="宋体" w:hAnsi="宋体"/>
          <w:sz w:val="24"/>
        </w:rPr>
        <w:t>，若招标人对我公司投标文件中所有提交的文件和材料有疑义的，我公司将提供相关原件材料予以核查。</w:t>
      </w:r>
    </w:p>
    <w:p w14:paraId="62C5F5BC">
      <w:pPr>
        <w:spacing w:line="480" w:lineRule="exact"/>
        <w:ind w:firstLine="480" w:firstLineChars="200"/>
        <w:rPr>
          <w:rFonts w:ascii="宋体" w:hAnsi="宋体"/>
          <w:sz w:val="24"/>
        </w:rPr>
      </w:pPr>
      <w:r>
        <w:rPr>
          <w:rFonts w:hint="eastAsia" w:ascii="宋体" w:hAnsi="宋体"/>
          <w:sz w:val="24"/>
        </w:rPr>
        <w:t>2．我方的资格声明正本一份，副本五份，随投标文件一同递交。</w:t>
      </w:r>
    </w:p>
    <w:p w14:paraId="74C82FEA">
      <w:pPr>
        <w:spacing w:line="480" w:lineRule="exact"/>
        <w:rPr>
          <w:rFonts w:ascii="宋体" w:hAnsi="宋体"/>
          <w:sz w:val="24"/>
        </w:rPr>
      </w:pPr>
      <w:r>
        <w:rPr>
          <w:rFonts w:hint="eastAsia" w:ascii="宋体" w:hAnsi="宋体"/>
          <w:sz w:val="24"/>
        </w:rPr>
        <w:t xml:space="preserve">    </w:t>
      </w:r>
    </w:p>
    <w:p w14:paraId="565DEB78">
      <w:pPr>
        <w:spacing w:line="480" w:lineRule="exact"/>
        <w:rPr>
          <w:rFonts w:ascii="宋体" w:hAnsi="宋体"/>
          <w:sz w:val="24"/>
        </w:rPr>
      </w:pPr>
    </w:p>
    <w:p w14:paraId="2D26A508">
      <w:pPr>
        <w:spacing w:line="480" w:lineRule="exact"/>
        <w:rPr>
          <w:rFonts w:ascii="宋体" w:hAnsi="宋体"/>
          <w:sz w:val="24"/>
        </w:rPr>
      </w:pPr>
    </w:p>
    <w:p w14:paraId="1937651F">
      <w:pPr>
        <w:spacing w:line="480" w:lineRule="exact"/>
        <w:rPr>
          <w:rFonts w:ascii="宋体" w:hAnsi="宋体"/>
          <w:sz w:val="24"/>
        </w:rPr>
      </w:pPr>
    </w:p>
    <w:p w14:paraId="1451E422">
      <w:pPr>
        <w:spacing w:line="480" w:lineRule="exact"/>
        <w:rPr>
          <w:rFonts w:ascii="宋体" w:hAnsi="宋体"/>
          <w:sz w:val="24"/>
        </w:rPr>
      </w:pPr>
    </w:p>
    <w:p w14:paraId="2134BBE4">
      <w:pPr>
        <w:spacing w:line="480" w:lineRule="exact"/>
        <w:rPr>
          <w:rFonts w:ascii="宋体" w:hAnsi="宋体"/>
          <w:sz w:val="24"/>
          <w:u w:val="single"/>
        </w:rPr>
      </w:pPr>
      <w:r>
        <w:rPr>
          <w:rFonts w:hint="eastAsia" w:ascii="宋体" w:hAnsi="宋体"/>
          <w:sz w:val="24"/>
        </w:rPr>
        <w:t>投标人代表签名：</w:t>
      </w:r>
      <w:r>
        <w:rPr>
          <w:rFonts w:hint="eastAsia" w:ascii="宋体" w:hAnsi="宋体"/>
          <w:sz w:val="24"/>
          <w:u w:val="single"/>
        </w:rPr>
        <w:t xml:space="preserve">                            </w:t>
      </w:r>
    </w:p>
    <w:p w14:paraId="45B4C74B">
      <w:pPr>
        <w:spacing w:line="480" w:lineRule="exact"/>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r>
        <w:rPr>
          <w:rFonts w:hint="eastAsia" w:ascii="宋体" w:hAnsi="宋体"/>
          <w:sz w:val="24"/>
        </w:rPr>
        <w:t xml:space="preserve">                   </w:t>
      </w:r>
    </w:p>
    <w:p w14:paraId="020B0799">
      <w:pPr>
        <w:spacing w:line="480" w:lineRule="exact"/>
        <w:rPr>
          <w:rFonts w:ascii="宋体" w:hAnsi="宋体"/>
          <w:sz w:val="24"/>
          <w:u w:val="single"/>
        </w:rPr>
      </w:pPr>
      <w:r>
        <w:rPr>
          <w:rFonts w:hint="eastAsia" w:ascii="宋体" w:hAnsi="宋体"/>
          <w:sz w:val="24"/>
        </w:rPr>
        <w:t xml:space="preserve">           </w:t>
      </w:r>
    </w:p>
    <w:p w14:paraId="13BC7588">
      <w:pPr>
        <w:rPr>
          <w:rFonts w:ascii="宋体" w:hAnsi="宋体"/>
          <w:szCs w:val="21"/>
          <w:u w:val="single"/>
        </w:rPr>
      </w:pPr>
    </w:p>
    <w:p w14:paraId="23D5FFF2">
      <w:pPr>
        <w:rPr>
          <w:rFonts w:ascii="宋体" w:hAnsi="宋体"/>
          <w:szCs w:val="21"/>
          <w:u w:val="single"/>
        </w:rPr>
      </w:pPr>
    </w:p>
    <w:p w14:paraId="66FF4AF5">
      <w:pPr>
        <w:rPr>
          <w:rFonts w:ascii="宋体" w:hAnsi="宋体"/>
          <w:szCs w:val="21"/>
          <w:u w:val="single"/>
        </w:rPr>
      </w:pPr>
    </w:p>
    <w:p w14:paraId="75DEEBC9">
      <w:pPr>
        <w:rPr>
          <w:rFonts w:ascii="宋体" w:hAnsi="宋体"/>
          <w:szCs w:val="21"/>
          <w:u w:val="single"/>
        </w:rPr>
      </w:pPr>
    </w:p>
    <w:p w14:paraId="47364FDB">
      <w:pPr>
        <w:rPr>
          <w:rFonts w:ascii="宋体" w:hAnsi="宋体"/>
          <w:szCs w:val="21"/>
          <w:u w:val="single"/>
        </w:rPr>
      </w:pPr>
    </w:p>
    <w:p w14:paraId="7BA4B3F5">
      <w:pPr>
        <w:rPr>
          <w:rFonts w:ascii="宋体" w:hAnsi="宋体"/>
          <w:szCs w:val="21"/>
        </w:rPr>
      </w:pPr>
    </w:p>
    <w:p w14:paraId="672BDF74">
      <w:pPr>
        <w:rPr>
          <w:rFonts w:ascii="宋体" w:hAnsi="宋体"/>
          <w:szCs w:val="21"/>
        </w:rPr>
      </w:pPr>
    </w:p>
    <w:p w14:paraId="4D701866">
      <w:pPr>
        <w:rPr>
          <w:rFonts w:ascii="宋体" w:hAnsi="宋体"/>
          <w:szCs w:val="21"/>
        </w:rPr>
      </w:pPr>
    </w:p>
    <w:p w14:paraId="2C374B47">
      <w:pPr>
        <w:spacing w:line="380" w:lineRule="exact"/>
        <w:jc w:val="center"/>
        <w:rPr>
          <w:rFonts w:ascii="宋体" w:hAnsi="宋体"/>
          <w:sz w:val="24"/>
        </w:rPr>
      </w:pPr>
      <w:r>
        <w:rPr>
          <w:rFonts w:ascii="宋体" w:hAnsi="宋体"/>
          <w:b/>
          <w:sz w:val="36"/>
        </w:rPr>
        <w:br w:type="page"/>
      </w:r>
      <w:r>
        <w:rPr>
          <w:rFonts w:hint="eastAsia" w:ascii="宋体" w:hAnsi="宋体"/>
          <w:b/>
          <w:sz w:val="36"/>
        </w:rPr>
        <w:t>3、投标人的资格声明</w:t>
      </w:r>
    </w:p>
    <w:p w14:paraId="033BE83A">
      <w:pPr>
        <w:spacing w:line="480" w:lineRule="exact"/>
        <w:rPr>
          <w:rFonts w:ascii="宋体" w:hAnsi="宋体"/>
          <w:sz w:val="24"/>
          <w:u w:val="single"/>
        </w:rPr>
      </w:pPr>
      <w:r>
        <w:rPr>
          <w:rFonts w:hint="eastAsia" w:ascii="宋体" w:hAnsi="宋体"/>
          <w:sz w:val="24"/>
        </w:rPr>
        <w:t xml:space="preserve">1．投标人概况：                                   </w:t>
      </w:r>
      <w:r>
        <w:rPr>
          <w:rFonts w:hint="eastAsia" w:ascii="宋体" w:hAnsi="宋体"/>
          <w:sz w:val="24"/>
        </w:rPr>
        <w:cr/>
      </w:r>
      <w:r>
        <w:rPr>
          <w:rFonts w:hint="eastAsia" w:ascii="宋体" w:hAnsi="宋体"/>
          <w:sz w:val="24"/>
        </w:rPr>
        <w:t xml:space="preserve">        Ａ．投标人名称：</w:t>
      </w:r>
      <w:r>
        <w:rPr>
          <w:rFonts w:hint="eastAsia" w:ascii="宋体" w:hAnsi="宋体"/>
          <w:sz w:val="24"/>
          <w:u w:val="single"/>
        </w:rPr>
        <w:t xml:space="preserve">                               </w:t>
      </w:r>
      <w:r>
        <w:rPr>
          <w:rFonts w:hint="eastAsia" w:ascii="宋体" w:hAnsi="宋体"/>
          <w:sz w:val="24"/>
          <w:u w:val="single"/>
        </w:rPr>
        <w:cr/>
      </w:r>
      <w:r>
        <w:rPr>
          <w:rFonts w:hint="eastAsia" w:ascii="宋体" w:hAnsi="宋体"/>
          <w:sz w:val="24"/>
        </w:rPr>
        <w:t xml:space="preserve">        Ｂ．注册地址：</w:t>
      </w:r>
      <w:r>
        <w:rPr>
          <w:rFonts w:hint="eastAsia" w:ascii="宋体" w:hAnsi="宋体"/>
          <w:sz w:val="24"/>
          <w:u w:val="single"/>
        </w:rPr>
        <w:t xml:space="preserve">                                 </w:t>
      </w:r>
      <w:r>
        <w:rPr>
          <w:rFonts w:hint="eastAsia" w:ascii="宋体" w:hAnsi="宋体"/>
          <w:sz w:val="24"/>
          <w:u w:val="single"/>
        </w:rPr>
        <w:cr/>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r>
        <w:rPr>
          <w:rFonts w:hint="eastAsia" w:ascii="宋体" w:hAnsi="宋体"/>
          <w:sz w:val="24"/>
        </w:rPr>
        <w:cr/>
      </w:r>
      <w:r>
        <w:rPr>
          <w:rFonts w:hint="eastAsia" w:ascii="宋体" w:hAnsi="宋体"/>
          <w:sz w:val="24"/>
        </w:rPr>
        <w:t xml:space="preserve">        Ｃ．成立或注册日期：</w:t>
      </w:r>
      <w:r>
        <w:rPr>
          <w:rFonts w:hint="eastAsia" w:ascii="宋体" w:hAnsi="宋体"/>
          <w:sz w:val="24"/>
          <w:u w:val="single"/>
        </w:rPr>
        <w:t xml:space="preserve">                      </w:t>
      </w:r>
    </w:p>
    <w:p w14:paraId="53DA5D73">
      <w:pPr>
        <w:spacing w:line="480" w:lineRule="exact"/>
        <w:rPr>
          <w:rFonts w:ascii="宋体" w:hAnsi="宋体"/>
          <w:sz w:val="24"/>
        </w:rPr>
      </w:pPr>
      <w:r>
        <w:rPr>
          <w:rFonts w:hint="eastAsia" w:ascii="宋体" w:hAnsi="宋体"/>
          <w:sz w:val="24"/>
        </w:rPr>
        <w:t xml:space="preserve">        Ｄ．法人代表：</w:t>
      </w:r>
      <w:r>
        <w:rPr>
          <w:rFonts w:hint="eastAsia" w:ascii="宋体" w:hAnsi="宋体"/>
          <w:sz w:val="24"/>
          <w:u w:val="single"/>
        </w:rPr>
        <w:t xml:space="preserve">                   </w:t>
      </w:r>
      <w:r>
        <w:rPr>
          <w:rFonts w:hint="eastAsia" w:ascii="宋体" w:hAnsi="宋体"/>
          <w:sz w:val="24"/>
        </w:rPr>
        <w:t>（姓名、职务）</w:t>
      </w:r>
    </w:p>
    <w:p w14:paraId="15BCA617">
      <w:pPr>
        <w:spacing w:line="480" w:lineRule="exact"/>
        <w:rPr>
          <w:rFonts w:ascii="宋体" w:hAnsi="宋体"/>
          <w:sz w:val="24"/>
          <w:u w:val="single"/>
        </w:rPr>
      </w:pPr>
      <w:r>
        <w:rPr>
          <w:rFonts w:hint="eastAsia" w:ascii="宋体" w:hAnsi="宋体"/>
          <w:sz w:val="24"/>
        </w:rPr>
        <w:t xml:space="preserve">        实收资本：</w:t>
      </w:r>
      <w:r>
        <w:rPr>
          <w:rFonts w:hint="eastAsia" w:ascii="宋体" w:hAnsi="宋体"/>
          <w:sz w:val="24"/>
          <w:u w:val="single"/>
        </w:rPr>
        <w:t xml:space="preserve">                    </w:t>
      </w:r>
    </w:p>
    <w:p w14:paraId="74D85685">
      <w:pPr>
        <w:spacing w:line="480" w:lineRule="exact"/>
        <w:rPr>
          <w:rFonts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 xml:space="preserve"> 法人资本：</w:t>
      </w:r>
      <w:r>
        <w:rPr>
          <w:rFonts w:hint="eastAsia" w:ascii="宋体" w:hAnsi="宋体"/>
          <w:sz w:val="24"/>
          <w:u w:val="single"/>
        </w:rPr>
        <w:t xml:space="preserve">           </w:t>
      </w:r>
    </w:p>
    <w:p w14:paraId="528A9567">
      <w:pPr>
        <w:spacing w:line="480" w:lineRule="exact"/>
        <w:rPr>
          <w:rFonts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 xml:space="preserve"> 外商资本：</w:t>
      </w:r>
      <w:r>
        <w:rPr>
          <w:rFonts w:hint="eastAsia" w:ascii="宋体" w:hAnsi="宋体"/>
          <w:sz w:val="24"/>
          <w:u w:val="single"/>
        </w:rPr>
        <w:t xml:space="preserve">           </w:t>
      </w:r>
    </w:p>
    <w:p w14:paraId="2996AEE9">
      <w:pPr>
        <w:spacing w:line="480" w:lineRule="exact"/>
        <w:rPr>
          <w:rFonts w:ascii="宋体" w:hAnsi="宋体"/>
          <w:sz w:val="24"/>
        </w:rPr>
      </w:pPr>
      <w:r>
        <w:rPr>
          <w:rFonts w:hint="eastAsia" w:ascii="宋体" w:hAnsi="宋体"/>
          <w:sz w:val="24"/>
        </w:rPr>
        <w:t xml:space="preserve">    Ｅ．最近资产负债表（到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日为止）。</w:t>
      </w:r>
    </w:p>
    <w:p w14:paraId="7B4F779F">
      <w:pPr>
        <w:spacing w:line="480" w:lineRule="exact"/>
        <w:rPr>
          <w:rFonts w:ascii="宋体" w:hAnsi="宋体"/>
          <w:sz w:val="24"/>
          <w:u w:val="single"/>
        </w:rPr>
      </w:pPr>
      <w:r>
        <w:rPr>
          <w:rFonts w:hint="eastAsia" w:ascii="宋体" w:hAnsi="宋体"/>
          <w:sz w:val="24"/>
        </w:rPr>
        <w:t xml:space="preserve">        (1)固定资产合计:</w:t>
      </w:r>
      <w:r>
        <w:rPr>
          <w:rFonts w:hint="eastAsia" w:ascii="宋体" w:hAnsi="宋体"/>
          <w:sz w:val="24"/>
          <w:u w:val="single"/>
        </w:rPr>
        <w:t xml:space="preserve">                   </w:t>
      </w:r>
    </w:p>
    <w:p w14:paraId="0D1D9E9B">
      <w:pPr>
        <w:spacing w:line="480" w:lineRule="exact"/>
        <w:rPr>
          <w:rFonts w:ascii="宋体" w:hAnsi="宋体"/>
          <w:sz w:val="24"/>
        </w:rPr>
      </w:pPr>
      <w:r>
        <w:rPr>
          <w:rFonts w:hint="eastAsia" w:ascii="宋体" w:hAnsi="宋体"/>
          <w:sz w:val="24"/>
        </w:rPr>
        <w:t xml:space="preserve">        (2)流动资产合计:</w:t>
      </w:r>
      <w:r>
        <w:rPr>
          <w:rFonts w:hint="eastAsia" w:ascii="宋体" w:hAnsi="宋体"/>
          <w:sz w:val="24"/>
          <w:u w:val="single"/>
        </w:rPr>
        <w:t xml:space="preserve">                   </w:t>
      </w:r>
    </w:p>
    <w:p w14:paraId="7996DC34">
      <w:pPr>
        <w:spacing w:line="480" w:lineRule="exact"/>
        <w:rPr>
          <w:rFonts w:ascii="宋体" w:hAnsi="宋体"/>
          <w:sz w:val="24"/>
        </w:rPr>
      </w:pPr>
      <w:r>
        <w:rPr>
          <w:rFonts w:hint="eastAsia" w:ascii="宋体" w:hAnsi="宋体"/>
          <w:sz w:val="24"/>
        </w:rPr>
        <w:t xml:space="preserve">        (3)长期负债合计:</w:t>
      </w:r>
      <w:r>
        <w:rPr>
          <w:rFonts w:hint="eastAsia" w:ascii="宋体" w:hAnsi="宋体"/>
          <w:sz w:val="24"/>
          <w:u w:val="single"/>
        </w:rPr>
        <w:t xml:space="preserve">                   </w:t>
      </w:r>
    </w:p>
    <w:p w14:paraId="18FBE0F9">
      <w:pPr>
        <w:spacing w:line="480" w:lineRule="exact"/>
        <w:rPr>
          <w:rFonts w:ascii="宋体" w:hAnsi="宋体"/>
          <w:sz w:val="24"/>
        </w:rPr>
      </w:pPr>
      <w:r>
        <w:rPr>
          <w:rFonts w:hint="eastAsia" w:ascii="宋体" w:hAnsi="宋体"/>
          <w:sz w:val="24"/>
        </w:rPr>
        <w:t xml:space="preserve">        (4)流动负债合计:</w:t>
      </w:r>
      <w:r>
        <w:rPr>
          <w:rFonts w:hint="eastAsia" w:ascii="宋体" w:hAnsi="宋体"/>
          <w:sz w:val="24"/>
          <w:u w:val="single"/>
        </w:rPr>
        <w:t xml:space="preserve">                   </w:t>
      </w:r>
    </w:p>
    <w:p w14:paraId="151D63A3">
      <w:pPr>
        <w:spacing w:line="480" w:lineRule="exact"/>
        <w:rPr>
          <w:rFonts w:ascii="宋体" w:hAnsi="宋体"/>
          <w:sz w:val="24"/>
        </w:rPr>
      </w:pPr>
      <w:r>
        <w:rPr>
          <w:rFonts w:hint="eastAsia" w:ascii="宋体" w:hAnsi="宋体"/>
          <w:sz w:val="24"/>
        </w:rPr>
        <w:t xml:space="preserve">    Ｆ．最近损益表（到</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日为止）。</w:t>
      </w:r>
    </w:p>
    <w:p w14:paraId="2982E96A">
      <w:pPr>
        <w:spacing w:line="480" w:lineRule="exact"/>
        <w:ind w:firstLine="480" w:firstLineChars="200"/>
        <w:rPr>
          <w:rFonts w:ascii="宋体" w:hAnsi="宋体"/>
          <w:sz w:val="24"/>
          <w:u w:val="single"/>
        </w:rPr>
      </w:pPr>
      <w:r>
        <w:rPr>
          <w:rFonts w:hint="eastAsia" w:ascii="宋体" w:hAnsi="宋体"/>
          <w:sz w:val="24"/>
        </w:rPr>
        <w:t>(1)本年（期）利润总额累计：</w:t>
      </w:r>
      <w:r>
        <w:rPr>
          <w:rFonts w:hint="eastAsia" w:ascii="宋体" w:hAnsi="宋体"/>
          <w:sz w:val="24"/>
          <w:u w:val="single"/>
        </w:rPr>
        <w:t xml:space="preserve">            </w:t>
      </w:r>
    </w:p>
    <w:p w14:paraId="2A381C1E">
      <w:pPr>
        <w:spacing w:line="480" w:lineRule="exact"/>
        <w:ind w:firstLine="480" w:firstLineChars="200"/>
        <w:rPr>
          <w:rFonts w:ascii="宋体" w:hAnsi="宋体"/>
          <w:sz w:val="24"/>
        </w:rPr>
      </w:pPr>
      <w:r>
        <w:rPr>
          <w:rFonts w:hint="eastAsia" w:ascii="宋体" w:hAnsi="宋体"/>
          <w:sz w:val="24"/>
        </w:rPr>
        <w:t xml:space="preserve">(2)本年（期）净利润累计： </w:t>
      </w:r>
      <w:r>
        <w:rPr>
          <w:rFonts w:hint="eastAsia" w:ascii="宋体" w:hAnsi="宋体"/>
          <w:sz w:val="24"/>
          <w:u w:val="single"/>
        </w:rPr>
        <w:t xml:space="preserve">             </w:t>
      </w:r>
    </w:p>
    <w:p w14:paraId="5A0D1595">
      <w:pPr>
        <w:spacing w:line="480" w:lineRule="exact"/>
        <w:rPr>
          <w:rFonts w:ascii="宋体" w:hAnsi="宋体"/>
          <w:sz w:val="24"/>
        </w:rPr>
      </w:pPr>
      <w:r>
        <w:rPr>
          <w:rFonts w:hint="eastAsia" w:ascii="宋体" w:hAnsi="宋体"/>
          <w:sz w:val="24"/>
        </w:rPr>
        <w:t>2．我方在此声明，我方具备并满足下列各项条款的规定。本声明如有虚假或不实之处，我方将失去合格投标人资格且我方的投标保证金将不予退还。</w:t>
      </w:r>
    </w:p>
    <w:p w14:paraId="35D41124">
      <w:pPr>
        <w:spacing w:line="480" w:lineRule="exact"/>
        <w:ind w:firstLine="480" w:firstLineChars="200"/>
        <w:rPr>
          <w:rFonts w:ascii="宋体" w:hAnsi="宋体"/>
          <w:sz w:val="24"/>
        </w:rPr>
      </w:pPr>
      <w:r>
        <w:rPr>
          <w:rFonts w:hint="eastAsia" w:ascii="宋体" w:hAnsi="宋体"/>
          <w:sz w:val="24"/>
        </w:rPr>
        <w:t>（1）具有独立承担民事责任的能力；</w:t>
      </w:r>
      <w:r>
        <w:rPr>
          <w:rFonts w:ascii="宋体" w:hAnsi="宋体"/>
          <w:sz w:val="24"/>
        </w:rPr>
        <w:t xml:space="preserve"> </w:t>
      </w:r>
    </w:p>
    <w:p w14:paraId="4933A51D">
      <w:pPr>
        <w:spacing w:line="480" w:lineRule="exact"/>
        <w:rPr>
          <w:rFonts w:ascii="宋体" w:hAnsi="宋体"/>
          <w:sz w:val="24"/>
        </w:rPr>
      </w:pPr>
      <w:r>
        <w:rPr>
          <w:rFonts w:hint="eastAsia" w:ascii="宋体" w:hAnsi="宋体"/>
          <w:sz w:val="24"/>
        </w:rPr>
        <w:t>　　（2）具有良好的商业信誉和健全的财务会计制度；</w:t>
      </w:r>
      <w:r>
        <w:rPr>
          <w:rFonts w:ascii="宋体" w:hAnsi="宋体"/>
          <w:sz w:val="24"/>
        </w:rPr>
        <w:t xml:space="preserve"> </w:t>
      </w:r>
    </w:p>
    <w:p w14:paraId="1E0C8652">
      <w:pPr>
        <w:spacing w:line="480" w:lineRule="exact"/>
        <w:rPr>
          <w:rFonts w:ascii="宋体" w:hAnsi="宋体"/>
          <w:sz w:val="24"/>
        </w:rPr>
      </w:pPr>
      <w:r>
        <w:rPr>
          <w:rFonts w:hint="eastAsia" w:ascii="宋体" w:hAnsi="宋体"/>
          <w:sz w:val="24"/>
        </w:rPr>
        <w:t>　　（3）具有履行合同所必需的设备和专业技术能力；</w:t>
      </w:r>
      <w:r>
        <w:rPr>
          <w:rFonts w:ascii="宋体" w:hAnsi="宋体"/>
          <w:sz w:val="24"/>
        </w:rPr>
        <w:t xml:space="preserve"> </w:t>
      </w:r>
    </w:p>
    <w:p w14:paraId="4210D07A">
      <w:pPr>
        <w:spacing w:line="480" w:lineRule="exact"/>
        <w:rPr>
          <w:rFonts w:ascii="宋体" w:hAnsi="宋体"/>
          <w:sz w:val="24"/>
        </w:rPr>
      </w:pPr>
      <w:r>
        <w:rPr>
          <w:rFonts w:hint="eastAsia" w:ascii="宋体" w:hAnsi="宋体"/>
          <w:sz w:val="24"/>
        </w:rPr>
        <w:t>　　（4）有依法缴纳税收和社会保障资金的良好记录；</w:t>
      </w:r>
      <w:r>
        <w:rPr>
          <w:rFonts w:ascii="宋体" w:hAnsi="宋体"/>
          <w:sz w:val="24"/>
        </w:rPr>
        <w:t xml:space="preserve"> </w:t>
      </w:r>
    </w:p>
    <w:p w14:paraId="17BD7B7A">
      <w:pPr>
        <w:spacing w:line="480" w:lineRule="exact"/>
        <w:rPr>
          <w:rFonts w:ascii="宋体" w:hAnsi="宋体"/>
          <w:sz w:val="24"/>
          <w:u w:val="single"/>
        </w:rPr>
      </w:pPr>
      <w:r>
        <w:rPr>
          <w:rFonts w:hint="eastAsia" w:ascii="宋体" w:hAnsi="宋体"/>
          <w:sz w:val="24"/>
        </w:rPr>
        <w:t>　　（5）近三年内，在经营活动中没有重大违法记录；</w:t>
      </w:r>
    </w:p>
    <w:p w14:paraId="5E956CAB">
      <w:pPr>
        <w:spacing w:line="480" w:lineRule="exact"/>
        <w:ind w:firstLine="480" w:firstLineChars="200"/>
        <w:rPr>
          <w:rFonts w:ascii="宋体" w:hAnsi="宋体"/>
          <w:sz w:val="24"/>
        </w:rPr>
      </w:pPr>
      <w:r>
        <w:rPr>
          <w:rFonts w:hint="eastAsia" w:ascii="宋体" w:hAnsi="宋体"/>
          <w:sz w:val="24"/>
        </w:rPr>
        <w:t>就我方全部所知，兹证明上述声明是真实、正确的，并已提供了全部现有资料和数据，我方同意根据贵方要求出示文件予以证实。</w:t>
      </w:r>
    </w:p>
    <w:p w14:paraId="0D4996F9">
      <w:pPr>
        <w:spacing w:line="480" w:lineRule="exact"/>
        <w:rPr>
          <w:rFonts w:ascii="宋体" w:hAnsi="宋体"/>
          <w:sz w:val="24"/>
          <w:u w:val="single"/>
        </w:rPr>
      </w:pPr>
      <w:r>
        <w:rPr>
          <w:rFonts w:hint="eastAsia" w:ascii="宋体" w:hAnsi="宋体"/>
          <w:sz w:val="24"/>
        </w:rPr>
        <w:t xml:space="preserve">   投标人代表签名：</w:t>
      </w:r>
      <w:r>
        <w:rPr>
          <w:rFonts w:hint="eastAsia" w:ascii="宋体" w:hAnsi="宋体"/>
          <w:sz w:val="24"/>
          <w:u w:val="single"/>
        </w:rPr>
        <w:t xml:space="preserve">                            </w:t>
      </w:r>
    </w:p>
    <w:p w14:paraId="7E6F23DE">
      <w:pPr>
        <w:spacing w:line="480" w:lineRule="exact"/>
        <w:ind w:firstLine="240" w:firstLineChars="100"/>
        <w:rPr>
          <w:rFonts w:ascii="宋体" w:hAnsi="宋体"/>
          <w:sz w:val="24"/>
        </w:rPr>
      </w:pPr>
      <w:r>
        <w:rPr>
          <w:rFonts w:hint="eastAsia" w:ascii="宋体" w:hAnsi="宋体"/>
          <w:sz w:val="24"/>
        </w:rPr>
        <w:t xml:space="preserve"> 投标人（全称并加盖公章）：</w:t>
      </w:r>
      <w:r>
        <w:rPr>
          <w:rFonts w:hint="eastAsia" w:ascii="宋体" w:hAnsi="宋体"/>
          <w:sz w:val="24"/>
          <w:u w:val="single"/>
        </w:rPr>
        <w:t xml:space="preserve">                   </w:t>
      </w:r>
    </w:p>
    <w:p w14:paraId="0661D933">
      <w:pPr>
        <w:spacing w:line="4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14:paraId="226D6640">
      <w:pPr>
        <w:rPr>
          <w:rFonts w:ascii="宋体" w:hAnsi="宋体"/>
          <w:szCs w:val="21"/>
        </w:rPr>
      </w:pPr>
    </w:p>
    <w:p w14:paraId="11530A8E">
      <w:pPr>
        <w:spacing w:line="380" w:lineRule="exact"/>
        <w:jc w:val="center"/>
        <w:rPr>
          <w:rFonts w:hAnsi="宋体"/>
          <w:b/>
          <w:sz w:val="36"/>
        </w:rPr>
      </w:pPr>
      <w:r>
        <w:rPr>
          <w:rFonts w:ascii="宋体" w:hAnsi="宋体"/>
          <w:sz w:val="24"/>
        </w:rPr>
        <w:br w:type="page"/>
      </w:r>
      <w:r>
        <w:rPr>
          <w:rFonts w:hint="eastAsia" w:ascii="宋体" w:hAnsi="宋体"/>
          <w:b/>
          <w:sz w:val="36"/>
        </w:rPr>
        <w:t>4、投标人的资格证明材料</w:t>
      </w:r>
      <w:bookmarkStart w:id="78" w:name="_Toc462994804"/>
      <w:bookmarkStart w:id="79" w:name="_Toc462990134"/>
      <w:bookmarkStart w:id="80" w:name="_Toc467163872"/>
      <w:bookmarkStart w:id="81" w:name="_Toc22653"/>
      <w:bookmarkStart w:id="82" w:name="_Toc462989264"/>
      <w:bookmarkStart w:id="83" w:name="_Toc459798542"/>
    </w:p>
    <w:p w14:paraId="20212017">
      <w:pPr>
        <w:pStyle w:val="23"/>
        <w:spacing w:line="600" w:lineRule="exact"/>
        <w:jc w:val="center"/>
        <w:outlineLvl w:val="9"/>
        <w:rPr>
          <w:rFonts w:hAnsi="宋体"/>
          <w:b/>
          <w:sz w:val="36"/>
        </w:rPr>
      </w:pPr>
      <w:r>
        <w:rPr>
          <w:rFonts w:hint="eastAsia" w:hAnsi="宋体"/>
          <w:b/>
          <w:sz w:val="32"/>
          <w:szCs w:val="32"/>
        </w:rPr>
        <w:t>4.1合格有效的营业执照复印件</w:t>
      </w:r>
    </w:p>
    <w:p w14:paraId="65A8D8CD">
      <w:pPr>
        <w:pStyle w:val="23"/>
        <w:jc w:val="center"/>
        <w:outlineLvl w:val="9"/>
        <w:rPr>
          <w:rFonts w:hAnsi="宋体"/>
          <w:b/>
          <w:sz w:val="24"/>
        </w:rPr>
      </w:pPr>
    </w:p>
    <w:p w14:paraId="18CF9AA4">
      <w:pPr>
        <w:pStyle w:val="23"/>
        <w:jc w:val="center"/>
        <w:outlineLvl w:val="9"/>
        <w:rPr>
          <w:rFonts w:hAnsi="宋体"/>
          <w:b/>
          <w:sz w:val="24"/>
        </w:rPr>
      </w:pPr>
    </w:p>
    <w:p w14:paraId="30289E02">
      <w:pPr>
        <w:spacing w:line="380" w:lineRule="exact"/>
        <w:rPr>
          <w:rFonts w:ascii="宋体" w:hAnsi="宋体"/>
          <w:sz w:val="24"/>
        </w:rPr>
      </w:pPr>
      <w:r>
        <w:rPr>
          <w:rFonts w:hint="eastAsia" w:ascii="宋体" w:hAnsi="宋体"/>
          <w:sz w:val="24"/>
          <w:u w:val="single"/>
        </w:rPr>
        <w:t xml:space="preserve"> 福建省宏瑞招标代理有限公司  </w:t>
      </w:r>
      <w:r>
        <w:rPr>
          <w:rFonts w:hint="eastAsia" w:ascii="宋体" w:hAnsi="宋体"/>
          <w:sz w:val="24"/>
        </w:rPr>
        <w:t>：</w:t>
      </w:r>
    </w:p>
    <w:p w14:paraId="494DB353">
      <w:pPr>
        <w:spacing w:line="380" w:lineRule="exact"/>
        <w:rPr>
          <w:rFonts w:ascii="宋体" w:hAnsi="宋体"/>
          <w:sz w:val="24"/>
        </w:rPr>
      </w:pPr>
    </w:p>
    <w:p w14:paraId="659DD599">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（签发机关名称）签发的我方三证合一营业执照复印件，该执照真实有效。</w:t>
      </w:r>
    </w:p>
    <w:p w14:paraId="10A58787">
      <w:pPr>
        <w:spacing w:line="380" w:lineRule="exact"/>
        <w:rPr>
          <w:rFonts w:ascii="宋体" w:hAnsi="宋体"/>
          <w:sz w:val="24"/>
        </w:rPr>
      </w:pPr>
    </w:p>
    <w:p w14:paraId="3B1FEBAA">
      <w:pPr>
        <w:spacing w:line="380" w:lineRule="exact"/>
        <w:rPr>
          <w:rFonts w:ascii="宋体" w:hAnsi="宋体"/>
          <w:sz w:val="24"/>
        </w:rPr>
      </w:pPr>
    </w:p>
    <w:p w14:paraId="158FFFA6">
      <w:pPr>
        <w:spacing w:line="380" w:lineRule="exact"/>
        <w:ind w:firstLine="3240" w:firstLineChars="1350"/>
        <w:rPr>
          <w:rFonts w:ascii="宋体" w:hAnsi="宋体"/>
          <w:sz w:val="24"/>
        </w:rPr>
      </w:pPr>
    </w:p>
    <w:p w14:paraId="1DAD6951">
      <w:pPr>
        <w:spacing w:line="380" w:lineRule="exact"/>
        <w:ind w:firstLine="3240" w:firstLineChars="1350"/>
        <w:rPr>
          <w:rFonts w:ascii="宋体" w:hAnsi="宋体"/>
          <w:sz w:val="24"/>
        </w:rPr>
      </w:pPr>
    </w:p>
    <w:p w14:paraId="04CAEE03">
      <w:pPr>
        <w:spacing w:line="380" w:lineRule="exact"/>
        <w:ind w:firstLine="3240" w:firstLineChars="1350"/>
        <w:rPr>
          <w:rFonts w:ascii="宋体" w:hAnsi="宋体"/>
          <w:sz w:val="24"/>
        </w:rPr>
      </w:pPr>
      <w:r>
        <w:rPr>
          <w:rFonts w:hint="eastAsia" w:ascii="宋体" w:hAnsi="宋体"/>
          <w:sz w:val="24"/>
        </w:rPr>
        <w:t>投标人代表签名：</w:t>
      </w:r>
      <w:r>
        <w:rPr>
          <w:rFonts w:hint="eastAsia" w:ascii="宋体" w:hAnsi="宋体"/>
          <w:sz w:val="24"/>
          <w:u w:val="single"/>
        </w:rPr>
        <w:t xml:space="preserve">                         </w:t>
      </w:r>
    </w:p>
    <w:p w14:paraId="66D3ACC7">
      <w:pPr>
        <w:spacing w:line="380" w:lineRule="exact"/>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14:paraId="44ACF7E0">
      <w:pPr>
        <w:spacing w:line="380" w:lineRule="exact"/>
        <w:rPr>
          <w:rFonts w:ascii="宋体" w:hAnsi="宋体"/>
          <w:sz w:val="24"/>
        </w:rPr>
      </w:pPr>
      <w:r>
        <w:rPr>
          <w:rFonts w:hint="eastAsia" w:ascii="宋体" w:hAnsi="宋体"/>
          <w:sz w:val="24"/>
        </w:rPr>
        <w:t xml:space="preserve">                         </w:t>
      </w:r>
    </w:p>
    <w:p w14:paraId="714EA3CC">
      <w:pPr>
        <w:pStyle w:val="23"/>
        <w:jc w:val="center"/>
        <w:outlineLvl w:val="9"/>
        <w:rPr>
          <w:rFonts w:hAnsi="宋体"/>
          <w:b/>
          <w:sz w:val="24"/>
        </w:rPr>
      </w:pPr>
    </w:p>
    <w:p w14:paraId="12EAAFDA">
      <w:pPr>
        <w:pStyle w:val="23"/>
        <w:jc w:val="center"/>
        <w:outlineLvl w:val="9"/>
        <w:rPr>
          <w:rFonts w:hAnsi="宋体"/>
          <w:b/>
          <w:sz w:val="24"/>
        </w:rPr>
      </w:pPr>
    </w:p>
    <w:p w14:paraId="2107E5DA">
      <w:pPr>
        <w:pStyle w:val="23"/>
        <w:jc w:val="center"/>
        <w:outlineLvl w:val="9"/>
        <w:rPr>
          <w:rFonts w:hAnsi="宋体"/>
          <w:b/>
          <w:sz w:val="24"/>
        </w:rPr>
      </w:pPr>
    </w:p>
    <w:p w14:paraId="3D2F8887">
      <w:pPr>
        <w:pStyle w:val="23"/>
        <w:jc w:val="center"/>
        <w:outlineLvl w:val="9"/>
        <w:rPr>
          <w:rFonts w:hAnsi="宋体"/>
          <w:b/>
          <w:sz w:val="24"/>
        </w:rPr>
      </w:pPr>
    </w:p>
    <w:p w14:paraId="20044E4E">
      <w:pPr>
        <w:pStyle w:val="23"/>
        <w:jc w:val="center"/>
        <w:outlineLvl w:val="9"/>
        <w:rPr>
          <w:rFonts w:hAnsi="宋体"/>
          <w:b/>
          <w:sz w:val="24"/>
        </w:rPr>
      </w:pPr>
    </w:p>
    <w:p w14:paraId="459648A6">
      <w:pPr>
        <w:pStyle w:val="23"/>
        <w:jc w:val="center"/>
        <w:outlineLvl w:val="9"/>
        <w:rPr>
          <w:rFonts w:hAnsi="宋体"/>
          <w:b/>
          <w:sz w:val="24"/>
        </w:rPr>
      </w:pPr>
    </w:p>
    <w:p w14:paraId="4AF3A3B7">
      <w:pPr>
        <w:pStyle w:val="23"/>
        <w:jc w:val="center"/>
        <w:outlineLvl w:val="9"/>
        <w:rPr>
          <w:rFonts w:hAnsi="宋体"/>
          <w:b/>
          <w:sz w:val="24"/>
        </w:rPr>
      </w:pPr>
    </w:p>
    <w:p w14:paraId="106C2F29">
      <w:pPr>
        <w:pStyle w:val="23"/>
        <w:jc w:val="center"/>
        <w:outlineLvl w:val="9"/>
        <w:rPr>
          <w:rFonts w:hAnsi="宋体"/>
          <w:b/>
          <w:sz w:val="24"/>
        </w:rPr>
      </w:pPr>
    </w:p>
    <w:p w14:paraId="258D1819">
      <w:pPr>
        <w:pStyle w:val="23"/>
        <w:jc w:val="center"/>
        <w:outlineLvl w:val="9"/>
        <w:rPr>
          <w:rFonts w:hAnsi="宋体"/>
          <w:b/>
          <w:sz w:val="24"/>
        </w:rPr>
      </w:pPr>
    </w:p>
    <w:p w14:paraId="41FFEA9D">
      <w:pPr>
        <w:pStyle w:val="23"/>
        <w:jc w:val="center"/>
        <w:outlineLvl w:val="9"/>
        <w:rPr>
          <w:rFonts w:hAnsi="宋体"/>
          <w:b/>
          <w:sz w:val="24"/>
        </w:rPr>
      </w:pPr>
    </w:p>
    <w:p w14:paraId="220E3342">
      <w:pPr>
        <w:pStyle w:val="23"/>
        <w:jc w:val="center"/>
        <w:outlineLvl w:val="9"/>
        <w:rPr>
          <w:rFonts w:hAnsi="宋体"/>
          <w:b/>
          <w:sz w:val="24"/>
        </w:rPr>
      </w:pPr>
    </w:p>
    <w:p w14:paraId="3211C3C2">
      <w:pPr>
        <w:pStyle w:val="23"/>
        <w:jc w:val="center"/>
        <w:outlineLvl w:val="9"/>
        <w:rPr>
          <w:rFonts w:hAnsi="宋体"/>
          <w:b/>
          <w:sz w:val="24"/>
        </w:rPr>
      </w:pPr>
    </w:p>
    <w:p w14:paraId="4AF6BB27">
      <w:pPr>
        <w:pStyle w:val="23"/>
        <w:jc w:val="center"/>
        <w:outlineLvl w:val="9"/>
        <w:rPr>
          <w:rFonts w:hAnsi="宋体"/>
          <w:b/>
          <w:sz w:val="24"/>
        </w:rPr>
      </w:pPr>
    </w:p>
    <w:p w14:paraId="7E5DCA73">
      <w:pPr>
        <w:pStyle w:val="23"/>
        <w:jc w:val="center"/>
        <w:outlineLvl w:val="9"/>
        <w:rPr>
          <w:rFonts w:hAnsi="宋体"/>
          <w:b/>
          <w:sz w:val="24"/>
        </w:rPr>
      </w:pPr>
    </w:p>
    <w:p w14:paraId="28A82BE6">
      <w:pPr>
        <w:pStyle w:val="23"/>
        <w:jc w:val="center"/>
        <w:outlineLvl w:val="9"/>
        <w:rPr>
          <w:rFonts w:hAnsi="宋体"/>
          <w:b/>
          <w:sz w:val="24"/>
        </w:rPr>
      </w:pPr>
    </w:p>
    <w:p w14:paraId="444EF82C">
      <w:pPr>
        <w:pStyle w:val="23"/>
        <w:jc w:val="center"/>
        <w:outlineLvl w:val="9"/>
        <w:rPr>
          <w:rFonts w:hAnsi="宋体"/>
          <w:b/>
          <w:sz w:val="24"/>
        </w:rPr>
      </w:pPr>
    </w:p>
    <w:p w14:paraId="54A5A19A">
      <w:pPr>
        <w:pStyle w:val="23"/>
        <w:outlineLvl w:val="9"/>
        <w:rPr>
          <w:rFonts w:hAnsi="宋体"/>
          <w:b/>
          <w:sz w:val="24"/>
        </w:rPr>
      </w:pPr>
    </w:p>
    <w:p w14:paraId="053893C0">
      <w:pPr>
        <w:pStyle w:val="23"/>
        <w:jc w:val="center"/>
        <w:outlineLvl w:val="9"/>
        <w:rPr>
          <w:rFonts w:hAnsi="宋体"/>
          <w:b/>
          <w:sz w:val="24"/>
        </w:rPr>
      </w:pPr>
    </w:p>
    <w:p w14:paraId="6E370773">
      <w:pPr>
        <w:pStyle w:val="23"/>
        <w:jc w:val="center"/>
        <w:outlineLvl w:val="9"/>
        <w:rPr>
          <w:rFonts w:hAnsi="宋体"/>
          <w:b/>
          <w:sz w:val="36"/>
        </w:rPr>
      </w:pPr>
    </w:p>
    <w:p w14:paraId="00D34FEE">
      <w:pPr>
        <w:pStyle w:val="23"/>
        <w:jc w:val="center"/>
        <w:outlineLvl w:val="9"/>
        <w:rPr>
          <w:rFonts w:hAnsi="宋体"/>
          <w:b/>
          <w:sz w:val="36"/>
        </w:rPr>
      </w:pPr>
    </w:p>
    <w:p w14:paraId="5FC80461">
      <w:pPr>
        <w:pStyle w:val="23"/>
        <w:jc w:val="center"/>
        <w:outlineLvl w:val="9"/>
        <w:rPr>
          <w:rFonts w:hAnsi="宋体"/>
          <w:b/>
          <w:sz w:val="36"/>
        </w:rPr>
      </w:pPr>
    </w:p>
    <w:p w14:paraId="3662AD02">
      <w:pPr>
        <w:pStyle w:val="23"/>
        <w:jc w:val="center"/>
        <w:outlineLvl w:val="9"/>
        <w:rPr>
          <w:rFonts w:hAnsi="宋体"/>
          <w:b/>
          <w:sz w:val="36"/>
        </w:rPr>
      </w:pPr>
    </w:p>
    <w:p w14:paraId="04022120">
      <w:pPr>
        <w:pStyle w:val="23"/>
        <w:jc w:val="center"/>
        <w:outlineLvl w:val="9"/>
        <w:rPr>
          <w:rFonts w:hAnsi="宋体"/>
          <w:b/>
          <w:sz w:val="36"/>
        </w:rPr>
      </w:pPr>
    </w:p>
    <w:p w14:paraId="2191FC40">
      <w:pPr>
        <w:pStyle w:val="23"/>
        <w:jc w:val="center"/>
        <w:outlineLvl w:val="9"/>
        <w:rPr>
          <w:rFonts w:hAnsi="宋体"/>
          <w:b/>
          <w:sz w:val="36"/>
        </w:rPr>
      </w:pPr>
    </w:p>
    <w:p w14:paraId="14410217">
      <w:pPr>
        <w:pStyle w:val="23"/>
        <w:jc w:val="center"/>
        <w:outlineLvl w:val="9"/>
        <w:rPr>
          <w:rFonts w:hAnsi="宋体"/>
          <w:b/>
          <w:sz w:val="36"/>
        </w:rPr>
      </w:pPr>
    </w:p>
    <w:bookmarkEnd w:id="78"/>
    <w:bookmarkEnd w:id="79"/>
    <w:bookmarkEnd w:id="80"/>
    <w:bookmarkEnd w:id="81"/>
    <w:bookmarkEnd w:id="82"/>
    <w:bookmarkEnd w:id="83"/>
    <w:p w14:paraId="0A671B5B">
      <w:pPr>
        <w:pStyle w:val="23"/>
        <w:jc w:val="center"/>
        <w:outlineLvl w:val="9"/>
        <w:rPr>
          <w:rFonts w:hAnsi="宋体"/>
        </w:rPr>
      </w:pPr>
      <w:r>
        <w:rPr>
          <w:rFonts w:hint="eastAsia" w:hAnsi="宋体"/>
          <w:b/>
          <w:sz w:val="36"/>
        </w:rPr>
        <w:t>4.2单位负责人授权书</w:t>
      </w:r>
    </w:p>
    <w:p w14:paraId="263D4FFF">
      <w:pPr>
        <w:pStyle w:val="33"/>
        <w:numPr>
          <w:ilvl w:val="0"/>
          <w:numId w:val="0"/>
        </w:numPr>
        <w:adjustRightInd/>
        <w:spacing w:before="0" w:line="240" w:lineRule="atLeast"/>
        <w:outlineLvl w:val="9"/>
        <w:rPr>
          <w:rFonts w:ascii="宋体" w:hAnsi="宋体" w:eastAsia="宋体"/>
          <w:sz w:val="24"/>
          <w:szCs w:val="24"/>
        </w:rPr>
      </w:pPr>
    </w:p>
    <w:p w14:paraId="574CD80E">
      <w:pPr>
        <w:pStyle w:val="25"/>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致：</w:t>
      </w:r>
      <w:r>
        <w:rPr>
          <w:rFonts w:hint="eastAsia" w:ascii="宋体" w:hAnsi="宋体" w:eastAsia="宋体" w:cs="宋体"/>
          <w:b w:val="0"/>
          <w:bCs/>
          <w:sz w:val="24"/>
          <w:szCs w:val="24"/>
          <w:u w:val="single"/>
        </w:rPr>
        <w:t>（</w:t>
      </w:r>
      <w:r>
        <w:rPr>
          <w:rFonts w:hint="eastAsia" w:ascii="宋体" w:hAnsi="宋体" w:eastAsia="宋体" w:cs="宋体"/>
          <w:b w:val="0"/>
          <w:bCs/>
          <w:sz w:val="24"/>
          <w:szCs w:val="24"/>
          <w:u w:val="single"/>
          <w:lang w:eastAsia="zh-CN"/>
        </w:rPr>
        <w:t>招标人</w:t>
      </w:r>
      <w:r>
        <w:rPr>
          <w:rFonts w:hint="eastAsia" w:ascii="宋体" w:hAnsi="宋体" w:eastAsia="宋体" w:cs="宋体"/>
          <w:b w:val="0"/>
          <w:bCs/>
          <w:sz w:val="24"/>
          <w:szCs w:val="24"/>
          <w:u w:val="single"/>
        </w:rPr>
        <w:t>或采购代理机构）</w:t>
      </w:r>
    </w:p>
    <w:p w14:paraId="57192243">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我方的单位负责人</w:t>
      </w:r>
      <w:r>
        <w:rPr>
          <w:rFonts w:hint="eastAsia" w:ascii="宋体" w:hAnsi="宋体" w:eastAsia="宋体" w:cs="宋体"/>
          <w:b w:val="0"/>
          <w:bCs/>
          <w:sz w:val="24"/>
          <w:szCs w:val="24"/>
          <w:u w:val="single"/>
        </w:rPr>
        <w:t>（填写“单位负责人全名”）</w:t>
      </w:r>
      <w:r>
        <w:rPr>
          <w:rFonts w:hint="eastAsia" w:ascii="宋体" w:hAnsi="宋体" w:eastAsia="宋体" w:cs="宋体"/>
          <w:b w:val="0"/>
          <w:bCs/>
          <w:sz w:val="24"/>
          <w:szCs w:val="24"/>
        </w:rPr>
        <w:t>授权</w:t>
      </w:r>
      <w:r>
        <w:rPr>
          <w:rFonts w:hint="eastAsia" w:ascii="宋体" w:hAnsi="宋体" w:eastAsia="宋体" w:cs="宋体"/>
          <w:b w:val="0"/>
          <w:bCs/>
          <w:sz w:val="24"/>
          <w:szCs w:val="24"/>
          <w:u w:val="single"/>
        </w:rPr>
        <w:t>（填写“投标人代表全名”）</w:t>
      </w:r>
      <w:r>
        <w:rPr>
          <w:rFonts w:hint="eastAsia" w:ascii="宋体" w:hAnsi="宋体" w:eastAsia="宋体" w:cs="宋体"/>
          <w:b w:val="0"/>
          <w:bCs/>
          <w:sz w:val="24"/>
          <w:szCs w:val="24"/>
        </w:rPr>
        <w:t>为投标人代表，代表我方参加</w:t>
      </w:r>
      <w:r>
        <w:rPr>
          <w:rFonts w:hint="eastAsia" w:ascii="宋体" w:hAnsi="宋体" w:eastAsia="宋体" w:cs="宋体"/>
          <w:b w:val="0"/>
          <w:bCs/>
          <w:sz w:val="24"/>
          <w:szCs w:val="24"/>
          <w:u w:val="single"/>
        </w:rPr>
        <w:t>（填写“项目名称”）</w:t>
      </w:r>
      <w:r>
        <w:rPr>
          <w:rFonts w:hint="eastAsia" w:ascii="宋体" w:hAnsi="宋体" w:eastAsia="宋体" w:cs="宋体"/>
          <w:b w:val="0"/>
          <w:bCs/>
          <w:sz w:val="24"/>
          <w:szCs w:val="24"/>
        </w:rPr>
        <w:t>项目（项目编号：</w:t>
      </w:r>
      <w:r>
        <w:rPr>
          <w:rFonts w:hint="eastAsia" w:ascii="宋体" w:hAnsi="宋体" w:eastAsia="宋体" w:cs="宋体"/>
          <w:b w:val="0"/>
          <w:bCs/>
          <w:sz w:val="24"/>
          <w:szCs w:val="24"/>
          <w:u w:val="single"/>
        </w:rPr>
        <w:t>　　　　　</w:t>
      </w:r>
      <w:r>
        <w:rPr>
          <w:rFonts w:hint="eastAsia" w:ascii="宋体" w:hAnsi="宋体" w:eastAsia="宋体" w:cs="宋体"/>
          <w:b w:val="0"/>
          <w:bCs/>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DE9CFD5">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投标人代表无转委权。特此授权。</w:t>
      </w:r>
    </w:p>
    <w:p w14:paraId="40FB94C9">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（以下无正文）</w:t>
      </w:r>
    </w:p>
    <w:p w14:paraId="77399682">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单位负责人：</w:t>
      </w:r>
      <w:r>
        <w:rPr>
          <w:rFonts w:hint="eastAsia" w:ascii="宋体" w:hAnsi="宋体" w:eastAsia="宋体" w:cs="宋体"/>
          <w:b w:val="0"/>
          <w:bCs/>
          <w:sz w:val="24"/>
          <w:szCs w:val="24"/>
          <w:u w:val="single"/>
        </w:rPr>
        <w:t>　　　　　</w:t>
      </w:r>
      <w:r>
        <w:rPr>
          <w:rFonts w:hint="eastAsia" w:ascii="宋体" w:hAnsi="宋体" w:eastAsia="宋体" w:cs="宋体"/>
          <w:b w:val="0"/>
          <w:bCs/>
          <w:sz w:val="24"/>
          <w:szCs w:val="24"/>
        </w:rPr>
        <w:t>身份证号：</w:t>
      </w:r>
      <w:r>
        <w:rPr>
          <w:rFonts w:hint="eastAsia" w:ascii="宋体" w:hAnsi="宋体" w:eastAsia="宋体" w:cs="宋体"/>
          <w:b w:val="0"/>
          <w:bCs/>
          <w:sz w:val="24"/>
          <w:szCs w:val="24"/>
          <w:u w:val="single"/>
        </w:rPr>
        <w:t>　　　　　</w:t>
      </w:r>
      <w:r>
        <w:rPr>
          <w:rFonts w:hint="eastAsia" w:ascii="宋体" w:hAnsi="宋体" w:eastAsia="宋体" w:cs="宋体"/>
          <w:b w:val="0"/>
          <w:bCs/>
          <w:sz w:val="24"/>
          <w:szCs w:val="24"/>
        </w:rPr>
        <w:t>手机：</w:t>
      </w:r>
      <w:r>
        <w:rPr>
          <w:rFonts w:hint="eastAsia" w:ascii="宋体" w:hAnsi="宋体" w:eastAsia="宋体" w:cs="宋体"/>
          <w:b w:val="0"/>
          <w:bCs/>
          <w:sz w:val="24"/>
          <w:szCs w:val="24"/>
          <w:u w:val="single"/>
        </w:rPr>
        <w:t>　　　　　</w:t>
      </w:r>
    </w:p>
    <w:p w14:paraId="54C32F73">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投标人代表：</w:t>
      </w:r>
      <w:r>
        <w:rPr>
          <w:rFonts w:hint="eastAsia" w:ascii="宋体" w:hAnsi="宋体" w:eastAsia="宋体" w:cs="宋体"/>
          <w:b w:val="0"/>
          <w:bCs/>
          <w:sz w:val="24"/>
          <w:szCs w:val="24"/>
          <w:u w:val="single"/>
        </w:rPr>
        <w:t>　　　　　</w:t>
      </w:r>
      <w:r>
        <w:rPr>
          <w:rFonts w:hint="eastAsia" w:ascii="宋体" w:hAnsi="宋体" w:eastAsia="宋体" w:cs="宋体"/>
          <w:b w:val="0"/>
          <w:bCs/>
          <w:sz w:val="24"/>
          <w:szCs w:val="24"/>
        </w:rPr>
        <w:t>身份证号：</w:t>
      </w:r>
      <w:r>
        <w:rPr>
          <w:rFonts w:hint="eastAsia" w:ascii="宋体" w:hAnsi="宋体" w:eastAsia="宋体" w:cs="宋体"/>
          <w:b w:val="0"/>
          <w:bCs/>
          <w:sz w:val="24"/>
          <w:szCs w:val="24"/>
          <w:u w:val="single"/>
        </w:rPr>
        <w:t>　　　　　</w:t>
      </w:r>
      <w:r>
        <w:rPr>
          <w:rFonts w:hint="eastAsia" w:ascii="宋体" w:hAnsi="宋体" w:eastAsia="宋体" w:cs="宋体"/>
          <w:b w:val="0"/>
          <w:bCs/>
          <w:sz w:val="24"/>
          <w:szCs w:val="24"/>
        </w:rPr>
        <w:t>手机：</w:t>
      </w:r>
      <w:r>
        <w:rPr>
          <w:rFonts w:hint="eastAsia" w:ascii="宋体" w:hAnsi="宋体" w:eastAsia="宋体" w:cs="宋体"/>
          <w:b w:val="0"/>
          <w:bCs/>
          <w:sz w:val="24"/>
          <w:szCs w:val="24"/>
          <w:u w:val="single"/>
        </w:rPr>
        <w:t>　　　　　</w:t>
      </w:r>
    </w:p>
    <w:p w14:paraId="2AEBDBA6">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授权方</w:t>
      </w:r>
    </w:p>
    <w:p w14:paraId="52C04F52">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投标人：</w:t>
      </w:r>
      <w:r>
        <w:rPr>
          <w:rFonts w:hint="eastAsia" w:ascii="宋体" w:hAnsi="宋体" w:eastAsia="宋体" w:cs="宋体"/>
          <w:b w:val="0"/>
          <w:bCs/>
          <w:sz w:val="24"/>
          <w:szCs w:val="24"/>
          <w:u w:val="single"/>
        </w:rPr>
        <w:t>（全称并加盖单位公章）</w:t>
      </w:r>
    </w:p>
    <w:p w14:paraId="0DD75E35">
      <w:pPr>
        <w:pStyle w:val="25"/>
        <w:spacing w:line="360" w:lineRule="auto"/>
        <w:ind w:firstLine="480"/>
        <w:jc w:val="right"/>
        <w:rPr>
          <w:rFonts w:hint="eastAsia" w:ascii="宋体" w:hAnsi="宋体" w:eastAsia="宋体" w:cs="宋体"/>
          <w:b w:val="0"/>
          <w:bCs/>
          <w:sz w:val="24"/>
          <w:szCs w:val="24"/>
        </w:rPr>
      </w:pPr>
      <w:r>
        <w:rPr>
          <w:rFonts w:hint="eastAsia" w:ascii="宋体" w:hAnsi="宋体" w:eastAsia="宋体" w:cs="宋体"/>
          <w:b w:val="0"/>
          <w:bCs/>
          <w:sz w:val="24"/>
          <w:szCs w:val="24"/>
        </w:rPr>
        <w:t>签署日期： 年 月 日</w:t>
      </w:r>
    </w:p>
    <w:p w14:paraId="57C37B3F">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附：单位负责人、投标人代表的身份证正反面复印件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14:paraId="17A5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2" w:type="dxa"/>
          </w:tcPr>
          <w:p w14:paraId="225790DF">
            <w:pPr>
              <w:pStyle w:val="25"/>
              <w:widowControl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要求：真实有效且内容完整、清晰、整洁。</w:t>
            </w:r>
          </w:p>
          <w:p w14:paraId="0680429A">
            <w:pPr>
              <w:pStyle w:val="25"/>
              <w:widowControl w:val="0"/>
              <w:spacing w:line="360" w:lineRule="auto"/>
              <w:jc w:val="left"/>
              <w:rPr>
                <w:rFonts w:hint="eastAsia" w:ascii="宋体" w:hAnsi="宋体" w:eastAsia="宋体" w:cs="宋体"/>
                <w:b w:val="0"/>
                <w:bCs/>
                <w:sz w:val="24"/>
                <w:szCs w:val="24"/>
                <w:vertAlign w:val="baseline"/>
              </w:rPr>
            </w:pPr>
          </w:p>
        </w:tc>
      </w:tr>
    </w:tbl>
    <w:p w14:paraId="6066D560">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※注意：</w:t>
      </w:r>
    </w:p>
    <w:p w14:paraId="68B1FE11">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1、企业（银行、保险、石油石化、电力、电信等行业除外）、事业单位和社会团体法人的“单位负责人”指法定代表人，即与实际提交的“营业执照等证明文件”载明的一致。</w:t>
      </w:r>
    </w:p>
    <w:p w14:paraId="127E06B5">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AB789FC">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3、若投标人代表为单位授权的委托代理人，应提供本授权书；若投标人代表为单位负责人，应在此项下提交其身份证正反面复印件，可不提供本授权书。</w:t>
      </w:r>
    </w:p>
    <w:p w14:paraId="5AB656F9">
      <w:pPr>
        <w:spacing w:line="480" w:lineRule="exact"/>
        <w:ind w:firstLine="4080" w:firstLineChars="1700"/>
        <w:rPr>
          <w:rFonts w:ascii="宋体" w:hAnsi="宋体"/>
          <w:sz w:val="24"/>
        </w:rPr>
      </w:pPr>
    </w:p>
    <w:p w14:paraId="425805AA">
      <w:pPr>
        <w:spacing w:line="480" w:lineRule="exact"/>
        <w:rPr>
          <w:rFonts w:ascii="宋体" w:hAnsi="宋体"/>
          <w:sz w:val="24"/>
        </w:rPr>
      </w:pPr>
    </w:p>
    <w:p w14:paraId="2CF03819">
      <w:pPr>
        <w:pStyle w:val="12"/>
        <w:spacing w:line="360" w:lineRule="auto"/>
        <w:ind w:firstLine="0" w:firstLineChars="0"/>
        <w:jc w:val="left"/>
        <w:rPr>
          <w:rFonts w:ascii="宋体" w:hAnsi="宋体" w:eastAsia="宋体"/>
          <w:b/>
          <w:sz w:val="36"/>
        </w:rPr>
      </w:pPr>
      <w:r>
        <w:rPr>
          <w:rFonts w:hAnsi="宋体"/>
          <w:b/>
          <w:sz w:val="24"/>
        </w:rPr>
        <w:br w:type="page"/>
      </w:r>
      <w:bookmarkStart w:id="84" w:name="_Toc467163874"/>
      <w:bookmarkStart w:id="85" w:name="_Toc462990136"/>
      <w:bookmarkStart w:id="86" w:name="_Toc391403431"/>
      <w:bookmarkStart w:id="87" w:name="_Toc5426"/>
      <w:bookmarkStart w:id="88" w:name="_Toc462994806"/>
      <w:bookmarkStart w:id="89" w:name="_Toc392002114"/>
      <w:bookmarkStart w:id="90" w:name="_Toc462989266"/>
      <w:bookmarkStart w:id="91" w:name="_Toc459798544"/>
      <w:r>
        <w:rPr>
          <w:rFonts w:hint="eastAsia" w:ascii="宋体" w:hAnsi="宋体" w:eastAsia="宋体"/>
          <w:b/>
          <w:sz w:val="36"/>
          <w:shd w:val="clear" w:color="auto" w:fill="auto"/>
        </w:rPr>
        <w:t>4.3投标人财务状况报告、依法缴纳税收和社会保障资金的相关材料</w:t>
      </w:r>
    </w:p>
    <w:p w14:paraId="75D794A4">
      <w:pPr>
        <w:pStyle w:val="12"/>
        <w:ind w:firstLine="361"/>
        <w:rPr>
          <w:rFonts w:ascii="宋体" w:hAnsi="宋体" w:eastAsia="宋体"/>
          <w:b/>
          <w:sz w:val="36"/>
        </w:rPr>
      </w:pPr>
    </w:p>
    <w:p w14:paraId="64EE9380">
      <w:pPr>
        <w:pStyle w:val="12"/>
        <w:ind w:firstLine="321"/>
        <w:rPr>
          <w:rFonts w:ascii="宋体" w:hAnsi="宋体"/>
          <w:b/>
          <w:sz w:val="32"/>
          <w:szCs w:val="32"/>
        </w:rPr>
      </w:pPr>
    </w:p>
    <w:p w14:paraId="3F9D42A9">
      <w:pPr>
        <w:spacing w:line="480" w:lineRule="exact"/>
        <w:ind w:firstLine="3960" w:firstLineChars="1650"/>
        <w:rPr>
          <w:rFonts w:ascii="宋体" w:hAnsi="宋体"/>
          <w:sz w:val="24"/>
        </w:rPr>
      </w:pPr>
    </w:p>
    <w:p w14:paraId="4A69EAAF">
      <w:pPr>
        <w:widowControl/>
        <w:spacing w:line="360" w:lineRule="auto"/>
        <w:jc w:val="center"/>
        <w:rPr>
          <w:sz w:val="24"/>
        </w:rPr>
      </w:pPr>
      <w:r>
        <w:rPr>
          <w:rFonts w:hint="eastAsia" w:ascii="宋体" w:hAnsi="宋体" w:cs="宋体"/>
          <w:sz w:val="24"/>
        </w:rPr>
        <w:t>按招标文件“资格标准”要求提供</w:t>
      </w:r>
    </w:p>
    <w:p w14:paraId="0BBAB57D">
      <w:pPr>
        <w:spacing w:line="480" w:lineRule="exact"/>
        <w:ind w:firstLine="3960" w:firstLineChars="1650"/>
        <w:rPr>
          <w:rFonts w:ascii="宋体" w:hAnsi="宋体"/>
          <w:sz w:val="24"/>
        </w:rPr>
      </w:pPr>
    </w:p>
    <w:p w14:paraId="087D5831">
      <w:pPr>
        <w:spacing w:line="480" w:lineRule="exact"/>
        <w:ind w:firstLine="3960" w:firstLineChars="1650"/>
        <w:rPr>
          <w:rFonts w:ascii="宋体" w:hAnsi="宋体"/>
          <w:sz w:val="24"/>
        </w:rPr>
      </w:pPr>
    </w:p>
    <w:p w14:paraId="1267F80E">
      <w:pPr>
        <w:spacing w:line="480" w:lineRule="exact"/>
        <w:ind w:firstLine="3960" w:firstLineChars="1650"/>
        <w:rPr>
          <w:rFonts w:ascii="宋体" w:hAnsi="宋体"/>
          <w:sz w:val="24"/>
        </w:rPr>
      </w:pPr>
    </w:p>
    <w:p w14:paraId="7069CB79">
      <w:pPr>
        <w:spacing w:line="480" w:lineRule="exact"/>
        <w:ind w:firstLine="3960" w:firstLineChars="1650"/>
        <w:rPr>
          <w:rFonts w:ascii="宋体" w:hAnsi="宋体"/>
          <w:sz w:val="24"/>
        </w:rPr>
      </w:pPr>
    </w:p>
    <w:p w14:paraId="2733C414">
      <w:pPr>
        <w:spacing w:line="480" w:lineRule="exact"/>
        <w:ind w:firstLine="3960" w:firstLineChars="1650"/>
        <w:rPr>
          <w:rFonts w:ascii="宋体" w:hAnsi="宋体"/>
          <w:sz w:val="24"/>
        </w:rPr>
      </w:pPr>
    </w:p>
    <w:p w14:paraId="7585241B">
      <w:pPr>
        <w:spacing w:line="480" w:lineRule="exact"/>
        <w:ind w:firstLine="3960" w:firstLineChars="1650"/>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r>
        <w:rPr>
          <w:rFonts w:hint="eastAsia" w:ascii="宋体" w:hAnsi="宋体"/>
          <w:sz w:val="24"/>
        </w:rPr>
        <w:t xml:space="preserve"> </w:t>
      </w:r>
    </w:p>
    <w:p w14:paraId="2EC880EE">
      <w:pPr>
        <w:spacing w:line="480" w:lineRule="exact"/>
        <w:ind w:firstLine="3960" w:firstLineChars="1650"/>
        <w:rPr>
          <w:rFonts w:ascii="宋体" w:hAnsi="宋体"/>
          <w:sz w:val="24"/>
        </w:rPr>
      </w:pPr>
      <w:r>
        <w:rPr>
          <w:rFonts w:hint="eastAsia" w:ascii="宋体" w:hAnsi="宋体"/>
          <w:sz w:val="24"/>
        </w:rPr>
        <w:t>投标人代表签名：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3D6A9A7">
      <w:pPr>
        <w:spacing w:line="480" w:lineRule="exact"/>
        <w:ind w:firstLine="3960" w:firstLineChars="16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185F0445">
      <w:pPr>
        <w:pStyle w:val="12"/>
        <w:ind w:firstLine="300"/>
      </w:pPr>
    </w:p>
    <w:p w14:paraId="15B15A51">
      <w:pPr>
        <w:pStyle w:val="12"/>
        <w:ind w:firstLine="321"/>
        <w:rPr>
          <w:rFonts w:ascii="宋体" w:hAnsi="宋体"/>
          <w:b/>
          <w:sz w:val="32"/>
          <w:szCs w:val="32"/>
        </w:rPr>
      </w:pPr>
    </w:p>
    <w:p w14:paraId="67982A88">
      <w:pPr>
        <w:pStyle w:val="12"/>
        <w:ind w:firstLine="321"/>
        <w:rPr>
          <w:rFonts w:ascii="宋体" w:hAnsi="宋体"/>
          <w:b/>
          <w:sz w:val="32"/>
          <w:szCs w:val="32"/>
        </w:rPr>
      </w:pPr>
    </w:p>
    <w:p w14:paraId="54659924">
      <w:pPr>
        <w:pStyle w:val="12"/>
        <w:ind w:firstLine="321"/>
        <w:rPr>
          <w:rFonts w:ascii="宋体" w:hAnsi="宋体"/>
          <w:b/>
          <w:sz w:val="32"/>
          <w:szCs w:val="32"/>
        </w:rPr>
      </w:pPr>
    </w:p>
    <w:p w14:paraId="66EACEA1">
      <w:pPr>
        <w:pStyle w:val="12"/>
        <w:ind w:firstLine="321"/>
        <w:rPr>
          <w:rFonts w:ascii="宋体" w:hAnsi="宋体"/>
          <w:b/>
          <w:sz w:val="32"/>
          <w:szCs w:val="32"/>
        </w:rPr>
      </w:pPr>
    </w:p>
    <w:p w14:paraId="77BE9532">
      <w:pPr>
        <w:pStyle w:val="12"/>
        <w:ind w:firstLine="321"/>
        <w:rPr>
          <w:rFonts w:ascii="宋体" w:hAnsi="宋体"/>
          <w:b/>
          <w:sz w:val="32"/>
          <w:szCs w:val="32"/>
        </w:rPr>
      </w:pPr>
    </w:p>
    <w:p w14:paraId="6F1729F0">
      <w:pPr>
        <w:pStyle w:val="23"/>
        <w:jc w:val="center"/>
        <w:outlineLvl w:val="9"/>
        <w:rPr>
          <w:rFonts w:hAnsi="宋体"/>
          <w:b/>
          <w:sz w:val="36"/>
        </w:rPr>
      </w:pPr>
    </w:p>
    <w:p w14:paraId="16F43B48">
      <w:pPr>
        <w:pStyle w:val="23"/>
        <w:jc w:val="center"/>
        <w:outlineLvl w:val="9"/>
        <w:rPr>
          <w:rFonts w:hAnsi="宋体"/>
          <w:b/>
          <w:sz w:val="36"/>
        </w:rPr>
      </w:pPr>
    </w:p>
    <w:p w14:paraId="6774F5C8">
      <w:pPr>
        <w:pStyle w:val="23"/>
        <w:jc w:val="center"/>
        <w:outlineLvl w:val="9"/>
        <w:rPr>
          <w:rFonts w:hAnsi="宋体"/>
          <w:b/>
          <w:sz w:val="36"/>
        </w:rPr>
      </w:pPr>
    </w:p>
    <w:p w14:paraId="3EE41225">
      <w:pPr>
        <w:pStyle w:val="23"/>
        <w:jc w:val="center"/>
        <w:outlineLvl w:val="9"/>
        <w:rPr>
          <w:rFonts w:hAnsi="宋体"/>
          <w:b/>
          <w:sz w:val="36"/>
        </w:rPr>
      </w:pPr>
    </w:p>
    <w:p w14:paraId="60DD08A3">
      <w:pPr>
        <w:pStyle w:val="23"/>
        <w:jc w:val="center"/>
        <w:outlineLvl w:val="9"/>
        <w:rPr>
          <w:rFonts w:hAnsi="宋体"/>
          <w:b/>
          <w:sz w:val="36"/>
        </w:rPr>
      </w:pPr>
    </w:p>
    <w:p w14:paraId="3CE42DF5">
      <w:pPr>
        <w:pStyle w:val="23"/>
        <w:jc w:val="center"/>
        <w:outlineLvl w:val="9"/>
        <w:rPr>
          <w:rFonts w:hAnsi="宋体"/>
          <w:b/>
          <w:sz w:val="36"/>
        </w:rPr>
      </w:pPr>
    </w:p>
    <w:p w14:paraId="40A73FF8">
      <w:pPr>
        <w:pStyle w:val="23"/>
        <w:jc w:val="center"/>
        <w:outlineLvl w:val="9"/>
        <w:rPr>
          <w:rFonts w:hAnsi="宋体"/>
          <w:b/>
          <w:sz w:val="36"/>
        </w:rPr>
      </w:pPr>
    </w:p>
    <w:p w14:paraId="04E55C6F">
      <w:pPr>
        <w:pStyle w:val="23"/>
        <w:jc w:val="center"/>
        <w:outlineLvl w:val="9"/>
        <w:rPr>
          <w:rFonts w:hAnsi="宋体"/>
          <w:b/>
          <w:sz w:val="36"/>
        </w:rPr>
      </w:pPr>
    </w:p>
    <w:p w14:paraId="045A727D">
      <w:pPr>
        <w:pStyle w:val="23"/>
        <w:jc w:val="center"/>
        <w:outlineLvl w:val="9"/>
        <w:rPr>
          <w:rFonts w:hAnsi="宋体"/>
          <w:b/>
          <w:sz w:val="36"/>
        </w:rPr>
      </w:pPr>
    </w:p>
    <w:p w14:paraId="75169BF9">
      <w:pPr>
        <w:pStyle w:val="23"/>
        <w:jc w:val="center"/>
        <w:outlineLvl w:val="9"/>
        <w:rPr>
          <w:rFonts w:hAnsi="宋体"/>
          <w:b/>
          <w:sz w:val="36"/>
        </w:rPr>
      </w:pPr>
    </w:p>
    <w:p w14:paraId="1F6B1999">
      <w:pPr>
        <w:pStyle w:val="23"/>
        <w:jc w:val="center"/>
        <w:outlineLvl w:val="9"/>
        <w:rPr>
          <w:rFonts w:hAnsi="宋体"/>
          <w:b/>
          <w:sz w:val="36"/>
        </w:rPr>
      </w:pPr>
    </w:p>
    <w:p w14:paraId="41558A89">
      <w:pPr>
        <w:pStyle w:val="23"/>
        <w:jc w:val="center"/>
        <w:outlineLvl w:val="9"/>
        <w:rPr>
          <w:rFonts w:hAnsi="宋体"/>
          <w:b/>
          <w:sz w:val="36"/>
        </w:rPr>
      </w:pPr>
      <w:r>
        <w:rPr>
          <w:rFonts w:hint="eastAsia" w:hAnsi="宋体"/>
          <w:b/>
          <w:sz w:val="36"/>
        </w:rPr>
        <w:t>4.4声明函及承诺函</w:t>
      </w:r>
    </w:p>
    <w:p w14:paraId="232C98F6">
      <w:pPr>
        <w:pStyle w:val="23"/>
        <w:jc w:val="center"/>
        <w:outlineLvl w:val="9"/>
        <w:rPr>
          <w:rFonts w:hAnsi="宋体"/>
          <w:b/>
          <w:sz w:val="36"/>
        </w:rPr>
      </w:pPr>
    </w:p>
    <w:p w14:paraId="42B3E7DC">
      <w:pPr>
        <w:pStyle w:val="23"/>
        <w:jc w:val="center"/>
        <w:outlineLvl w:val="9"/>
        <w:rPr>
          <w:rFonts w:hAnsi="宋体"/>
          <w:b/>
          <w:sz w:val="36"/>
        </w:rPr>
      </w:pPr>
      <w:r>
        <w:rPr>
          <w:rFonts w:hint="eastAsia" w:hAnsi="宋体"/>
          <w:b/>
          <w:sz w:val="36"/>
        </w:rPr>
        <w:t>4.4.1声明函</w:t>
      </w:r>
    </w:p>
    <w:p w14:paraId="26274D83">
      <w:pPr>
        <w:pStyle w:val="12"/>
        <w:ind w:firstLine="321"/>
        <w:rPr>
          <w:rFonts w:ascii="宋体" w:hAnsi="宋体"/>
          <w:b/>
          <w:sz w:val="32"/>
          <w:szCs w:val="32"/>
        </w:rPr>
      </w:pPr>
    </w:p>
    <w:p w14:paraId="0F39E6E1">
      <w:pPr>
        <w:pStyle w:val="12"/>
        <w:spacing w:line="360" w:lineRule="auto"/>
        <w:ind w:firstLine="241"/>
        <w:rPr>
          <w:rFonts w:ascii="宋体" w:hAnsi="宋体" w:eastAsia="宋体" w:cs="宋体"/>
          <w:b/>
          <w:sz w:val="24"/>
          <w:shd w:val="clear" w:color="auto" w:fill="auto"/>
        </w:rPr>
      </w:pPr>
      <w:r>
        <w:rPr>
          <w:rFonts w:hint="eastAsia" w:ascii="宋体" w:hAnsi="宋体" w:eastAsia="宋体" w:cs="宋体"/>
          <w:b/>
          <w:sz w:val="24"/>
          <w:shd w:val="clear" w:color="auto" w:fill="auto"/>
        </w:rPr>
        <w:t>致福建省泉州升华实业有限公司、福建省宏瑞招标代理有限公司：</w:t>
      </w:r>
    </w:p>
    <w:p w14:paraId="1E2E50E2">
      <w:pPr>
        <w:pStyle w:val="12"/>
        <w:spacing w:line="360" w:lineRule="auto"/>
        <w:ind w:firstLine="241"/>
        <w:rPr>
          <w:rFonts w:ascii="宋体" w:hAnsi="宋体" w:eastAsia="宋体" w:cs="宋体"/>
          <w:b/>
          <w:sz w:val="24"/>
          <w:shd w:val="clear" w:color="auto" w:fill="auto"/>
        </w:rPr>
      </w:pPr>
      <w:r>
        <w:rPr>
          <w:rFonts w:hint="eastAsia" w:ascii="宋体" w:hAnsi="宋体" w:eastAsia="宋体" w:cs="宋体"/>
          <w:b/>
          <w:sz w:val="24"/>
          <w:shd w:val="clear" w:color="auto" w:fill="auto"/>
        </w:rPr>
        <w:t>我公司声明如下：</w:t>
      </w:r>
    </w:p>
    <w:p w14:paraId="04129B99">
      <w:pPr>
        <w:pStyle w:val="12"/>
        <w:spacing w:line="360" w:lineRule="auto"/>
        <w:ind w:firstLine="480" w:firstLineChars="200"/>
        <w:rPr>
          <w:rFonts w:ascii="宋体" w:hAnsi="宋体" w:eastAsia="宋体" w:cs="宋体"/>
          <w:sz w:val="24"/>
          <w:shd w:val="clear" w:color="auto" w:fill="auto"/>
        </w:rPr>
      </w:pPr>
      <w:r>
        <w:rPr>
          <w:rFonts w:hint="eastAsia" w:ascii="宋体" w:hAnsi="宋体" w:eastAsia="宋体" w:cs="宋体"/>
          <w:sz w:val="24"/>
          <w:shd w:val="clear" w:color="auto" w:fill="auto"/>
        </w:rPr>
        <w:t>1.我公司参加本项目招标活动前三年内在经营活动中没有重大违法记录。</w:t>
      </w:r>
    </w:p>
    <w:p w14:paraId="3AFF7FA8">
      <w:pPr>
        <w:pStyle w:val="12"/>
        <w:spacing w:line="360" w:lineRule="auto"/>
        <w:ind w:firstLine="480" w:firstLineChars="200"/>
        <w:rPr>
          <w:rFonts w:ascii="宋体" w:hAnsi="宋体" w:eastAsia="宋体" w:cs="宋体"/>
          <w:sz w:val="24"/>
          <w:shd w:val="clear" w:color="auto" w:fill="auto"/>
        </w:rPr>
      </w:pPr>
      <w:r>
        <w:rPr>
          <w:rFonts w:hint="eastAsia" w:ascii="宋体" w:hAnsi="宋体" w:eastAsia="宋体" w:cs="宋体"/>
          <w:sz w:val="24"/>
          <w:shd w:val="clear" w:color="auto" w:fill="auto"/>
        </w:rPr>
        <w:t>2.我公司具备履行本项目所必需的设备及专业技术能力。</w:t>
      </w:r>
    </w:p>
    <w:p w14:paraId="34AF78BB">
      <w:pPr>
        <w:pStyle w:val="12"/>
        <w:spacing w:line="360" w:lineRule="auto"/>
        <w:ind w:firstLine="0" w:firstLineChars="0"/>
        <w:rPr>
          <w:rFonts w:ascii="宋体" w:hAnsi="宋体" w:eastAsia="宋体" w:cs="宋体"/>
          <w:sz w:val="24"/>
          <w:shd w:val="clear" w:color="auto" w:fill="auto"/>
        </w:rPr>
      </w:pPr>
    </w:p>
    <w:p w14:paraId="63C13952">
      <w:pPr>
        <w:pStyle w:val="12"/>
        <w:ind w:left="210" w:leftChars="100" w:firstLine="0" w:firstLineChars="0"/>
        <w:rPr>
          <w:rFonts w:ascii="宋体" w:hAnsi="宋体" w:eastAsia="宋体" w:cs="宋体"/>
          <w:sz w:val="24"/>
        </w:rPr>
      </w:pPr>
    </w:p>
    <w:p w14:paraId="13E02CF4">
      <w:pPr>
        <w:pStyle w:val="12"/>
        <w:ind w:firstLine="321"/>
        <w:rPr>
          <w:rFonts w:ascii="宋体" w:hAnsi="宋体"/>
          <w:b/>
          <w:sz w:val="32"/>
          <w:szCs w:val="32"/>
        </w:rPr>
      </w:pPr>
    </w:p>
    <w:p w14:paraId="05738FD2">
      <w:pPr>
        <w:spacing w:line="480" w:lineRule="exact"/>
        <w:ind w:firstLine="3960" w:firstLineChars="1650"/>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r>
        <w:rPr>
          <w:rFonts w:hint="eastAsia" w:ascii="宋体" w:hAnsi="宋体"/>
          <w:sz w:val="24"/>
        </w:rPr>
        <w:t xml:space="preserve"> </w:t>
      </w:r>
    </w:p>
    <w:p w14:paraId="1550DB10">
      <w:pPr>
        <w:spacing w:line="480" w:lineRule="exact"/>
        <w:ind w:firstLine="3960" w:firstLineChars="1650"/>
        <w:rPr>
          <w:rFonts w:ascii="宋体" w:hAnsi="宋体"/>
          <w:sz w:val="24"/>
        </w:rPr>
      </w:pPr>
      <w:r>
        <w:rPr>
          <w:rFonts w:hint="eastAsia" w:ascii="宋体" w:hAnsi="宋体"/>
          <w:sz w:val="24"/>
        </w:rPr>
        <w:t>投标人代表签名：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C685E24">
      <w:pPr>
        <w:spacing w:line="480" w:lineRule="exact"/>
        <w:ind w:firstLine="3960" w:firstLineChars="16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626CC2BF">
      <w:pPr>
        <w:spacing w:line="440" w:lineRule="exact"/>
        <w:ind w:firstLine="321" w:firstLineChars="100"/>
        <w:jc w:val="center"/>
        <w:rPr>
          <w:rFonts w:ascii="宋体" w:hAnsi="宋体"/>
          <w:b/>
          <w:sz w:val="32"/>
          <w:szCs w:val="32"/>
        </w:rPr>
      </w:pPr>
    </w:p>
    <w:p w14:paraId="3B4E05F3">
      <w:pPr>
        <w:spacing w:line="440" w:lineRule="exact"/>
        <w:ind w:firstLine="321" w:firstLineChars="100"/>
        <w:jc w:val="center"/>
        <w:rPr>
          <w:rFonts w:ascii="宋体" w:hAnsi="宋体"/>
          <w:b/>
          <w:sz w:val="32"/>
          <w:szCs w:val="32"/>
        </w:rPr>
      </w:pPr>
    </w:p>
    <w:p w14:paraId="33E92D06">
      <w:pPr>
        <w:spacing w:line="440" w:lineRule="exact"/>
        <w:ind w:firstLine="321" w:firstLineChars="100"/>
        <w:jc w:val="center"/>
        <w:rPr>
          <w:rFonts w:ascii="宋体" w:hAnsi="宋体"/>
          <w:b/>
          <w:sz w:val="32"/>
          <w:szCs w:val="32"/>
        </w:rPr>
      </w:pPr>
    </w:p>
    <w:p w14:paraId="20D88F18">
      <w:pPr>
        <w:pStyle w:val="34"/>
        <w:rPr>
          <w:rFonts w:ascii="宋体" w:hAnsi="宋体"/>
          <w:b/>
          <w:sz w:val="32"/>
          <w:szCs w:val="32"/>
        </w:rPr>
      </w:pPr>
    </w:p>
    <w:p w14:paraId="3156EAF8">
      <w:pPr>
        <w:jc w:val="center"/>
        <w:rPr>
          <w:rFonts w:ascii="宋体" w:hAnsi="宋体"/>
          <w:b/>
          <w:bCs/>
          <w:sz w:val="30"/>
          <w:szCs w:val="30"/>
        </w:rPr>
      </w:pPr>
    </w:p>
    <w:p w14:paraId="3227A5C7">
      <w:pPr>
        <w:jc w:val="center"/>
        <w:rPr>
          <w:rFonts w:ascii="宋体" w:hAnsi="宋体"/>
          <w:b/>
          <w:bCs/>
          <w:sz w:val="30"/>
          <w:szCs w:val="30"/>
        </w:rPr>
      </w:pPr>
    </w:p>
    <w:p w14:paraId="7C95152C">
      <w:pPr>
        <w:jc w:val="center"/>
        <w:rPr>
          <w:rFonts w:ascii="宋体" w:hAnsi="宋体"/>
          <w:b/>
          <w:bCs/>
          <w:sz w:val="30"/>
          <w:szCs w:val="30"/>
        </w:rPr>
      </w:pPr>
    </w:p>
    <w:p w14:paraId="21F87867">
      <w:pPr>
        <w:jc w:val="center"/>
        <w:rPr>
          <w:rFonts w:ascii="宋体" w:hAnsi="宋体"/>
          <w:b/>
          <w:bCs/>
          <w:sz w:val="30"/>
          <w:szCs w:val="30"/>
        </w:rPr>
      </w:pPr>
    </w:p>
    <w:p w14:paraId="60E0E04E">
      <w:pPr>
        <w:jc w:val="center"/>
        <w:rPr>
          <w:rFonts w:ascii="宋体" w:hAnsi="宋体"/>
          <w:b/>
          <w:bCs/>
          <w:sz w:val="30"/>
          <w:szCs w:val="30"/>
        </w:rPr>
      </w:pPr>
    </w:p>
    <w:p w14:paraId="17D6C903">
      <w:pPr>
        <w:jc w:val="center"/>
        <w:rPr>
          <w:rFonts w:ascii="宋体" w:hAnsi="宋体"/>
          <w:b/>
          <w:bCs/>
          <w:sz w:val="30"/>
          <w:szCs w:val="30"/>
        </w:rPr>
      </w:pPr>
    </w:p>
    <w:p w14:paraId="32FB17E0">
      <w:pPr>
        <w:jc w:val="center"/>
        <w:rPr>
          <w:rFonts w:ascii="宋体" w:hAnsi="宋体"/>
          <w:b/>
          <w:bCs/>
          <w:sz w:val="30"/>
          <w:szCs w:val="30"/>
        </w:rPr>
      </w:pPr>
    </w:p>
    <w:p w14:paraId="29E67D5D">
      <w:pPr>
        <w:jc w:val="center"/>
        <w:rPr>
          <w:rFonts w:ascii="宋体" w:hAnsi="宋体"/>
          <w:b/>
          <w:bCs/>
          <w:sz w:val="30"/>
          <w:szCs w:val="30"/>
        </w:rPr>
      </w:pPr>
    </w:p>
    <w:p w14:paraId="2C112DDF">
      <w:pPr>
        <w:jc w:val="center"/>
        <w:rPr>
          <w:rFonts w:ascii="宋体" w:hAnsi="宋体"/>
          <w:b/>
          <w:bCs/>
          <w:sz w:val="30"/>
          <w:szCs w:val="30"/>
        </w:rPr>
      </w:pPr>
    </w:p>
    <w:p w14:paraId="08811330">
      <w:pPr>
        <w:jc w:val="center"/>
        <w:rPr>
          <w:rFonts w:ascii="宋体" w:hAnsi="宋体"/>
          <w:b/>
          <w:bCs/>
          <w:sz w:val="30"/>
          <w:szCs w:val="30"/>
        </w:rPr>
      </w:pPr>
    </w:p>
    <w:p w14:paraId="57117B5E">
      <w:pPr>
        <w:jc w:val="center"/>
        <w:rPr>
          <w:rFonts w:ascii="宋体" w:hAnsi="宋体"/>
          <w:b/>
          <w:bCs/>
          <w:sz w:val="30"/>
          <w:szCs w:val="30"/>
        </w:rPr>
      </w:pPr>
    </w:p>
    <w:p w14:paraId="0D22BF07">
      <w:pPr>
        <w:pStyle w:val="12"/>
        <w:ind w:firstLine="301"/>
        <w:rPr>
          <w:rFonts w:ascii="宋体" w:hAnsi="宋体"/>
          <w:b/>
          <w:bCs/>
          <w:szCs w:val="30"/>
        </w:rPr>
      </w:pPr>
    </w:p>
    <w:p w14:paraId="5A9C5952">
      <w:pPr>
        <w:pStyle w:val="13"/>
        <w:ind w:firstLine="602"/>
        <w:rPr>
          <w:b/>
          <w:bCs/>
          <w:sz w:val="30"/>
          <w:szCs w:val="30"/>
        </w:rPr>
      </w:pPr>
    </w:p>
    <w:p w14:paraId="490608DD">
      <w:pPr>
        <w:pStyle w:val="13"/>
        <w:ind w:firstLine="602"/>
        <w:rPr>
          <w:b/>
          <w:bCs/>
          <w:sz w:val="30"/>
          <w:szCs w:val="30"/>
        </w:rPr>
      </w:pPr>
    </w:p>
    <w:p w14:paraId="56656422">
      <w:pPr>
        <w:jc w:val="center"/>
        <w:rPr>
          <w:rFonts w:ascii="宋体" w:hAnsi="宋体"/>
          <w:b/>
          <w:bCs/>
          <w:sz w:val="30"/>
          <w:szCs w:val="30"/>
        </w:rPr>
      </w:pPr>
    </w:p>
    <w:p w14:paraId="2B708A24">
      <w:pPr>
        <w:pStyle w:val="12"/>
        <w:spacing w:line="360" w:lineRule="auto"/>
        <w:ind w:firstLine="301"/>
        <w:jc w:val="center"/>
        <w:rPr>
          <w:rFonts w:ascii="宋体" w:hAnsi="宋体" w:eastAsia="宋体" w:cs="宋体"/>
          <w:b/>
          <w:bCs/>
          <w:szCs w:val="30"/>
          <w:shd w:val="clear" w:color="auto" w:fill="auto"/>
        </w:rPr>
      </w:pPr>
      <w:r>
        <w:rPr>
          <w:rFonts w:hint="eastAsia" w:ascii="宋体" w:hAnsi="宋体" w:eastAsia="宋体" w:cs="宋体"/>
          <w:b/>
          <w:bCs/>
          <w:szCs w:val="30"/>
          <w:shd w:val="clear" w:color="auto" w:fill="auto"/>
        </w:rPr>
        <w:t>4.4.2承诺函</w:t>
      </w:r>
    </w:p>
    <w:p w14:paraId="6ED0A1F7">
      <w:pPr>
        <w:pStyle w:val="12"/>
        <w:spacing w:line="360" w:lineRule="auto"/>
        <w:ind w:firstLine="241"/>
        <w:rPr>
          <w:rFonts w:ascii="宋体" w:hAnsi="宋体" w:eastAsia="宋体" w:cs="宋体"/>
          <w:b/>
          <w:sz w:val="24"/>
          <w:shd w:val="clear" w:color="auto" w:fill="auto"/>
        </w:rPr>
      </w:pPr>
      <w:r>
        <w:rPr>
          <w:rFonts w:hint="eastAsia" w:ascii="宋体" w:hAnsi="宋体" w:eastAsia="宋体" w:cs="宋体"/>
          <w:b/>
          <w:sz w:val="24"/>
          <w:shd w:val="clear" w:color="auto" w:fill="auto"/>
        </w:rPr>
        <w:t>致福建省泉州升华实业有限公司、福建省宏瑞招标代理有限公司：</w:t>
      </w:r>
    </w:p>
    <w:p w14:paraId="3DB0EE49">
      <w:pPr>
        <w:pStyle w:val="12"/>
        <w:spacing w:line="360" w:lineRule="auto"/>
        <w:ind w:firstLine="241"/>
        <w:rPr>
          <w:rFonts w:ascii="宋体" w:hAnsi="宋体" w:eastAsia="宋体" w:cs="宋体"/>
          <w:b/>
          <w:sz w:val="24"/>
          <w:shd w:val="clear" w:color="auto" w:fill="auto"/>
        </w:rPr>
      </w:pPr>
      <w:r>
        <w:rPr>
          <w:rFonts w:hint="eastAsia" w:ascii="宋体" w:hAnsi="宋体" w:eastAsia="宋体" w:cs="宋体"/>
          <w:b/>
          <w:sz w:val="24"/>
          <w:shd w:val="clear" w:color="auto" w:fill="auto"/>
        </w:rPr>
        <w:t>我公司承诺如下：</w:t>
      </w:r>
    </w:p>
    <w:p w14:paraId="309ECFEB">
      <w:pPr>
        <w:spacing w:line="360" w:lineRule="auto"/>
        <w:ind w:firstLine="480" w:firstLineChars="200"/>
        <w:rPr>
          <w:rFonts w:ascii="宋体" w:hAnsi="宋体"/>
          <w:sz w:val="24"/>
        </w:rPr>
      </w:pPr>
      <w:r>
        <w:rPr>
          <w:rFonts w:hint="eastAsia" w:ascii="宋体" w:hAnsi="宋体"/>
          <w:sz w:val="24"/>
        </w:rPr>
        <w:t>1、我公司承诺开标时间当日未在景弘集团有限公司黑名单内。</w:t>
      </w:r>
    </w:p>
    <w:p w14:paraId="41FC65EA">
      <w:pPr>
        <w:spacing w:line="360" w:lineRule="auto"/>
        <w:jc w:val="center"/>
        <w:rPr>
          <w:rFonts w:ascii="宋体" w:hAnsi="宋体" w:cs="宋体"/>
          <w:sz w:val="24"/>
        </w:rPr>
      </w:pPr>
    </w:p>
    <w:p w14:paraId="3832D7A0">
      <w:pPr>
        <w:pStyle w:val="12"/>
        <w:spacing w:line="360" w:lineRule="auto"/>
        <w:ind w:firstLine="0" w:firstLineChars="0"/>
        <w:rPr>
          <w:rFonts w:ascii="宋体" w:hAnsi="宋体" w:eastAsia="宋体" w:cs="宋体"/>
          <w:sz w:val="24"/>
          <w:shd w:val="clear" w:color="auto" w:fill="auto"/>
        </w:rPr>
      </w:pPr>
    </w:p>
    <w:p w14:paraId="4DF159DF">
      <w:pPr>
        <w:pStyle w:val="12"/>
        <w:ind w:left="210" w:leftChars="100" w:firstLine="0" w:firstLineChars="0"/>
        <w:rPr>
          <w:rFonts w:ascii="宋体" w:hAnsi="宋体" w:eastAsia="宋体" w:cs="宋体"/>
          <w:sz w:val="24"/>
        </w:rPr>
      </w:pPr>
    </w:p>
    <w:p w14:paraId="743E7A41">
      <w:pPr>
        <w:pStyle w:val="12"/>
        <w:ind w:firstLine="321"/>
        <w:rPr>
          <w:rFonts w:ascii="宋体" w:hAnsi="宋体"/>
          <w:b/>
          <w:sz w:val="32"/>
          <w:szCs w:val="32"/>
        </w:rPr>
      </w:pPr>
    </w:p>
    <w:p w14:paraId="705DF729">
      <w:pPr>
        <w:spacing w:line="480" w:lineRule="exact"/>
        <w:ind w:firstLine="3960" w:firstLineChars="1650"/>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r>
        <w:rPr>
          <w:rFonts w:hint="eastAsia" w:ascii="宋体" w:hAnsi="宋体"/>
          <w:sz w:val="24"/>
        </w:rPr>
        <w:t xml:space="preserve"> </w:t>
      </w:r>
    </w:p>
    <w:p w14:paraId="7EC6AD59">
      <w:pPr>
        <w:spacing w:line="480" w:lineRule="exact"/>
        <w:ind w:firstLine="3960" w:firstLineChars="1650"/>
        <w:rPr>
          <w:rFonts w:ascii="宋体" w:hAnsi="宋体"/>
          <w:sz w:val="24"/>
        </w:rPr>
      </w:pPr>
      <w:r>
        <w:rPr>
          <w:rFonts w:hint="eastAsia" w:ascii="宋体" w:hAnsi="宋体"/>
          <w:sz w:val="24"/>
        </w:rPr>
        <w:t>投标人代表签名：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6F2900E">
      <w:pPr>
        <w:spacing w:line="480" w:lineRule="exact"/>
        <w:ind w:firstLine="3960" w:firstLineChars="16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50BF6494">
      <w:pPr>
        <w:spacing w:line="360" w:lineRule="auto"/>
        <w:jc w:val="center"/>
        <w:rPr>
          <w:rFonts w:ascii="宋体" w:hAnsi="宋体" w:cs="宋体"/>
          <w:sz w:val="24"/>
        </w:rPr>
      </w:pPr>
    </w:p>
    <w:p w14:paraId="26F1D4CA">
      <w:pPr>
        <w:spacing w:line="360" w:lineRule="auto"/>
        <w:jc w:val="center"/>
        <w:rPr>
          <w:rFonts w:ascii="宋体" w:hAnsi="宋体" w:cs="宋体"/>
          <w:sz w:val="24"/>
        </w:rPr>
      </w:pPr>
    </w:p>
    <w:p w14:paraId="41B139EF">
      <w:pPr>
        <w:spacing w:line="360" w:lineRule="auto"/>
        <w:jc w:val="center"/>
        <w:rPr>
          <w:rFonts w:ascii="宋体" w:hAnsi="宋体" w:cs="宋体"/>
          <w:sz w:val="24"/>
        </w:rPr>
      </w:pPr>
    </w:p>
    <w:p w14:paraId="793B8743">
      <w:pPr>
        <w:spacing w:line="360" w:lineRule="auto"/>
        <w:jc w:val="center"/>
        <w:rPr>
          <w:rFonts w:ascii="宋体" w:hAnsi="宋体" w:cs="宋体"/>
          <w:sz w:val="24"/>
        </w:rPr>
      </w:pPr>
    </w:p>
    <w:p w14:paraId="4042E723">
      <w:pPr>
        <w:spacing w:line="360" w:lineRule="auto"/>
        <w:jc w:val="center"/>
        <w:rPr>
          <w:rFonts w:ascii="宋体" w:hAnsi="宋体" w:cs="宋体"/>
          <w:sz w:val="24"/>
        </w:rPr>
      </w:pPr>
    </w:p>
    <w:p w14:paraId="0B0EDB90">
      <w:pPr>
        <w:spacing w:line="360" w:lineRule="auto"/>
        <w:jc w:val="center"/>
        <w:rPr>
          <w:rFonts w:ascii="宋体" w:hAnsi="宋体" w:cs="宋体"/>
          <w:sz w:val="24"/>
        </w:rPr>
      </w:pPr>
    </w:p>
    <w:p w14:paraId="1D9890C8">
      <w:pPr>
        <w:spacing w:line="360" w:lineRule="auto"/>
        <w:jc w:val="center"/>
        <w:rPr>
          <w:rFonts w:ascii="宋体" w:hAnsi="宋体" w:cs="宋体"/>
          <w:sz w:val="24"/>
        </w:rPr>
      </w:pPr>
    </w:p>
    <w:p w14:paraId="12E7B376">
      <w:pPr>
        <w:spacing w:line="360" w:lineRule="auto"/>
        <w:jc w:val="center"/>
        <w:rPr>
          <w:rFonts w:ascii="宋体" w:hAnsi="宋体" w:cs="宋体"/>
          <w:sz w:val="24"/>
        </w:rPr>
      </w:pPr>
    </w:p>
    <w:p w14:paraId="1D4989D4">
      <w:pPr>
        <w:spacing w:line="360" w:lineRule="auto"/>
        <w:jc w:val="center"/>
        <w:rPr>
          <w:rFonts w:ascii="宋体" w:hAnsi="宋体" w:cs="宋体"/>
          <w:sz w:val="24"/>
        </w:rPr>
      </w:pPr>
    </w:p>
    <w:p w14:paraId="2F1742A6">
      <w:pPr>
        <w:spacing w:line="360" w:lineRule="auto"/>
        <w:jc w:val="center"/>
        <w:rPr>
          <w:rFonts w:ascii="宋体" w:hAnsi="宋体" w:cs="宋体"/>
          <w:sz w:val="24"/>
        </w:rPr>
      </w:pPr>
    </w:p>
    <w:p w14:paraId="0DDC9E50">
      <w:pPr>
        <w:spacing w:line="360" w:lineRule="auto"/>
        <w:jc w:val="center"/>
        <w:rPr>
          <w:rFonts w:ascii="宋体" w:hAnsi="宋体" w:cs="宋体"/>
          <w:sz w:val="24"/>
        </w:rPr>
      </w:pPr>
    </w:p>
    <w:p w14:paraId="3A17AB33">
      <w:pPr>
        <w:spacing w:line="360" w:lineRule="auto"/>
        <w:jc w:val="center"/>
        <w:rPr>
          <w:rFonts w:ascii="宋体" w:hAnsi="宋体" w:cs="宋体"/>
          <w:sz w:val="24"/>
        </w:rPr>
      </w:pPr>
    </w:p>
    <w:p w14:paraId="2168C5E8">
      <w:pPr>
        <w:spacing w:line="360" w:lineRule="auto"/>
        <w:jc w:val="center"/>
        <w:rPr>
          <w:rFonts w:ascii="宋体" w:hAnsi="宋体" w:cs="宋体"/>
          <w:sz w:val="24"/>
        </w:rPr>
      </w:pPr>
    </w:p>
    <w:p w14:paraId="1FED9538">
      <w:pPr>
        <w:spacing w:line="360" w:lineRule="auto"/>
        <w:jc w:val="center"/>
        <w:rPr>
          <w:rFonts w:ascii="宋体" w:hAnsi="宋体" w:cs="宋体"/>
          <w:sz w:val="24"/>
        </w:rPr>
      </w:pPr>
    </w:p>
    <w:p w14:paraId="0B494F76">
      <w:pPr>
        <w:spacing w:line="360" w:lineRule="auto"/>
        <w:jc w:val="center"/>
        <w:rPr>
          <w:rFonts w:ascii="宋体" w:hAnsi="宋体" w:cs="宋体"/>
          <w:sz w:val="24"/>
        </w:rPr>
      </w:pPr>
    </w:p>
    <w:p w14:paraId="71AF12D1">
      <w:pPr>
        <w:spacing w:line="360" w:lineRule="auto"/>
        <w:jc w:val="center"/>
        <w:rPr>
          <w:rFonts w:ascii="宋体" w:hAnsi="宋体" w:cs="宋体"/>
          <w:sz w:val="24"/>
        </w:rPr>
      </w:pPr>
    </w:p>
    <w:p w14:paraId="4408C6EF">
      <w:pPr>
        <w:spacing w:line="360" w:lineRule="auto"/>
        <w:jc w:val="center"/>
        <w:rPr>
          <w:rFonts w:ascii="宋体" w:hAnsi="宋体" w:cs="宋体"/>
          <w:sz w:val="24"/>
        </w:rPr>
      </w:pPr>
    </w:p>
    <w:p w14:paraId="0EB397A4">
      <w:pPr>
        <w:spacing w:line="360" w:lineRule="auto"/>
        <w:jc w:val="center"/>
        <w:rPr>
          <w:rFonts w:ascii="宋体" w:hAnsi="宋体" w:cs="宋体"/>
          <w:sz w:val="24"/>
        </w:rPr>
      </w:pPr>
    </w:p>
    <w:p w14:paraId="688F914B">
      <w:pPr>
        <w:spacing w:line="360" w:lineRule="auto"/>
        <w:jc w:val="center"/>
        <w:rPr>
          <w:rFonts w:ascii="宋体" w:hAnsi="宋体" w:cs="宋体"/>
          <w:sz w:val="24"/>
        </w:rPr>
      </w:pPr>
    </w:p>
    <w:p w14:paraId="136EC003">
      <w:pPr>
        <w:spacing w:line="360" w:lineRule="auto"/>
        <w:jc w:val="center"/>
        <w:rPr>
          <w:rFonts w:ascii="宋体" w:hAnsi="宋体" w:cs="宋体"/>
          <w:sz w:val="24"/>
        </w:rPr>
      </w:pPr>
    </w:p>
    <w:p w14:paraId="1C04A1B8">
      <w:pPr>
        <w:spacing w:line="360" w:lineRule="auto"/>
        <w:jc w:val="center"/>
        <w:rPr>
          <w:rFonts w:ascii="宋体" w:hAnsi="宋体" w:cs="宋体"/>
          <w:sz w:val="24"/>
        </w:rPr>
      </w:pPr>
    </w:p>
    <w:p w14:paraId="66C3A9CE">
      <w:pPr>
        <w:spacing w:line="360" w:lineRule="auto"/>
        <w:jc w:val="center"/>
        <w:rPr>
          <w:rFonts w:ascii="宋体" w:hAnsi="宋体"/>
          <w:sz w:val="30"/>
          <w:szCs w:val="30"/>
        </w:rPr>
      </w:pPr>
      <w:r>
        <w:rPr>
          <w:rFonts w:hint="eastAsia" w:ascii="宋体" w:hAnsi="宋体"/>
          <w:b/>
          <w:bCs/>
          <w:sz w:val="30"/>
          <w:szCs w:val="30"/>
        </w:rPr>
        <w:t>4.5投标人廉政承诺书</w:t>
      </w:r>
    </w:p>
    <w:p w14:paraId="7F40F007">
      <w:pPr>
        <w:spacing w:line="360" w:lineRule="auto"/>
        <w:rPr>
          <w:rFonts w:ascii="宋体" w:hAnsi="宋体"/>
          <w:sz w:val="24"/>
        </w:rPr>
      </w:pPr>
      <w:r>
        <w:rPr>
          <w:rFonts w:hint="eastAsia" w:ascii="宋体" w:hAnsi="宋体" w:cs="宋体"/>
          <w:b/>
          <w:sz w:val="24"/>
        </w:rPr>
        <w:t>福建省泉州升华实业有限公司、福建省宏瑞招标代理有限公司</w:t>
      </w:r>
      <w:r>
        <w:rPr>
          <w:rFonts w:hint="eastAsia" w:ascii="宋体" w:hAnsi="宋体"/>
          <w:sz w:val="24"/>
        </w:rPr>
        <w:t>：</w:t>
      </w:r>
    </w:p>
    <w:p w14:paraId="3DFF4693">
      <w:pPr>
        <w:pStyle w:val="8"/>
        <w:spacing w:line="360" w:lineRule="auto"/>
        <w:rPr>
          <w:rFonts w:hAnsi="宋体" w:cs="宋体"/>
          <w:sz w:val="24"/>
          <w:szCs w:val="24"/>
        </w:rPr>
      </w:pPr>
      <w:r>
        <w:rPr>
          <w:rFonts w:hint="eastAsia" w:hAnsi="宋体" w:cs="宋体"/>
          <w:sz w:val="24"/>
          <w:szCs w:val="24"/>
        </w:rPr>
        <w:t>项目名称：</w:t>
      </w:r>
      <w:r>
        <w:rPr>
          <w:rFonts w:hint="eastAsia" w:hAnsi="宋体" w:cs="宋体"/>
          <w:sz w:val="24"/>
          <w:szCs w:val="24"/>
          <w:u w:val="single"/>
        </w:rPr>
        <w:t xml:space="preserve">                     </w:t>
      </w:r>
      <w:r>
        <w:rPr>
          <w:rFonts w:hint="eastAsia" w:hAnsi="宋体" w:cs="宋体"/>
          <w:sz w:val="24"/>
          <w:szCs w:val="24"/>
        </w:rPr>
        <w:t>招标编号：</w:t>
      </w:r>
      <w:r>
        <w:rPr>
          <w:rFonts w:hint="eastAsia" w:hAnsi="宋体" w:cs="宋体"/>
          <w:sz w:val="24"/>
          <w:szCs w:val="24"/>
          <w:u w:val="single"/>
        </w:rPr>
        <w:t xml:space="preserve">             </w:t>
      </w:r>
    </w:p>
    <w:p w14:paraId="6C4B908A">
      <w:pPr>
        <w:pStyle w:val="8"/>
        <w:spacing w:line="360" w:lineRule="auto"/>
        <w:ind w:firstLine="480" w:firstLineChars="200"/>
        <w:rPr>
          <w:rFonts w:hAnsi="宋体" w:cs="宋体"/>
          <w:sz w:val="24"/>
          <w:szCs w:val="24"/>
        </w:rPr>
      </w:pPr>
      <w:r>
        <w:rPr>
          <w:rFonts w:hint="eastAsia" w:hAnsi="宋体" w:cs="宋体"/>
          <w:sz w:val="24"/>
          <w:szCs w:val="24"/>
        </w:rPr>
        <w:t>为加强招标活动中的廉政建设，防止发生商业贿赂等违法违纪行为，保护国家、集体和当事人的合法权益，根据相关法律、法规规定，特向贵单位承诺如下事项：</w:t>
      </w:r>
    </w:p>
    <w:p w14:paraId="14F9CCB8">
      <w:pPr>
        <w:pStyle w:val="8"/>
        <w:spacing w:line="360" w:lineRule="auto"/>
        <w:ind w:firstLine="480" w:firstLineChars="200"/>
        <w:rPr>
          <w:rFonts w:hAnsi="宋体" w:cs="宋体"/>
          <w:sz w:val="24"/>
          <w:szCs w:val="24"/>
        </w:rPr>
      </w:pPr>
      <w:r>
        <w:rPr>
          <w:rFonts w:hint="eastAsia" w:hAnsi="宋体" w:cs="宋体"/>
          <w:sz w:val="24"/>
          <w:szCs w:val="24"/>
        </w:rPr>
        <w:t>一、参与招标活动时，除具备招标文件规定的资格、资质要求外，我方还将严格遵守有关法律、法规、政策以及国家、地方关于廉政建设的各项规定。</w:t>
      </w:r>
    </w:p>
    <w:p w14:paraId="6C55E5A7">
      <w:pPr>
        <w:pStyle w:val="8"/>
        <w:spacing w:line="360" w:lineRule="auto"/>
        <w:ind w:firstLine="480" w:firstLineChars="200"/>
        <w:rPr>
          <w:rFonts w:hAnsi="宋体" w:cs="宋体"/>
          <w:sz w:val="24"/>
          <w:szCs w:val="24"/>
        </w:rPr>
      </w:pPr>
      <w:r>
        <w:rPr>
          <w:rFonts w:hint="eastAsia" w:hAnsi="宋体" w:cs="宋体"/>
          <w:sz w:val="24"/>
          <w:szCs w:val="24"/>
        </w:rPr>
        <w:t>二、遵循公开、公平、公正、诚实信用原则参加招标活动，不发生损害上述原则及各方当事人合法权益的不正当竞争行为。</w:t>
      </w:r>
    </w:p>
    <w:p w14:paraId="569931B6">
      <w:pPr>
        <w:pStyle w:val="8"/>
        <w:spacing w:line="360" w:lineRule="auto"/>
        <w:ind w:firstLine="480" w:firstLineChars="200"/>
        <w:rPr>
          <w:rFonts w:hAnsi="宋体" w:cs="宋体"/>
          <w:sz w:val="24"/>
          <w:szCs w:val="24"/>
        </w:rPr>
      </w:pPr>
      <w:r>
        <w:rPr>
          <w:rFonts w:hint="eastAsia" w:hAnsi="宋体" w:cs="宋体"/>
          <w:sz w:val="24"/>
          <w:szCs w:val="24"/>
        </w:rPr>
        <w:t>三、与招标各方当事人保持正常的业务交往，不向招标人、招标代理机构、监督机构、评审专家、工作人员及其他参与招标活动的人员提供不正当利益。主要有：</w:t>
      </w:r>
    </w:p>
    <w:p w14:paraId="620BDB74">
      <w:pPr>
        <w:pStyle w:val="8"/>
        <w:spacing w:line="360" w:lineRule="auto"/>
        <w:ind w:firstLine="480" w:firstLineChars="200"/>
        <w:rPr>
          <w:rFonts w:hAnsi="宋体" w:cs="宋体"/>
          <w:sz w:val="24"/>
          <w:szCs w:val="24"/>
        </w:rPr>
      </w:pPr>
      <w:r>
        <w:rPr>
          <w:rFonts w:hint="eastAsia" w:hAnsi="宋体" w:cs="宋体"/>
          <w:sz w:val="24"/>
          <w:szCs w:val="24"/>
        </w:rPr>
        <w:t>1、不向上述人员赠送礼金、有价证券、贵重物品及回扣、好处费、感谢费等。</w:t>
      </w:r>
    </w:p>
    <w:p w14:paraId="357A8884">
      <w:pPr>
        <w:pStyle w:val="8"/>
        <w:spacing w:line="360" w:lineRule="auto"/>
        <w:ind w:firstLine="480" w:firstLineChars="200"/>
        <w:rPr>
          <w:rFonts w:hAnsi="宋体" w:cs="宋体"/>
          <w:sz w:val="24"/>
          <w:szCs w:val="24"/>
        </w:rPr>
      </w:pPr>
      <w:r>
        <w:rPr>
          <w:rFonts w:hint="eastAsia" w:hAnsi="宋体" w:cs="宋体"/>
          <w:sz w:val="24"/>
          <w:szCs w:val="24"/>
        </w:rPr>
        <w:t>2、不为上述人员或单位报销应由对方支付的费用。</w:t>
      </w:r>
    </w:p>
    <w:p w14:paraId="7E0E0723">
      <w:pPr>
        <w:pStyle w:val="8"/>
        <w:spacing w:line="360" w:lineRule="auto"/>
        <w:ind w:firstLine="480" w:firstLineChars="200"/>
        <w:rPr>
          <w:rFonts w:hAnsi="宋体" w:cs="宋体"/>
          <w:sz w:val="24"/>
          <w:szCs w:val="24"/>
        </w:rPr>
      </w:pPr>
      <w:r>
        <w:rPr>
          <w:rFonts w:hint="eastAsia" w:hAnsi="宋体" w:cs="宋体"/>
          <w:sz w:val="24"/>
          <w:szCs w:val="24"/>
        </w:rPr>
        <w:t>3、不为上述人员装修住房、婚丧嫁娶、配偶子女的工作安排以及出国(境)、旅游等提供方便。</w:t>
      </w:r>
    </w:p>
    <w:p w14:paraId="04C10FBA">
      <w:pPr>
        <w:pStyle w:val="8"/>
        <w:spacing w:line="360" w:lineRule="auto"/>
        <w:ind w:firstLine="480" w:firstLineChars="200"/>
        <w:rPr>
          <w:rFonts w:hAnsi="宋体" w:cs="宋体"/>
          <w:sz w:val="24"/>
          <w:szCs w:val="24"/>
        </w:rPr>
      </w:pPr>
      <w:r>
        <w:rPr>
          <w:rFonts w:hint="eastAsia" w:hAnsi="宋体" w:cs="宋体"/>
          <w:sz w:val="24"/>
          <w:szCs w:val="24"/>
        </w:rPr>
        <w:t>4、不为上述人员或单位提供可能影响招标活动的宴请、健身、娱乐等活动。</w:t>
      </w:r>
    </w:p>
    <w:p w14:paraId="7DF7F711">
      <w:pPr>
        <w:pStyle w:val="8"/>
        <w:spacing w:line="360" w:lineRule="auto"/>
        <w:ind w:firstLine="480" w:firstLineChars="200"/>
        <w:rPr>
          <w:rFonts w:hAnsi="宋体" w:cs="宋体"/>
          <w:sz w:val="24"/>
          <w:szCs w:val="24"/>
        </w:rPr>
      </w:pPr>
      <w:r>
        <w:rPr>
          <w:rFonts w:hint="eastAsia" w:hAnsi="宋体" w:cs="宋体"/>
          <w:sz w:val="24"/>
          <w:szCs w:val="24"/>
        </w:rPr>
        <w:t>四、严格执行招标合同，自觉按合同办事。在合同执行过程中，不发生本承诺书第三条中所列不良行为。</w:t>
      </w:r>
    </w:p>
    <w:p w14:paraId="48133F2B">
      <w:pPr>
        <w:pStyle w:val="8"/>
        <w:spacing w:line="360" w:lineRule="auto"/>
        <w:ind w:firstLine="480" w:firstLineChars="200"/>
        <w:rPr>
          <w:rFonts w:hAnsi="宋体" w:cs="宋体"/>
          <w:sz w:val="24"/>
          <w:szCs w:val="24"/>
        </w:rPr>
      </w:pPr>
      <w:r>
        <w:rPr>
          <w:rFonts w:hint="eastAsia" w:hAnsi="宋体" w:cs="宋体"/>
          <w:sz w:val="24"/>
          <w:szCs w:val="24"/>
        </w:rPr>
        <w:t>五、发现招标活动各方当事人有违规、违纪、违法行为的，及时提醒对方，情节严重的，主动向其主管部门或纪检监察、司法等机关举报。</w:t>
      </w:r>
    </w:p>
    <w:p w14:paraId="136E6F73">
      <w:pPr>
        <w:pStyle w:val="8"/>
        <w:spacing w:line="360" w:lineRule="auto"/>
        <w:ind w:firstLine="480" w:firstLineChars="200"/>
        <w:rPr>
          <w:rFonts w:hAnsi="宋体" w:cs="宋体"/>
          <w:sz w:val="24"/>
          <w:szCs w:val="24"/>
        </w:rPr>
      </w:pPr>
      <w:r>
        <w:rPr>
          <w:rFonts w:hint="eastAsia" w:hAnsi="宋体" w:cs="宋体"/>
          <w:sz w:val="24"/>
          <w:szCs w:val="24"/>
        </w:rPr>
        <w:t>六、自觉接受招标管理部门的监管。在招标活动中出现违反本承诺书规定行为的，自觉接受监管部门的处罚，因违法违规行为给其他当事人造成经济损失的，按规定予以赔偿。</w:t>
      </w:r>
    </w:p>
    <w:p w14:paraId="3D1FCDD7">
      <w:pPr>
        <w:pStyle w:val="8"/>
        <w:spacing w:line="360" w:lineRule="auto"/>
        <w:ind w:firstLine="480" w:firstLineChars="200"/>
        <w:rPr>
          <w:rFonts w:hAnsi="宋体" w:cs="宋体"/>
          <w:sz w:val="24"/>
          <w:szCs w:val="24"/>
        </w:rPr>
      </w:pPr>
      <w:r>
        <w:rPr>
          <w:rFonts w:hint="eastAsia" w:hAnsi="宋体" w:cs="宋体"/>
          <w:sz w:val="24"/>
          <w:szCs w:val="24"/>
        </w:rPr>
        <w:t>七、我方自愿将本承诺书作为投标文件的必备要件。在投标时，由我方单位负责人或其委托代理人签署，并随投标文件一并提交，否则可视为未实质响应招标文件，自愿接受由此造成的一切后果和损失。</w:t>
      </w:r>
    </w:p>
    <w:p w14:paraId="0DB3DA5A">
      <w:pPr>
        <w:pStyle w:val="8"/>
        <w:spacing w:line="360" w:lineRule="auto"/>
        <w:ind w:firstLine="480" w:firstLineChars="200"/>
        <w:rPr>
          <w:rFonts w:hAnsi="宋体" w:cs="宋体"/>
          <w:sz w:val="24"/>
          <w:szCs w:val="24"/>
        </w:rPr>
      </w:pPr>
      <w:r>
        <w:rPr>
          <w:rFonts w:hint="eastAsia" w:hAnsi="宋体" w:cs="宋体"/>
          <w:sz w:val="24"/>
          <w:szCs w:val="24"/>
        </w:rPr>
        <w:t>八、本承诺书自签署之日起生效。</w:t>
      </w:r>
    </w:p>
    <w:p w14:paraId="045FBC1A">
      <w:pPr>
        <w:pStyle w:val="8"/>
        <w:spacing w:line="360" w:lineRule="auto"/>
        <w:ind w:firstLine="480" w:firstLineChars="200"/>
        <w:rPr>
          <w:rFonts w:hAnsi="宋体" w:cs="宋体"/>
          <w:sz w:val="24"/>
          <w:szCs w:val="24"/>
        </w:rPr>
      </w:pPr>
      <w:r>
        <w:rPr>
          <w:rFonts w:hint="eastAsia" w:hAnsi="宋体" w:cs="宋体"/>
          <w:sz w:val="24"/>
          <w:szCs w:val="24"/>
        </w:rPr>
        <w:t>投标人(盖章)：</w:t>
      </w:r>
      <w:r>
        <w:rPr>
          <w:rFonts w:hint="eastAsia" w:hAnsi="宋体" w:cs="宋体"/>
          <w:sz w:val="24"/>
          <w:szCs w:val="24"/>
          <w:u w:val="single"/>
        </w:rPr>
        <w:t xml:space="preserve">                     </w:t>
      </w:r>
    </w:p>
    <w:p w14:paraId="10FF9E4F">
      <w:pPr>
        <w:pStyle w:val="8"/>
        <w:spacing w:line="360" w:lineRule="auto"/>
        <w:ind w:firstLine="480" w:firstLineChars="200"/>
        <w:rPr>
          <w:rFonts w:hAnsi="宋体" w:cs="宋体"/>
          <w:sz w:val="24"/>
          <w:szCs w:val="24"/>
        </w:rPr>
      </w:pPr>
      <w:r>
        <w:rPr>
          <w:rFonts w:hint="eastAsia" w:hAnsi="宋体" w:cs="宋体"/>
          <w:sz w:val="24"/>
          <w:szCs w:val="24"/>
        </w:rPr>
        <w:t>法定代表人或投标人代表（签名）：</w:t>
      </w:r>
      <w:r>
        <w:rPr>
          <w:rFonts w:hint="eastAsia" w:hAnsi="宋体" w:cs="宋体"/>
          <w:sz w:val="24"/>
          <w:szCs w:val="24"/>
          <w:u w:val="single"/>
        </w:rPr>
        <w:t xml:space="preserve">                     </w:t>
      </w:r>
    </w:p>
    <w:p w14:paraId="0909C829">
      <w:pPr>
        <w:spacing w:line="360" w:lineRule="auto"/>
        <w:jc w:val="center"/>
        <w:rPr>
          <w:rFonts w:ascii="宋体" w:hAnsi="宋体" w:cs="宋体"/>
          <w:szCs w:val="21"/>
        </w:rPr>
      </w:pPr>
      <w:r>
        <w:rPr>
          <w:rFonts w:hint="eastAsia" w:ascii="宋体" w:hAnsi="宋体" w:cs="宋体"/>
          <w:sz w:val="24"/>
        </w:rPr>
        <w:t xml:space="preserve">                        年  月  日</w:t>
      </w:r>
    </w:p>
    <w:p w14:paraId="343FE446">
      <w:pPr>
        <w:jc w:val="center"/>
        <w:rPr>
          <w:rFonts w:ascii="宋体" w:hAnsi="宋体"/>
          <w:b/>
          <w:bCs/>
          <w:sz w:val="30"/>
          <w:szCs w:val="30"/>
        </w:rPr>
      </w:pPr>
    </w:p>
    <w:p w14:paraId="2BA2633B">
      <w:pPr>
        <w:jc w:val="center"/>
        <w:rPr>
          <w:rFonts w:ascii="宋体" w:hAnsi="宋体"/>
          <w:b/>
          <w:bCs/>
          <w:sz w:val="30"/>
          <w:szCs w:val="30"/>
        </w:rPr>
      </w:pPr>
    </w:p>
    <w:p w14:paraId="03F7C391">
      <w:pPr>
        <w:jc w:val="center"/>
        <w:rPr>
          <w:rFonts w:ascii="宋体" w:hAnsi="宋体"/>
          <w:b/>
          <w:bCs/>
          <w:sz w:val="30"/>
          <w:szCs w:val="30"/>
        </w:rPr>
      </w:pPr>
    </w:p>
    <w:p w14:paraId="59269897">
      <w:pPr>
        <w:jc w:val="center"/>
        <w:rPr>
          <w:rFonts w:ascii="宋体" w:hAnsi="宋体"/>
          <w:sz w:val="30"/>
          <w:szCs w:val="30"/>
        </w:rPr>
      </w:pPr>
      <w:r>
        <w:rPr>
          <w:rFonts w:hint="eastAsia" w:ascii="宋体" w:hAnsi="宋体"/>
          <w:b/>
          <w:bCs/>
          <w:sz w:val="30"/>
          <w:szCs w:val="30"/>
        </w:rPr>
        <w:t>4.6招标服务费承诺书</w:t>
      </w:r>
    </w:p>
    <w:p w14:paraId="1235D227">
      <w:pPr>
        <w:pStyle w:val="23"/>
        <w:jc w:val="center"/>
        <w:outlineLvl w:val="9"/>
        <w:rPr>
          <w:rFonts w:hAnsi="宋体"/>
          <w:sz w:val="21"/>
        </w:rPr>
      </w:pPr>
      <w:r>
        <w:rPr>
          <w:rFonts w:hint="eastAsia" w:hAnsi="宋体"/>
          <w:sz w:val="21"/>
        </w:rPr>
        <w:t xml:space="preserve">                                </w:t>
      </w:r>
    </w:p>
    <w:p w14:paraId="57DE156C">
      <w:pPr>
        <w:spacing w:line="480" w:lineRule="exact"/>
        <w:rPr>
          <w:rFonts w:ascii="宋体" w:hAnsi="宋体"/>
          <w:sz w:val="24"/>
        </w:rPr>
      </w:pPr>
      <w:r>
        <w:rPr>
          <w:rFonts w:hint="eastAsia" w:ascii="宋体" w:hAnsi="宋体"/>
          <w:sz w:val="24"/>
        </w:rPr>
        <w:t>致：</w:t>
      </w:r>
      <w:r>
        <w:rPr>
          <w:rFonts w:hint="eastAsia" w:ascii="宋体" w:hAnsi="宋体"/>
          <w:sz w:val="24"/>
          <w:u w:val="single"/>
        </w:rPr>
        <w:t xml:space="preserve">  福建省宏瑞招标代理有限公司  </w:t>
      </w:r>
      <w:r>
        <w:rPr>
          <w:rFonts w:ascii="宋体" w:hAnsi="宋体"/>
          <w:sz w:val="24"/>
        </w:rPr>
        <w:t xml:space="preserve">  </w:t>
      </w:r>
    </w:p>
    <w:p w14:paraId="73ED1079">
      <w:pPr>
        <w:spacing w:line="480" w:lineRule="exact"/>
        <w:rPr>
          <w:rFonts w:ascii="宋体" w:hAnsi="宋体"/>
          <w:sz w:val="24"/>
        </w:rPr>
      </w:pPr>
    </w:p>
    <w:p w14:paraId="0A434196">
      <w:pPr>
        <w:spacing w:line="480" w:lineRule="exact"/>
        <w:ind w:firstLine="480" w:firstLineChars="200"/>
        <w:rPr>
          <w:rFonts w:ascii="宋体" w:hAnsi="宋体"/>
          <w:sz w:val="24"/>
        </w:rPr>
      </w:pPr>
      <w:r>
        <w:rPr>
          <w:rFonts w:hint="eastAsia" w:ascii="宋体" w:hAnsi="宋体"/>
          <w:sz w:val="24"/>
        </w:rPr>
        <w:t>我们在贵公司组织的</w:t>
      </w:r>
      <w:r>
        <w:rPr>
          <w:rFonts w:ascii="宋体" w:hAnsi="宋体"/>
          <w:sz w:val="24"/>
          <w:u w:val="single"/>
        </w:rPr>
        <w:t xml:space="preserve">                           </w:t>
      </w:r>
      <w:r>
        <w:rPr>
          <w:rFonts w:hint="eastAsia" w:ascii="宋体" w:hAnsi="宋体"/>
          <w:sz w:val="24"/>
        </w:rPr>
        <w:t>项目招标中投标（招标编号：</w:t>
      </w:r>
      <w:r>
        <w:rPr>
          <w:rFonts w:ascii="宋体" w:hAnsi="宋体"/>
          <w:sz w:val="24"/>
          <w:u w:val="single"/>
        </w:rPr>
        <w:t xml:space="preserve">          </w:t>
      </w:r>
      <w:r>
        <w:rPr>
          <w:rFonts w:hint="eastAsia" w:ascii="宋体" w:hAnsi="宋体"/>
          <w:sz w:val="24"/>
        </w:rPr>
        <w:t>），如获中标，我们保证按招标文件的规定，以支票、汇票、电汇、现金或经贵公司认可的其他付款方式，向贵公司缴交招标服务费。</w:t>
      </w:r>
    </w:p>
    <w:p w14:paraId="2B53B5A8">
      <w:pPr>
        <w:spacing w:line="480" w:lineRule="exact"/>
        <w:rPr>
          <w:rFonts w:ascii="宋体" w:hAnsi="宋体"/>
          <w:sz w:val="24"/>
        </w:rPr>
      </w:pPr>
    </w:p>
    <w:p w14:paraId="323579D6">
      <w:pPr>
        <w:spacing w:line="480" w:lineRule="exact"/>
        <w:ind w:firstLine="480" w:firstLineChars="200"/>
        <w:rPr>
          <w:rFonts w:ascii="宋体" w:hAnsi="宋体"/>
          <w:sz w:val="24"/>
        </w:rPr>
      </w:pPr>
      <w:r>
        <w:rPr>
          <w:rFonts w:hint="eastAsia" w:ascii="宋体" w:hAnsi="宋体"/>
          <w:sz w:val="24"/>
        </w:rPr>
        <w:t>特此承诺！</w:t>
      </w:r>
    </w:p>
    <w:p w14:paraId="4AE8436D">
      <w:pPr>
        <w:spacing w:line="480" w:lineRule="exact"/>
        <w:rPr>
          <w:rFonts w:ascii="宋体" w:hAnsi="宋体"/>
          <w:sz w:val="24"/>
        </w:rPr>
      </w:pPr>
    </w:p>
    <w:p w14:paraId="05E30ED7">
      <w:pPr>
        <w:spacing w:line="480" w:lineRule="exact"/>
        <w:rPr>
          <w:rFonts w:ascii="宋体" w:hAnsi="宋体"/>
          <w:sz w:val="24"/>
          <w:u w:val="single"/>
        </w:rPr>
      </w:pPr>
      <w:r>
        <w:rPr>
          <w:rFonts w:ascii="宋体" w:hAnsi="宋体"/>
          <w:sz w:val="24"/>
        </w:rPr>
        <w:t xml:space="preserve">   </w:t>
      </w:r>
      <w:r>
        <w:rPr>
          <w:rFonts w:hint="eastAsia" w:ascii="宋体" w:hAnsi="宋体"/>
          <w:sz w:val="24"/>
        </w:rPr>
        <w:t xml:space="preserve">                                    投标人代表签名： </w:t>
      </w:r>
      <w:r>
        <w:rPr>
          <w:rFonts w:hint="eastAsia" w:ascii="宋体" w:hAnsi="宋体"/>
          <w:sz w:val="24"/>
          <w:u w:val="single"/>
        </w:rPr>
        <w:t xml:space="preserve">                </w:t>
      </w:r>
    </w:p>
    <w:p w14:paraId="2AB23CDF">
      <w:pPr>
        <w:spacing w:line="480" w:lineRule="exact"/>
        <w:rPr>
          <w:rFonts w:ascii="宋体" w:hAnsi="宋体"/>
          <w:sz w:val="24"/>
        </w:rPr>
      </w:pPr>
      <w:r>
        <w:rPr>
          <w:rFonts w:hint="eastAsia" w:ascii="宋体" w:hAnsi="宋体"/>
          <w:sz w:val="24"/>
        </w:rPr>
        <w:t xml:space="preserve">                                       投标人（全称并加盖公章）：</w:t>
      </w:r>
      <w:r>
        <w:rPr>
          <w:rFonts w:hint="eastAsia" w:ascii="宋体" w:hAnsi="宋体"/>
          <w:sz w:val="24"/>
          <w:u w:val="single"/>
        </w:rPr>
        <w:t xml:space="preserve">                       </w:t>
      </w:r>
    </w:p>
    <w:p w14:paraId="59875D24">
      <w:pPr>
        <w:spacing w:line="480" w:lineRule="exact"/>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14:paraId="0ED3DFA0">
      <w:pPr>
        <w:jc w:val="center"/>
        <w:rPr>
          <w:rFonts w:ascii="宋体" w:hAnsi="宋体"/>
          <w:b/>
          <w:bCs/>
          <w:sz w:val="36"/>
        </w:rPr>
      </w:pPr>
    </w:p>
    <w:p w14:paraId="14D588BD">
      <w:pPr>
        <w:jc w:val="center"/>
        <w:rPr>
          <w:rFonts w:ascii="宋体" w:hAnsi="宋体"/>
          <w:b/>
          <w:bCs/>
          <w:sz w:val="36"/>
        </w:rPr>
      </w:pPr>
    </w:p>
    <w:p w14:paraId="2DB871DF">
      <w:pPr>
        <w:jc w:val="center"/>
        <w:rPr>
          <w:rFonts w:ascii="宋体" w:hAnsi="宋体"/>
          <w:b/>
          <w:bCs/>
          <w:sz w:val="36"/>
        </w:rPr>
      </w:pPr>
    </w:p>
    <w:p w14:paraId="71EECFA5">
      <w:pPr>
        <w:spacing w:line="1200" w:lineRule="exact"/>
        <w:jc w:val="center"/>
        <w:rPr>
          <w:rFonts w:ascii="宋体" w:hAnsi="宋体"/>
          <w:b/>
          <w:bCs/>
          <w:sz w:val="36"/>
        </w:rPr>
      </w:pPr>
    </w:p>
    <w:p w14:paraId="50E7843A">
      <w:pPr>
        <w:spacing w:line="1200" w:lineRule="exact"/>
        <w:jc w:val="center"/>
        <w:rPr>
          <w:rFonts w:ascii="宋体" w:hAnsi="宋体"/>
          <w:b/>
          <w:bCs/>
          <w:sz w:val="36"/>
        </w:rPr>
      </w:pPr>
    </w:p>
    <w:p w14:paraId="47EA2CC1">
      <w:pPr>
        <w:spacing w:line="1200" w:lineRule="exact"/>
        <w:jc w:val="center"/>
        <w:rPr>
          <w:rFonts w:ascii="宋体" w:hAnsi="宋体"/>
          <w:b/>
          <w:bCs/>
          <w:sz w:val="36"/>
        </w:rPr>
      </w:pPr>
    </w:p>
    <w:p w14:paraId="5E37601A">
      <w:pPr>
        <w:spacing w:line="1200" w:lineRule="exact"/>
        <w:jc w:val="center"/>
        <w:rPr>
          <w:rFonts w:ascii="宋体" w:hAnsi="宋体"/>
          <w:b/>
          <w:bCs/>
          <w:sz w:val="36"/>
        </w:rPr>
      </w:pPr>
    </w:p>
    <w:p w14:paraId="0AC119EE">
      <w:pPr>
        <w:bidi w:val="0"/>
        <w:rPr>
          <w:rFonts w:hint="default"/>
        </w:rPr>
      </w:pPr>
    </w:p>
    <w:p w14:paraId="6055F5A2"/>
    <w:p w14:paraId="1A9AB374">
      <w:pPr>
        <w:jc w:val="center"/>
        <w:rPr>
          <w:rFonts w:ascii="宋体" w:hAnsi="宋体"/>
          <w:b/>
          <w:sz w:val="32"/>
          <w:szCs w:val="32"/>
        </w:rPr>
      </w:pPr>
    </w:p>
    <w:p w14:paraId="4550E5D8">
      <w:pPr>
        <w:jc w:val="center"/>
        <w:rPr>
          <w:rFonts w:ascii="宋体" w:hAnsi="宋体"/>
          <w:b/>
          <w:sz w:val="32"/>
          <w:szCs w:val="32"/>
        </w:rPr>
      </w:pPr>
    </w:p>
    <w:p w14:paraId="65D9C35F">
      <w:pPr>
        <w:jc w:val="center"/>
        <w:rPr>
          <w:rFonts w:ascii="宋体" w:hAnsi="宋体"/>
          <w:b/>
          <w:sz w:val="32"/>
          <w:szCs w:val="32"/>
        </w:rPr>
      </w:pPr>
    </w:p>
    <w:p w14:paraId="7DC4F4EE">
      <w:pPr>
        <w:jc w:val="center"/>
        <w:rPr>
          <w:rFonts w:ascii="宋体" w:hAnsi="宋体"/>
          <w:b/>
          <w:sz w:val="32"/>
          <w:szCs w:val="32"/>
        </w:rPr>
      </w:pPr>
    </w:p>
    <w:p w14:paraId="14CA06E4">
      <w:pPr>
        <w:jc w:val="center"/>
        <w:rPr>
          <w:rFonts w:ascii="宋体" w:hAnsi="宋体"/>
          <w:b/>
          <w:sz w:val="32"/>
          <w:szCs w:val="32"/>
        </w:rPr>
      </w:pPr>
    </w:p>
    <w:p w14:paraId="4B2FCB66">
      <w:pPr>
        <w:jc w:val="center"/>
      </w:pPr>
      <w:r>
        <w:rPr>
          <w:rFonts w:hint="eastAsia" w:ascii="宋体" w:hAnsi="宋体"/>
          <w:b/>
          <w:sz w:val="32"/>
          <w:szCs w:val="32"/>
        </w:rPr>
        <w:t>4.7投标保证金复印件</w:t>
      </w:r>
    </w:p>
    <w:p w14:paraId="5DC726E9">
      <w:pPr>
        <w:spacing w:line="440" w:lineRule="exact"/>
        <w:ind w:firstLine="321" w:firstLineChars="100"/>
        <w:jc w:val="center"/>
        <w:rPr>
          <w:rFonts w:ascii="宋体" w:hAnsi="宋体"/>
          <w:b/>
          <w:sz w:val="32"/>
          <w:szCs w:val="32"/>
        </w:rPr>
      </w:pPr>
    </w:p>
    <w:p w14:paraId="584C0EE4">
      <w:pPr>
        <w:spacing w:line="440" w:lineRule="exact"/>
        <w:ind w:firstLine="301" w:firstLineChars="100"/>
        <w:jc w:val="center"/>
        <w:rPr>
          <w:rFonts w:ascii="宋体" w:hAnsi="宋体"/>
          <w:b/>
          <w:sz w:val="30"/>
          <w:szCs w:val="30"/>
        </w:rPr>
      </w:pPr>
    </w:p>
    <w:p w14:paraId="23C49F90">
      <w:pPr>
        <w:spacing w:line="440" w:lineRule="exact"/>
        <w:ind w:firstLine="301" w:firstLineChars="100"/>
        <w:jc w:val="center"/>
        <w:rPr>
          <w:rFonts w:ascii="宋体" w:hAnsi="宋体"/>
          <w:b/>
          <w:sz w:val="30"/>
          <w:szCs w:val="30"/>
        </w:rPr>
      </w:pPr>
    </w:p>
    <w:p w14:paraId="63CB5690">
      <w:pPr>
        <w:spacing w:line="440" w:lineRule="exact"/>
        <w:ind w:firstLine="301" w:firstLineChars="100"/>
        <w:jc w:val="center"/>
        <w:rPr>
          <w:rFonts w:ascii="宋体" w:hAnsi="宋体"/>
          <w:b/>
          <w:sz w:val="30"/>
          <w:szCs w:val="30"/>
        </w:rPr>
      </w:pPr>
    </w:p>
    <w:p w14:paraId="505F2F09">
      <w:pPr>
        <w:pStyle w:val="12"/>
        <w:ind w:firstLine="301"/>
        <w:rPr>
          <w:rFonts w:ascii="宋体" w:hAnsi="宋体"/>
          <w:b/>
          <w:szCs w:val="30"/>
        </w:rPr>
      </w:pPr>
    </w:p>
    <w:p w14:paraId="5BF46703">
      <w:pPr>
        <w:pStyle w:val="13"/>
        <w:ind w:firstLine="602"/>
        <w:rPr>
          <w:b/>
          <w:sz w:val="30"/>
          <w:szCs w:val="30"/>
        </w:rPr>
      </w:pPr>
    </w:p>
    <w:p w14:paraId="41BE9E66">
      <w:pPr>
        <w:pStyle w:val="13"/>
        <w:ind w:firstLine="602"/>
        <w:rPr>
          <w:b/>
          <w:sz w:val="30"/>
          <w:szCs w:val="30"/>
        </w:rPr>
      </w:pPr>
    </w:p>
    <w:p w14:paraId="678A8329">
      <w:pPr>
        <w:pStyle w:val="13"/>
        <w:ind w:firstLine="602"/>
        <w:rPr>
          <w:b/>
          <w:sz w:val="30"/>
          <w:szCs w:val="30"/>
        </w:rPr>
      </w:pPr>
    </w:p>
    <w:p w14:paraId="6573E187">
      <w:pPr>
        <w:pStyle w:val="13"/>
        <w:ind w:firstLine="602"/>
        <w:rPr>
          <w:b/>
          <w:sz w:val="30"/>
          <w:szCs w:val="30"/>
        </w:rPr>
      </w:pPr>
    </w:p>
    <w:p w14:paraId="7A09D85D">
      <w:pPr>
        <w:pStyle w:val="13"/>
        <w:ind w:firstLine="602"/>
        <w:rPr>
          <w:b/>
          <w:sz w:val="30"/>
          <w:szCs w:val="30"/>
        </w:rPr>
      </w:pPr>
    </w:p>
    <w:p w14:paraId="1F3D83F4">
      <w:pPr>
        <w:pStyle w:val="13"/>
        <w:ind w:firstLine="602"/>
        <w:rPr>
          <w:b/>
          <w:sz w:val="30"/>
          <w:szCs w:val="30"/>
        </w:rPr>
      </w:pPr>
    </w:p>
    <w:p w14:paraId="75748F25">
      <w:pPr>
        <w:pStyle w:val="13"/>
        <w:ind w:firstLine="602"/>
        <w:rPr>
          <w:b/>
          <w:sz w:val="30"/>
          <w:szCs w:val="30"/>
        </w:rPr>
      </w:pPr>
    </w:p>
    <w:p w14:paraId="39E21543">
      <w:pPr>
        <w:pStyle w:val="13"/>
        <w:ind w:firstLine="602"/>
        <w:rPr>
          <w:b/>
          <w:sz w:val="30"/>
          <w:szCs w:val="30"/>
        </w:rPr>
      </w:pPr>
    </w:p>
    <w:p w14:paraId="6955709A">
      <w:pPr>
        <w:pStyle w:val="13"/>
        <w:ind w:firstLine="602"/>
        <w:rPr>
          <w:b/>
          <w:sz w:val="30"/>
          <w:szCs w:val="30"/>
        </w:rPr>
      </w:pPr>
    </w:p>
    <w:p w14:paraId="109C0F10">
      <w:pPr>
        <w:pStyle w:val="13"/>
        <w:ind w:firstLine="602"/>
        <w:rPr>
          <w:b/>
          <w:sz w:val="30"/>
          <w:szCs w:val="30"/>
        </w:rPr>
      </w:pPr>
    </w:p>
    <w:p w14:paraId="5D47B1A3">
      <w:pPr>
        <w:pStyle w:val="13"/>
        <w:ind w:firstLine="602"/>
        <w:rPr>
          <w:b/>
          <w:sz w:val="30"/>
          <w:szCs w:val="30"/>
        </w:rPr>
      </w:pPr>
    </w:p>
    <w:p w14:paraId="008FEB07">
      <w:pPr>
        <w:pStyle w:val="13"/>
        <w:ind w:firstLine="602"/>
        <w:rPr>
          <w:b/>
          <w:sz w:val="30"/>
          <w:szCs w:val="30"/>
        </w:rPr>
      </w:pPr>
    </w:p>
    <w:p w14:paraId="5811D62B">
      <w:pPr>
        <w:spacing w:line="440" w:lineRule="exact"/>
        <w:ind w:firstLine="301" w:firstLineChars="100"/>
        <w:jc w:val="center"/>
        <w:rPr>
          <w:rFonts w:ascii="宋体" w:hAnsi="宋体"/>
          <w:b/>
          <w:sz w:val="30"/>
          <w:szCs w:val="30"/>
        </w:rPr>
      </w:pPr>
    </w:p>
    <w:p w14:paraId="171CC81C">
      <w:pPr>
        <w:spacing w:line="440" w:lineRule="exact"/>
        <w:ind w:firstLine="301" w:firstLineChars="100"/>
        <w:jc w:val="center"/>
        <w:rPr>
          <w:rFonts w:ascii="宋体" w:hAnsi="宋体"/>
          <w:b/>
          <w:sz w:val="30"/>
          <w:szCs w:val="30"/>
        </w:rPr>
      </w:pPr>
    </w:p>
    <w:p w14:paraId="786497C1">
      <w:pPr>
        <w:spacing w:line="440" w:lineRule="exact"/>
        <w:ind w:firstLine="301" w:firstLineChars="100"/>
        <w:jc w:val="center"/>
        <w:rPr>
          <w:rFonts w:ascii="宋体" w:hAnsi="宋体"/>
          <w:b/>
          <w:sz w:val="30"/>
          <w:szCs w:val="30"/>
        </w:rPr>
      </w:pPr>
    </w:p>
    <w:p w14:paraId="7A689025">
      <w:pPr>
        <w:spacing w:line="440" w:lineRule="exact"/>
        <w:ind w:firstLine="301" w:firstLineChars="100"/>
        <w:jc w:val="center"/>
        <w:rPr>
          <w:rFonts w:ascii="宋体" w:hAnsi="宋体"/>
          <w:b/>
          <w:sz w:val="30"/>
          <w:szCs w:val="30"/>
        </w:rPr>
      </w:pPr>
    </w:p>
    <w:p w14:paraId="534A9C3A">
      <w:pPr>
        <w:spacing w:line="440" w:lineRule="exact"/>
        <w:ind w:firstLine="301" w:firstLineChars="100"/>
        <w:jc w:val="center"/>
        <w:rPr>
          <w:rFonts w:ascii="宋体" w:hAnsi="宋体"/>
          <w:b/>
          <w:sz w:val="30"/>
          <w:szCs w:val="30"/>
        </w:rPr>
      </w:pPr>
    </w:p>
    <w:p w14:paraId="21239DBA">
      <w:pPr>
        <w:spacing w:line="440" w:lineRule="exact"/>
        <w:ind w:firstLine="301" w:firstLineChars="100"/>
        <w:jc w:val="center"/>
        <w:rPr>
          <w:rFonts w:ascii="宋体" w:hAnsi="宋体"/>
          <w:b/>
          <w:sz w:val="30"/>
          <w:szCs w:val="30"/>
        </w:rPr>
      </w:pPr>
    </w:p>
    <w:p w14:paraId="56A70BC4">
      <w:pPr>
        <w:spacing w:line="440" w:lineRule="exact"/>
        <w:ind w:firstLine="301" w:firstLineChars="100"/>
        <w:jc w:val="center"/>
        <w:rPr>
          <w:rFonts w:ascii="宋体" w:hAnsi="宋体"/>
          <w:b/>
          <w:sz w:val="30"/>
          <w:szCs w:val="30"/>
        </w:rPr>
      </w:pPr>
    </w:p>
    <w:p w14:paraId="3AB8BBB3">
      <w:pPr>
        <w:spacing w:line="440" w:lineRule="exact"/>
        <w:ind w:firstLine="301" w:firstLineChars="100"/>
        <w:jc w:val="center"/>
        <w:rPr>
          <w:rFonts w:ascii="宋体" w:hAnsi="宋体"/>
          <w:b/>
          <w:sz w:val="30"/>
          <w:szCs w:val="30"/>
        </w:rPr>
      </w:pPr>
    </w:p>
    <w:p w14:paraId="64A1B4D6">
      <w:pPr>
        <w:spacing w:line="440" w:lineRule="exact"/>
        <w:ind w:firstLine="301" w:firstLineChars="100"/>
        <w:jc w:val="center"/>
        <w:rPr>
          <w:rFonts w:ascii="宋体" w:hAnsi="宋体"/>
          <w:b/>
          <w:sz w:val="30"/>
          <w:szCs w:val="30"/>
        </w:rPr>
      </w:pPr>
      <w:r>
        <w:rPr>
          <w:rFonts w:hint="eastAsia" w:ascii="宋体" w:hAnsi="宋体"/>
          <w:b/>
          <w:sz w:val="30"/>
          <w:szCs w:val="30"/>
        </w:rPr>
        <w:t>4.8招标文件规定的其他资格证明材料</w:t>
      </w:r>
    </w:p>
    <w:p w14:paraId="69BDEA23">
      <w:pPr>
        <w:pStyle w:val="12"/>
        <w:ind w:firstLine="300"/>
        <w:rPr>
          <w:szCs w:val="30"/>
        </w:rPr>
      </w:pPr>
    </w:p>
    <w:p w14:paraId="6D255B3C">
      <w:pPr>
        <w:pStyle w:val="23"/>
        <w:spacing w:line="360" w:lineRule="auto"/>
        <w:jc w:val="center"/>
        <w:outlineLvl w:val="9"/>
        <w:rPr>
          <w:rFonts w:hAnsi="宋体" w:cs="宋体"/>
          <w:bCs/>
          <w:sz w:val="24"/>
        </w:rPr>
      </w:pPr>
    </w:p>
    <w:p w14:paraId="73D04404">
      <w:pPr>
        <w:pStyle w:val="23"/>
        <w:spacing w:line="360" w:lineRule="auto"/>
        <w:outlineLvl w:val="9"/>
        <w:rPr>
          <w:rFonts w:hAnsi="宋体" w:cs="宋体"/>
          <w:bCs/>
          <w:sz w:val="24"/>
        </w:rPr>
      </w:pPr>
      <w:r>
        <w:rPr>
          <w:rFonts w:hint="eastAsia" w:hAnsi="宋体" w:cs="宋体"/>
          <w:bCs/>
          <w:sz w:val="24"/>
        </w:rPr>
        <w:t>（1）招标文件中规定的或投标人认为需要提供的其他资格证明材料。</w:t>
      </w:r>
    </w:p>
    <w:p w14:paraId="02C9278E">
      <w:pPr>
        <w:pStyle w:val="23"/>
        <w:jc w:val="center"/>
        <w:outlineLvl w:val="9"/>
        <w:rPr>
          <w:rFonts w:hAnsi="宋体"/>
          <w:b/>
          <w:sz w:val="30"/>
          <w:szCs w:val="30"/>
        </w:rPr>
      </w:pPr>
    </w:p>
    <w:bookmarkEnd w:id="84"/>
    <w:bookmarkEnd w:id="85"/>
    <w:bookmarkEnd w:id="86"/>
    <w:bookmarkEnd w:id="87"/>
    <w:bookmarkEnd w:id="88"/>
    <w:bookmarkEnd w:id="89"/>
    <w:bookmarkEnd w:id="90"/>
    <w:bookmarkEnd w:id="91"/>
    <w:p w14:paraId="78F3FC79">
      <w:pPr>
        <w:jc w:val="center"/>
        <w:rPr>
          <w:rFonts w:ascii="宋体" w:hAnsi="宋体"/>
          <w:b/>
          <w:sz w:val="36"/>
        </w:rPr>
      </w:pPr>
      <w:r>
        <w:rPr>
          <w:rFonts w:ascii="宋体" w:hAnsi="宋体"/>
          <w:b/>
          <w:sz w:val="36"/>
        </w:rPr>
        <w:br w:type="page"/>
      </w:r>
      <w:r>
        <w:rPr>
          <w:rFonts w:hint="eastAsia" w:ascii="宋体" w:hAnsi="宋体"/>
          <w:b/>
          <w:sz w:val="36"/>
        </w:rPr>
        <w:t>二、技术商务部分</w:t>
      </w:r>
    </w:p>
    <w:p w14:paraId="230F6A28">
      <w:pPr>
        <w:rPr>
          <w:rFonts w:ascii="宋体" w:hAnsi="宋体"/>
          <w:b/>
          <w:szCs w:val="21"/>
        </w:rPr>
      </w:pPr>
      <w:r>
        <w:rPr>
          <w:rFonts w:ascii="宋体" w:hAnsi="宋体"/>
          <w:b/>
          <w:sz w:val="36"/>
        </w:rPr>
        <w:t xml:space="preserve"> </w:t>
      </w:r>
      <w:r>
        <w:rPr>
          <w:rFonts w:hint="eastAsia" w:ascii="宋体" w:hAnsi="宋体"/>
          <w:b/>
          <w:sz w:val="36"/>
        </w:rPr>
        <w:t xml:space="preserve"> </w:t>
      </w:r>
      <w:r>
        <w:rPr>
          <w:rFonts w:hint="eastAsia" w:ascii="宋体" w:hAnsi="宋体"/>
          <w:b/>
          <w:szCs w:val="21"/>
        </w:rPr>
        <w:t xml:space="preserve"> </w:t>
      </w:r>
    </w:p>
    <w:p w14:paraId="6E38247B">
      <w:pPr>
        <w:rPr>
          <w:rFonts w:ascii="宋体" w:hAnsi="宋体"/>
          <w:sz w:val="24"/>
          <w:szCs w:val="24"/>
        </w:rPr>
      </w:pPr>
    </w:p>
    <w:p w14:paraId="23E84982">
      <w:pPr>
        <w:pStyle w:val="25"/>
        <w:ind w:firstLine="960"/>
        <w:jc w:val="center"/>
        <w:outlineLvl w:val="1"/>
        <w:rPr>
          <w:rFonts w:hint="default"/>
          <w:sz w:val="24"/>
          <w:szCs w:val="24"/>
        </w:rPr>
      </w:pPr>
      <w:r>
        <w:rPr>
          <w:b/>
          <w:sz w:val="24"/>
          <w:szCs w:val="24"/>
        </w:rPr>
        <w:t>一、标的说明一览表</w:t>
      </w:r>
    </w:p>
    <w:p w14:paraId="49C2FC73">
      <w:pPr>
        <w:pStyle w:val="25"/>
        <w:ind w:firstLine="480"/>
        <w:jc w:val="both"/>
        <w:rPr>
          <w:rFonts w:hint="default"/>
          <w:sz w:val="24"/>
          <w:szCs w:val="24"/>
        </w:rPr>
      </w:pPr>
      <w:r>
        <w:rPr>
          <w:sz w:val="24"/>
          <w:szCs w:val="24"/>
        </w:rPr>
        <w:t>项目编号：</w:t>
      </w:r>
      <w:r>
        <w:rPr>
          <w:sz w:val="24"/>
          <w:szCs w:val="24"/>
          <w:u w:val="single"/>
        </w:rPr>
        <w:t>　　　　　　　　</w:t>
      </w:r>
    </w:p>
    <w:tbl>
      <w:tblPr>
        <w:tblStyle w:val="14"/>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80"/>
        <w:gridCol w:w="1680"/>
        <w:gridCol w:w="1680"/>
        <w:gridCol w:w="1680"/>
        <w:gridCol w:w="1680"/>
        <w:gridCol w:w="1680"/>
      </w:tblGrid>
      <w:tr w14:paraId="3C0C9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14:paraId="368AFFBB">
            <w:pPr>
              <w:pStyle w:val="25"/>
              <w:jc w:val="both"/>
              <w:rPr>
                <w:rFonts w:hint="default"/>
                <w:sz w:val="24"/>
                <w:szCs w:val="24"/>
              </w:rPr>
            </w:pPr>
            <w:r>
              <w:rPr>
                <w:sz w:val="24"/>
                <w:szCs w:val="24"/>
                <w:lang w:eastAsia="zh-CN"/>
              </w:rPr>
              <w:t>合同</w:t>
            </w:r>
            <w:r>
              <w:rPr>
                <w:sz w:val="24"/>
                <w:szCs w:val="24"/>
              </w:rPr>
              <w:t>包</w:t>
            </w:r>
          </w:p>
        </w:tc>
        <w:tc>
          <w:tcPr>
            <w:tcW w:w="1680" w:type="dxa"/>
          </w:tcPr>
          <w:p w14:paraId="3F0294EB">
            <w:pPr>
              <w:pStyle w:val="25"/>
              <w:jc w:val="both"/>
              <w:rPr>
                <w:rFonts w:hint="default"/>
                <w:sz w:val="24"/>
                <w:szCs w:val="24"/>
              </w:rPr>
            </w:pPr>
            <w:r>
              <w:rPr>
                <w:sz w:val="24"/>
                <w:szCs w:val="24"/>
              </w:rPr>
              <w:t>品目号</w:t>
            </w:r>
          </w:p>
        </w:tc>
        <w:tc>
          <w:tcPr>
            <w:tcW w:w="1680" w:type="dxa"/>
          </w:tcPr>
          <w:p w14:paraId="5ECEF5A5">
            <w:pPr>
              <w:pStyle w:val="25"/>
              <w:jc w:val="both"/>
              <w:rPr>
                <w:rFonts w:hint="default"/>
                <w:sz w:val="24"/>
                <w:szCs w:val="24"/>
              </w:rPr>
            </w:pPr>
            <w:r>
              <w:rPr>
                <w:sz w:val="24"/>
                <w:szCs w:val="24"/>
                <w:lang w:eastAsia="zh-CN"/>
              </w:rPr>
              <w:t>标的名称</w:t>
            </w:r>
          </w:p>
        </w:tc>
        <w:tc>
          <w:tcPr>
            <w:tcW w:w="1680" w:type="dxa"/>
          </w:tcPr>
          <w:p w14:paraId="5C5A2C71">
            <w:pPr>
              <w:pStyle w:val="25"/>
              <w:jc w:val="both"/>
              <w:rPr>
                <w:rFonts w:hint="default"/>
                <w:sz w:val="24"/>
                <w:szCs w:val="24"/>
              </w:rPr>
            </w:pPr>
            <w:r>
              <w:rPr>
                <w:sz w:val="24"/>
                <w:szCs w:val="24"/>
              </w:rPr>
              <w:t>规格</w:t>
            </w:r>
          </w:p>
        </w:tc>
        <w:tc>
          <w:tcPr>
            <w:tcW w:w="1680" w:type="dxa"/>
          </w:tcPr>
          <w:p w14:paraId="34455072">
            <w:pPr>
              <w:pStyle w:val="25"/>
              <w:jc w:val="both"/>
              <w:rPr>
                <w:rFonts w:hint="default"/>
                <w:sz w:val="24"/>
                <w:szCs w:val="24"/>
              </w:rPr>
            </w:pPr>
            <w:r>
              <w:rPr>
                <w:sz w:val="24"/>
                <w:szCs w:val="24"/>
              </w:rPr>
              <w:t>来源地</w:t>
            </w:r>
          </w:p>
        </w:tc>
        <w:tc>
          <w:tcPr>
            <w:tcW w:w="1680" w:type="dxa"/>
          </w:tcPr>
          <w:p w14:paraId="0306F66D">
            <w:pPr>
              <w:pStyle w:val="25"/>
              <w:jc w:val="both"/>
              <w:rPr>
                <w:rFonts w:hint="default"/>
                <w:sz w:val="24"/>
                <w:szCs w:val="24"/>
              </w:rPr>
            </w:pPr>
            <w:r>
              <w:rPr>
                <w:sz w:val="24"/>
                <w:szCs w:val="24"/>
              </w:rPr>
              <w:t>备注</w:t>
            </w:r>
          </w:p>
        </w:tc>
      </w:tr>
      <w:tr w14:paraId="0FBD6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Merge w:val="restart"/>
          </w:tcPr>
          <w:p w14:paraId="44134E26">
            <w:pPr>
              <w:pStyle w:val="25"/>
              <w:jc w:val="both"/>
              <w:rPr>
                <w:rFonts w:hint="default"/>
                <w:sz w:val="24"/>
                <w:szCs w:val="24"/>
              </w:rPr>
            </w:pPr>
            <w:r>
              <w:rPr>
                <w:sz w:val="24"/>
                <w:szCs w:val="24"/>
              </w:rPr>
              <w:t>*</w:t>
            </w:r>
          </w:p>
        </w:tc>
        <w:tc>
          <w:tcPr>
            <w:tcW w:w="1680" w:type="dxa"/>
          </w:tcPr>
          <w:p w14:paraId="2D3D418A">
            <w:pPr>
              <w:pStyle w:val="25"/>
              <w:jc w:val="both"/>
              <w:rPr>
                <w:rFonts w:hint="default"/>
                <w:sz w:val="24"/>
                <w:szCs w:val="24"/>
              </w:rPr>
            </w:pPr>
            <w:r>
              <w:rPr>
                <w:sz w:val="24"/>
                <w:szCs w:val="24"/>
              </w:rPr>
              <w:t>*-1</w:t>
            </w:r>
          </w:p>
        </w:tc>
        <w:tc>
          <w:tcPr>
            <w:tcW w:w="1680" w:type="dxa"/>
          </w:tcPr>
          <w:p w14:paraId="43A3D866">
            <w:pPr>
              <w:rPr>
                <w:sz w:val="24"/>
              </w:rPr>
            </w:pPr>
          </w:p>
        </w:tc>
        <w:tc>
          <w:tcPr>
            <w:tcW w:w="1680" w:type="dxa"/>
          </w:tcPr>
          <w:p w14:paraId="595C59D5">
            <w:pPr>
              <w:rPr>
                <w:sz w:val="24"/>
              </w:rPr>
            </w:pPr>
          </w:p>
        </w:tc>
        <w:tc>
          <w:tcPr>
            <w:tcW w:w="1680" w:type="dxa"/>
          </w:tcPr>
          <w:p w14:paraId="27797CF8">
            <w:pPr>
              <w:rPr>
                <w:sz w:val="24"/>
              </w:rPr>
            </w:pPr>
          </w:p>
        </w:tc>
        <w:tc>
          <w:tcPr>
            <w:tcW w:w="1680" w:type="dxa"/>
          </w:tcPr>
          <w:p w14:paraId="26D9D2F1">
            <w:pPr>
              <w:rPr>
                <w:sz w:val="24"/>
              </w:rPr>
            </w:pPr>
          </w:p>
        </w:tc>
      </w:tr>
      <w:tr w14:paraId="1E70E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Merge w:val="continue"/>
          </w:tcPr>
          <w:p w14:paraId="7D36A759">
            <w:pPr>
              <w:rPr>
                <w:sz w:val="24"/>
              </w:rPr>
            </w:pPr>
          </w:p>
        </w:tc>
        <w:tc>
          <w:tcPr>
            <w:tcW w:w="1680" w:type="dxa"/>
          </w:tcPr>
          <w:p w14:paraId="33D35FC6">
            <w:pPr>
              <w:pStyle w:val="25"/>
              <w:jc w:val="both"/>
              <w:rPr>
                <w:rFonts w:hint="default"/>
                <w:sz w:val="24"/>
                <w:szCs w:val="24"/>
              </w:rPr>
            </w:pPr>
            <w:r>
              <w:rPr>
                <w:sz w:val="24"/>
                <w:szCs w:val="24"/>
              </w:rPr>
              <w:t>…</w:t>
            </w:r>
          </w:p>
        </w:tc>
        <w:tc>
          <w:tcPr>
            <w:tcW w:w="1680" w:type="dxa"/>
          </w:tcPr>
          <w:p w14:paraId="1AD90D7A">
            <w:pPr>
              <w:rPr>
                <w:sz w:val="24"/>
              </w:rPr>
            </w:pPr>
          </w:p>
        </w:tc>
        <w:tc>
          <w:tcPr>
            <w:tcW w:w="1680" w:type="dxa"/>
          </w:tcPr>
          <w:p w14:paraId="040FE2F4">
            <w:pPr>
              <w:rPr>
                <w:sz w:val="24"/>
              </w:rPr>
            </w:pPr>
          </w:p>
        </w:tc>
        <w:tc>
          <w:tcPr>
            <w:tcW w:w="1680" w:type="dxa"/>
          </w:tcPr>
          <w:p w14:paraId="5F9C8906">
            <w:pPr>
              <w:rPr>
                <w:sz w:val="24"/>
              </w:rPr>
            </w:pPr>
          </w:p>
        </w:tc>
        <w:tc>
          <w:tcPr>
            <w:tcW w:w="1680" w:type="dxa"/>
          </w:tcPr>
          <w:p w14:paraId="56CE89F4">
            <w:pPr>
              <w:rPr>
                <w:sz w:val="24"/>
              </w:rPr>
            </w:pPr>
          </w:p>
        </w:tc>
      </w:tr>
      <w:tr w14:paraId="7522C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14:paraId="0891E92E">
            <w:pPr>
              <w:pStyle w:val="25"/>
              <w:jc w:val="both"/>
              <w:rPr>
                <w:rFonts w:hint="default"/>
                <w:sz w:val="24"/>
                <w:szCs w:val="24"/>
              </w:rPr>
            </w:pPr>
            <w:r>
              <w:rPr>
                <w:sz w:val="24"/>
                <w:szCs w:val="24"/>
              </w:rPr>
              <w:t>…</w:t>
            </w:r>
          </w:p>
        </w:tc>
        <w:tc>
          <w:tcPr>
            <w:tcW w:w="1680" w:type="dxa"/>
          </w:tcPr>
          <w:p w14:paraId="51D8F7BE">
            <w:pPr>
              <w:rPr>
                <w:sz w:val="24"/>
              </w:rPr>
            </w:pPr>
          </w:p>
        </w:tc>
        <w:tc>
          <w:tcPr>
            <w:tcW w:w="1680" w:type="dxa"/>
          </w:tcPr>
          <w:p w14:paraId="04E4DBE8">
            <w:pPr>
              <w:rPr>
                <w:sz w:val="24"/>
              </w:rPr>
            </w:pPr>
          </w:p>
        </w:tc>
        <w:tc>
          <w:tcPr>
            <w:tcW w:w="1680" w:type="dxa"/>
          </w:tcPr>
          <w:p w14:paraId="01B03B5A">
            <w:pPr>
              <w:rPr>
                <w:sz w:val="24"/>
              </w:rPr>
            </w:pPr>
          </w:p>
        </w:tc>
        <w:tc>
          <w:tcPr>
            <w:tcW w:w="1680" w:type="dxa"/>
          </w:tcPr>
          <w:p w14:paraId="15D4687B">
            <w:pPr>
              <w:rPr>
                <w:sz w:val="24"/>
              </w:rPr>
            </w:pPr>
          </w:p>
        </w:tc>
        <w:tc>
          <w:tcPr>
            <w:tcW w:w="1680" w:type="dxa"/>
          </w:tcPr>
          <w:p w14:paraId="1E535F08">
            <w:pPr>
              <w:rPr>
                <w:sz w:val="24"/>
              </w:rPr>
            </w:pPr>
          </w:p>
        </w:tc>
      </w:tr>
    </w:tbl>
    <w:p w14:paraId="239CA086">
      <w:pPr>
        <w:pStyle w:val="25"/>
        <w:spacing w:line="360" w:lineRule="auto"/>
        <w:ind w:firstLine="480"/>
        <w:jc w:val="both"/>
        <w:rPr>
          <w:rFonts w:hint="default"/>
          <w:sz w:val="24"/>
          <w:szCs w:val="24"/>
        </w:rPr>
      </w:pPr>
      <w:r>
        <w:rPr>
          <w:sz w:val="24"/>
          <w:szCs w:val="24"/>
        </w:rPr>
        <w:t>※注意：</w:t>
      </w:r>
    </w:p>
    <w:p w14:paraId="5043ED10">
      <w:pPr>
        <w:pStyle w:val="25"/>
        <w:spacing w:line="360" w:lineRule="auto"/>
        <w:ind w:firstLine="480"/>
        <w:jc w:val="both"/>
        <w:rPr>
          <w:rFonts w:hint="default"/>
          <w:sz w:val="24"/>
          <w:szCs w:val="24"/>
        </w:rPr>
      </w:pPr>
      <w:r>
        <w:rPr>
          <w:sz w:val="24"/>
          <w:szCs w:val="24"/>
        </w:rPr>
        <w:t>1、本表应按照下列规定填写：</w:t>
      </w:r>
    </w:p>
    <w:p w14:paraId="1D93E337">
      <w:pPr>
        <w:pStyle w:val="25"/>
        <w:spacing w:line="360" w:lineRule="auto"/>
        <w:ind w:firstLine="480"/>
        <w:jc w:val="both"/>
        <w:rPr>
          <w:rFonts w:hint="default"/>
          <w:sz w:val="24"/>
          <w:szCs w:val="24"/>
        </w:rPr>
      </w:pPr>
      <w:r>
        <w:rPr>
          <w:sz w:val="24"/>
          <w:szCs w:val="24"/>
        </w:rPr>
        <w:t>1.1“</w:t>
      </w:r>
      <w:r>
        <w:rPr>
          <w:sz w:val="24"/>
          <w:szCs w:val="24"/>
          <w:lang w:eastAsia="zh-CN"/>
        </w:rPr>
        <w:t>合同</w:t>
      </w:r>
      <w:r>
        <w:rPr>
          <w:sz w:val="24"/>
          <w:szCs w:val="24"/>
        </w:rPr>
        <w:t>包”、“品目号”、“投标标的”及“数量”应与招标文件《招标标的一览表》中的有关内容（“</w:t>
      </w:r>
      <w:r>
        <w:rPr>
          <w:sz w:val="24"/>
          <w:szCs w:val="24"/>
          <w:lang w:eastAsia="zh-CN"/>
        </w:rPr>
        <w:t>合同</w:t>
      </w:r>
      <w:r>
        <w:rPr>
          <w:sz w:val="24"/>
          <w:szCs w:val="24"/>
        </w:rPr>
        <w:t>包”、“品目号”、“</w:t>
      </w:r>
      <w:r>
        <w:rPr>
          <w:sz w:val="24"/>
          <w:szCs w:val="24"/>
          <w:lang w:eastAsia="zh-CN"/>
        </w:rPr>
        <w:t>标的名称</w:t>
      </w:r>
      <w:r>
        <w:rPr>
          <w:sz w:val="24"/>
          <w:szCs w:val="24"/>
        </w:rPr>
        <w:t>”及“数量”）保持一致。</w:t>
      </w:r>
    </w:p>
    <w:p w14:paraId="631A15A5">
      <w:pPr>
        <w:pStyle w:val="25"/>
        <w:spacing w:line="360" w:lineRule="auto"/>
        <w:ind w:firstLine="480"/>
        <w:jc w:val="both"/>
        <w:rPr>
          <w:rFonts w:hint="default"/>
          <w:sz w:val="24"/>
          <w:szCs w:val="24"/>
        </w:rPr>
      </w:pPr>
      <w:r>
        <w:rPr>
          <w:sz w:val="24"/>
          <w:szCs w:val="24"/>
        </w:rPr>
        <w:t>1.2“投标标的”为服务的：“规格”项下应填写服务提供者提供的服务标准及品牌（若有）。“来源地”应填写服务提供者的所在地。“备注”项下应填写关于服务标准所涵盖的具体项目或内容的说明等。</w:t>
      </w:r>
    </w:p>
    <w:p w14:paraId="6EB752E4">
      <w:pPr>
        <w:pStyle w:val="25"/>
        <w:spacing w:line="360" w:lineRule="auto"/>
        <w:ind w:firstLine="480"/>
        <w:jc w:val="both"/>
        <w:rPr>
          <w:rFonts w:hint="default"/>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14:paraId="4BBB8A2E">
      <w:pPr>
        <w:pStyle w:val="25"/>
        <w:spacing w:line="360" w:lineRule="auto"/>
        <w:ind w:firstLine="480"/>
        <w:jc w:val="both"/>
        <w:rPr>
          <w:rFonts w:hint="default"/>
          <w:sz w:val="24"/>
          <w:szCs w:val="24"/>
        </w:rPr>
      </w:pPr>
      <w:r>
        <w:rPr>
          <w:sz w:val="24"/>
          <w:szCs w:val="24"/>
        </w:rPr>
        <w:t>3、电子投标文件中涉及“</w:t>
      </w:r>
      <w:r>
        <w:rPr>
          <w:sz w:val="24"/>
          <w:szCs w:val="24"/>
          <w:lang w:eastAsia="zh-CN"/>
        </w:rPr>
        <w:t>标的名称</w:t>
      </w:r>
      <w:r>
        <w:rPr>
          <w:sz w:val="24"/>
          <w:szCs w:val="24"/>
        </w:rPr>
        <w:t>”、“数量”、“规格”、“来源地”的内容若不一致，应以本表为准。</w:t>
      </w:r>
    </w:p>
    <w:p w14:paraId="33856B3A">
      <w:pPr>
        <w:pStyle w:val="25"/>
        <w:spacing w:line="360" w:lineRule="auto"/>
        <w:ind w:firstLine="480"/>
        <w:jc w:val="right"/>
        <w:rPr>
          <w:rFonts w:hint="default"/>
          <w:sz w:val="24"/>
          <w:szCs w:val="24"/>
        </w:rPr>
      </w:pPr>
      <w:r>
        <w:rPr>
          <w:sz w:val="24"/>
          <w:szCs w:val="24"/>
        </w:rPr>
        <w:t>投标人：</w:t>
      </w:r>
      <w:r>
        <w:rPr>
          <w:sz w:val="24"/>
          <w:szCs w:val="24"/>
          <w:u w:val="single"/>
        </w:rPr>
        <w:t>（全称并加盖单位公章）</w:t>
      </w:r>
    </w:p>
    <w:p w14:paraId="3FA887A5">
      <w:pPr>
        <w:pStyle w:val="25"/>
        <w:spacing w:line="360" w:lineRule="auto"/>
        <w:ind w:firstLine="480"/>
        <w:jc w:val="right"/>
        <w:rPr>
          <w:rFonts w:hint="default"/>
          <w:sz w:val="24"/>
          <w:szCs w:val="24"/>
        </w:rPr>
      </w:pPr>
      <w:r>
        <w:rPr>
          <w:sz w:val="24"/>
          <w:szCs w:val="24"/>
        </w:rPr>
        <w:t>日期：</w:t>
      </w:r>
      <w:r>
        <w:rPr>
          <w:sz w:val="24"/>
          <w:szCs w:val="24"/>
          <w:u w:val="single"/>
        </w:rPr>
        <w:t>　　年　　月　　日</w:t>
      </w:r>
    </w:p>
    <w:p w14:paraId="1060E30E">
      <w:pPr>
        <w:widowControl/>
        <w:spacing w:line="360" w:lineRule="auto"/>
        <w:jc w:val="left"/>
        <w:rPr>
          <w:rFonts w:ascii="宋体" w:hAnsi="宋体" w:cs="宋体"/>
          <w:kern w:val="0"/>
          <w:sz w:val="24"/>
        </w:rPr>
      </w:pPr>
    </w:p>
    <w:p w14:paraId="57DE3872">
      <w:pPr>
        <w:rPr>
          <w:rFonts w:ascii="宋体" w:hAnsi="宋体"/>
          <w:szCs w:val="21"/>
        </w:rPr>
      </w:pPr>
    </w:p>
    <w:p w14:paraId="6814B573">
      <w:pPr>
        <w:rPr>
          <w:rFonts w:ascii="宋体" w:hAnsi="宋体"/>
          <w:szCs w:val="21"/>
        </w:rPr>
      </w:pPr>
    </w:p>
    <w:p w14:paraId="070B29AE">
      <w:pPr>
        <w:spacing w:line="480" w:lineRule="exact"/>
        <w:rPr>
          <w:rFonts w:ascii="宋体" w:hAnsi="宋体"/>
          <w:sz w:val="24"/>
        </w:rPr>
      </w:pPr>
    </w:p>
    <w:p w14:paraId="217D31E2">
      <w:pPr>
        <w:pStyle w:val="35"/>
        <w:ind w:firstLine="240"/>
        <w:rPr>
          <w:rFonts w:ascii="宋体" w:hAnsi="宋体"/>
          <w:sz w:val="24"/>
        </w:rPr>
      </w:pPr>
    </w:p>
    <w:p w14:paraId="68DD65DD">
      <w:pPr>
        <w:pStyle w:val="35"/>
        <w:ind w:firstLine="240"/>
        <w:rPr>
          <w:rFonts w:ascii="宋体" w:hAnsi="宋体"/>
          <w:sz w:val="24"/>
        </w:rPr>
      </w:pPr>
    </w:p>
    <w:p w14:paraId="3AE0D4AB">
      <w:pPr>
        <w:bidi w:val="0"/>
      </w:pPr>
    </w:p>
    <w:p w14:paraId="0655F245">
      <w:pPr>
        <w:bidi w:val="0"/>
      </w:pPr>
    </w:p>
    <w:p w14:paraId="6CA252E3">
      <w:pPr>
        <w:bidi w:val="0"/>
        <w:rPr>
          <w:lang w:val="en-US"/>
        </w:rPr>
      </w:pPr>
    </w:p>
    <w:p w14:paraId="2A79239F">
      <w:pPr>
        <w:bidi w:val="0"/>
        <w:rPr>
          <w:lang w:val="en-US"/>
        </w:rPr>
      </w:pPr>
    </w:p>
    <w:p w14:paraId="642BEEE0">
      <w:pPr>
        <w:bidi w:val="0"/>
        <w:rPr>
          <w:lang w:val="en-US"/>
        </w:rPr>
      </w:pPr>
    </w:p>
    <w:p w14:paraId="0B0D8A33">
      <w:pPr>
        <w:bidi w:val="0"/>
        <w:rPr>
          <w:lang w:val="en-US"/>
        </w:rPr>
      </w:pPr>
    </w:p>
    <w:p w14:paraId="70F26089">
      <w:pPr>
        <w:bidi w:val="0"/>
        <w:rPr>
          <w:lang w:val="en-US"/>
        </w:rPr>
      </w:pPr>
    </w:p>
    <w:p w14:paraId="47EA18A1">
      <w:pPr>
        <w:bidi w:val="0"/>
        <w:rPr>
          <w:lang w:val="en-US"/>
        </w:rPr>
      </w:pPr>
    </w:p>
    <w:p w14:paraId="7A762BF8">
      <w:pPr>
        <w:bidi w:val="0"/>
        <w:rPr>
          <w:lang w:val="en-US"/>
        </w:rPr>
      </w:pPr>
    </w:p>
    <w:p w14:paraId="4864080C">
      <w:pPr>
        <w:bidi w:val="0"/>
        <w:rPr>
          <w:lang w:val="en-US"/>
        </w:rPr>
      </w:pPr>
    </w:p>
    <w:p w14:paraId="6FD2D370">
      <w:pPr>
        <w:bidi w:val="0"/>
        <w:rPr>
          <w:lang w:val="en-US"/>
        </w:rPr>
      </w:pPr>
    </w:p>
    <w:p w14:paraId="285CAF10">
      <w:pPr>
        <w:bidi w:val="0"/>
        <w:rPr>
          <w:lang w:val="en-US"/>
        </w:rPr>
      </w:pPr>
    </w:p>
    <w:p w14:paraId="7D53E9A8">
      <w:pPr>
        <w:bidi w:val="0"/>
        <w:rPr>
          <w:lang w:val="en-US"/>
        </w:rPr>
      </w:pPr>
    </w:p>
    <w:p w14:paraId="3EDAB6DD">
      <w:pPr>
        <w:bidi w:val="0"/>
        <w:rPr>
          <w:lang w:val="en-US"/>
        </w:rPr>
      </w:pPr>
    </w:p>
    <w:p w14:paraId="557F02AB">
      <w:pPr>
        <w:bidi w:val="0"/>
        <w:rPr>
          <w:lang w:val="en-US"/>
        </w:rPr>
      </w:pPr>
    </w:p>
    <w:p w14:paraId="6E734784">
      <w:pPr>
        <w:pStyle w:val="25"/>
        <w:ind w:firstLine="960"/>
        <w:jc w:val="center"/>
        <w:outlineLvl w:val="1"/>
        <w:rPr>
          <w:b/>
          <w:sz w:val="24"/>
          <w:szCs w:val="24"/>
        </w:rPr>
      </w:pPr>
      <w:r>
        <w:rPr>
          <w:rFonts w:hint="eastAsia"/>
          <w:b/>
          <w:sz w:val="24"/>
          <w:szCs w:val="24"/>
          <w:lang w:val="en-US" w:eastAsia="zh-CN"/>
        </w:rPr>
        <w:t>二</w:t>
      </w:r>
      <w:r>
        <w:rPr>
          <w:rFonts w:hint="eastAsia"/>
          <w:b/>
          <w:sz w:val="24"/>
          <w:szCs w:val="24"/>
        </w:rPr>
        <w:t>、</w:t>
      </w:r>
      <w:r>
        <w:rPr>
          <w:b/>
          <w:sz w:val="24"/>
          <w:szCs w:val="24"/>
        </w:rPr>
        <w:t>技术和服务要求响应表</w:t>
      </w:r>
    </w:p>
    <w:p w14:paraId="6D188720">
      <w:pPr>
        <w:pStyle w:val="11"/>
        <w:spacing w:beforeAutospacing="0" w:afterAutospacing="0" w:line="360" w:lineRule="auto"/>
        <w:ind w:right="376"/>
      </w:pPr>
      <w:r>
        <w:rPr>
          <w:rFonts w:hint="eastAsia"/>
        </w:rPr>
        <w:t>招标编号：</w:t>
      </w:r>
      <w:r>
        <w:rPr>
          <w:rFonts w:hint="eastAsia"/>
          <w:u w:val="single"/>
        </w:rPr>
        <w:t>　　　　　　　　</w:t>
      </w:r>
    </w:p>
    <w:tbl>
      <w:tblPr>
        <w:tblStyle w:val="14"/>
        <w:tblW w:w="4999" w:type="pct"/>
        <w:tblInd w:w="0" w:type="dxa"/>
        <w:tblLayout w:type="fixed"/>
        <w:tblCellMar>
          <w:top w:w="0" w:type="dxa"/>
          <w:left w:w="0" w:type="dxa"/>
          <w:bottom w:w="0" w:type="dxa"/>
          <w:right w:w="0" w:type="dxa"/>
        </w:tblCellMar>
      </w:tblPr>
      <w:tblGrid>
        <w:gridCol w:w="1612"/>
        <w:gridCol w:w="3235"/>
        <w:gridCol w:w="2020"/>
        <w:gridCol w:w="3237"/>
      </w:tblGrid>
      <w:tr w14:paraId="09C0D57C">
        <w:tblPrEx>
          <w:tblCellMar>
            <w:top w:w="0" w:type="dxa"/>
            <w:left w:w="0" w:type="dxa"/>
            <w:bottom w:w="0" w:type="dxa"/>
            <w:right w:w="0" w:type="dxa"/>
          </w:tblCellMar>
        </w:tblPrEx>
        <w:tc>
          <w:tcPr>
            <w:tcW w:w="1612"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1D00453">
            <w:pPr>
              <w:pStyle w:val="11"/>
              <w:wordWrap w:val="0"/>
              <w:spacing w:beforeAutospacing="0" w:afterAutospacing="0" w:line="360" w:lineRule="auto"/>
              <w:jc w:val="center"/>
            </w:pPr>
            <w:r>
              <w:rPr>
                <w:rFonts w:hint="eastAsia"/>
              </w:rPr>
              <w:t>合同包</w:t>
            </w:r>
          </w:p>
        </w:tc>
        <w:tc>
          <w:tcPr>
            <w:tcW w:w="323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055DB6C">
            <w:pPr>
              <w:pStyle w:val="11"/>
              <w:wordWrap w:val="0"/>
              <w:spacing w:beforeAutospacing="0" w:afterAutospacing="0" w:line="360" w:lineRule="auto"/>
              <w:jc w:val="center"/>
            </w:pPr>
            <w:r>
              <w:rPr>
                <w:rFonts w:hint="eastAsia"/>
              </w:rPr>
              <w:t>技术和服务要求</w:t>
            </w:r>
          </w:p>
        </w:tc>
        <w:tc>
          <w:tcPr>
            <w:tcW w:w="202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8E5F3E6">
            <w:pPr>
              <w:pStyle w:val="11"/>
              <w:wordWrap w:val="0"/>
              <w:spacing w:beforeAutospacing="0" w:afterAutospacing="0" w:line="360" w:lineRule="auto"/>
              <w:jc w:val="center"/>
            </w:pPr>
            <w:r>
              <w:rPr>
                <w:rFonts w:hint="eastAsia"/>
              </w:rPr>
              <w:t>投标响应</w:t>
            </w:r>
          </w:p>
        </w:tc>
        <w:tc>
          <w:tcPr>
            <w:tcW w:w="323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B15DED7">
            <w:pPr>
              <w:pStyle w:val="11"/>
              <w:wordWrap w:val="0"/>
              <w:spacing w:beforeAutospacing="0" w:afterAutospacing="0" w:line="360" w:lineRule="auto"/>
              <w:jc w:val="center"/>
            </w:pPr>
            <w:r>
              <w:rPr>
                <w:rFonts w:hint="eastAsia"/>
              </w:rPr>
              <w:t>是否偏离及说明</w:t>
            </w:r>
          </w:p>
        </w:tc>
      </w:tr>
      <w:tr w14:paraId="4FD094DA">
        <w:tblPrEx>
          <w:tblCellMar>
            <w:top w:w="0" w:type="dxa"/>
            <w:left w:w="0" w:type="dxa"/>
            <w:bottom w:w="0" w:type="dxa"/>
            <w:right w:w="0" w:type="dxa"/>
          </w:tblCellMar>
        </w:tblPrEx>
        <w:tc>
          <w:tcPr>
            <w:tcW w:w="1612"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392B90C">
            <w:pPr>
              <w:pStyle w:val="11"/>
              <w:wordWrap w:val="0"/>
              <w:spacing w:beforeAutospacing="0" w:afterAutospacing="0" w:line="360" w:lineRule="auto"/>
              <w:jc w:val="center"/>
            </w:pPr>
            <w:r>
              <w:rPr>
                <w:rFonts w:hint="eastAsia"/>
              </w:rPr>
              <w:t>*</w:t>
            </w:r>
          </w:p>
        </w:tc>
        <w:tc>
          <w:tcPr>
            <w:tcW w:w="323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6EBAB7D">
            <w:pPr>
              <w:spacing w:line="360" w:lineRule="auto"/>
              <w:rPr>
                <w:rFonts w:ascii="宋体" w:hAnsi="宋体" w:cs="宋体"/>
                <w:sz w:val="24"/>
              </w:rPr>
            </w:pPr>
          </w:p>
        </w:tc>
        <w:tc>
          <w:tcPr>
            <w:tcW w:w="202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33001D0">
            <w:pPr>
              <w:spacing w:line="360" w:lineRule="auto"/>
              <w:rPr>
                <w:rFonts w:ascii="宋体" w:hAnsi="宋体" w:cs="宋体"/>
                <w:sz w:val="24"/>
              </w:rPr>
            </w:pPr>
          </w:p>
        </w:tc>
        <w:tc>
          <w:tcPr>
            <w:tcW w:w="323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41910A4">
            <w:pPr>
              <w:spacing w:line="360" w:lineRule="auto"/>
              <w:rPr>
                <w:rFonts w:ascii="宋体" w:hAnsi="宋体" w:cs="宋体"/>
                <w:sz w:val="24"/>
              </w:rPr>
            </w:pPr>
          </w:p>
        </w:tc>
      </w:tr>
      <w:tr w14:paraId="37C7CAD4">
        <w:tblPrEx>
          <w:tblCellMar>
            <w:top w:w="0" w:type="dxa"/>
            <w:left w:w="0" w:type="dxa"/>
            <w:bottom w:w="0" w:type="dxa"/>
            <w:right w:w="0" w:type="dxa"/>
          </w:tblCellMar>
        </w:tblPrEx>
        <w:tc>
          <w:tcPr>
            <w:tcW w:w="161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64B57B1">
            <w:pPr>
              <w:spacing w:line="360" w:lineRule="auto"/>
              <w:rPr>
                <w:rFonts w:ascii="宋体" w:hAnsi="宋体" w:cs="宋体"/>
                <w:sz w:val="24"/>
              </w:rPr>
            </w:pPr>
          </w:p>
        </w:tc>
        <w:tc>
          <w:tcPr>
            <w:tcW w:w="323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7A47A98">
            <w:pPr>
              <w:spacing w:line="360" w:lineRule="auto"/>
              <w:rPr>
                <w:rFonts w:ascii="宋体" w:hAnsi="宋体" w:cs="宋体"/>
                <w:sz w:val="24"/>
              </w:rPr>
            </w:pPr>
          </w:p>
        </w:tc>
        <w:tc>
          <w:tcPr>
            <w:tcW w:w="202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A5A8AE5">
            <w:pPr>
              <w:spacing w:line="360" w:lineRule="auto"/>
              <w:rPr>
                <w:rFonts w:ascii="宋体" w:hAnsi="宋体" w:cs="宋体"/>
                <w:sz w:val="24"/>
              </w:rPr>
            </w:pPr>
          </w:p>
        </w:tc>
        <w:tc>
          <w:tcPr>
            <w:tcW w:w="323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41F7287">
            <w:pPr>
              <w:spacing w:line="360" w:lineRule="auto"/>
              <w:rPr>
                <w:rFonts w:ascii="宋体" w:hAnsi="宋体" w:cs="宋体"/>
                <w:sz w:val="24"/>
              </w:rPr>
            </w:pPr>
          </w:p>
        </w:tc>
      </w:tr>
    </w:tbl>
    <w:p w14:paraId="6263BDD9">
      <w:pPr>
        <w:pStyle w:val="11"/>
        <w:spacing w:beforeAutospacing="0" w:afterAutospacing="0" w:line="360" w:lineRule="auto"/>
        <w:ind w:right="376"/>
      </w:pPr>
      <w:r>
        <w:rPr>
          <w:rFonts w:hint="eastAsia"/>
        </w:rPr>
        <w:t>※注意：</w:t>
      </w:r>
    </w:p>
    <w:p w14:paraId="00614785">
      <w:pPr>
        <w:pStyle w:val="11"/>
        <w:spacing w:beforeAutospacing="0" w:afterAutospacing="0" w:line="360" w:lineRule="auto"/>
        <w:ind w:right="376"/>
      </w:pPr>
      <w:r>
        <w:rPr>
          <w:rFonts w:hint="eastAsia"/>
        </w:rPr>
        <w:t>1、本表应按照下列规定填写：</w:t>
      </w:r>
    </w:p>
    <w:p w14:paraId="322D8021">
      <w:pPr>
        <w:pStyle w:val="11"/>
        <w:spacing w:beforeAutospacing="0" w:afterAutospacing="0" w:line="360" w:lineRule="auto"/>
        <w:ind w:right="376"/>
      </w:pPr>
      <w:r>
        <w:rPr>
          <w:rFonts w:hint="eastAsia"/>
        </w:rPr>
        <w:t>1.1“技术和服务要求”项下填写的内容应与招标文件第三章“二、技术和服务要求”的内容保持一致。</w:t>
      </w:r>
    </w:p>
    <w:p w14:paraId="76B6C1AA">
      <w:pPr>
        <w:pStyle w:val="11"/>
        <w:spacing w:beforeAutospacing="0" w:afterAutospacing="0" w:line="360" w:lineRule="auto"/>
        <w:ind w:right="376"/>
      </w:pPr>
      <w:r>
        <w:rPr>
          <w:rFonts w:hint="eastAsia"/>
        </w:rPr>
        <w:t>1.2“投标响应”项下应填写具体的响应内容并与“技术和服务要求”项下填写的内容逐项对应。</w:t>
      </w:r>
    </w:p>
    <w:p w14:paraId="37AF222B">
      <w:pPr>
        <w:pStyle w:val="11"/>
        <w:spacing w:beforeAutospacing="0" w:afterAutospacing="0" w:line="360" w:lineRule="auto"/>
        <w:ind w:right="376"/>
      </w:pPr>
      <w:r>
        <w:rPr>
          <w:rFonts w:hint="eastAsia"/>
        </w:rPr>
        <w:t>1.3“是否偏离及说明”项下应按下列规定填写：优于的，填写“正偏离”；符合的，填写“无偏离”；低于的，填写“负偏离”。</w:t>
      </w:r>
    </w:p>
    <w:p w14:paraId="607C355C">
      <w:pPr>
        <w:pStyle w:val="11"/>
        <w:spacing w:beforeAutospacing="0" w:afterAutospacing="0" w:line="360" w:lineRule="auto"/>
        <w:ind w:right="376"/>
      </w:pPr>
      <w:r>
        <w:rPr>
          <w:rFonts w:hint="eastAsia"/>
        </w:rPr>
        <w:t>2、投标人需要说明的内容若需特殊表达，应先在本表中进行相应说明，再另页应答，但应做好标注说明，方便评委查阅评审。未标注说明可能导致的不利的评审后果由投标人自行承担。</w:t>
      </w:r>
    </w:p>
    <w:p w14:paraId="0F7B0831">
      <w:pPr>
        <w:pStyle w:val="11"/>
        <w:spacing w:beforeAutospacing="0" w:afterAutospacing="0" w:line="360" w:lineRule="auto"/>
        <w:ind w:left="376" w:right="376" w:firstLine="420"/>
        <w:jc w:val="right"/>
      </w:pPr>
      <w:r>
        <w:rPr>
          <w:rFonts w:hint="eastAsia"/>
        </w:rPr>
        <w:t>投标人：</w:t>
      </w:r>
      <w:r>
        <w:rPr>
          <w:rFonts w:hint="eastAsia"/>
          <w:u w:val="single"/>
        </w:rPr>
        <w:t>（全称并加盖单位公章）</w:t>
      </w:r>
    </w:p>
    <w:p w14:paraId="7F85CED7">
      <w:pPr>
        <w:pStyle w:val="11"/>
        <w:spacing w:beforeAutospacing="0" w:afterAutospacing="0" w:line="360" w:lineRule="auto"/>
        <w:ind w:left="376" w:right="376" w:firstLine="420"/>
        <w:jc w:val="right"/>
      </w:pPr>
      <w:r>
        <w:rPr>
          <w:rFonts w:hint="eastAsia"/>
        </w:rPr>
        <w:t>日期：</w:t>
      </w:r>
      <w:r>
        <w:rPr>
          <w:rFonts w:hint="eastAsia"/>
          <w:u w:val="single"/>
        </w:rPr>
        <w:t>　　年　　月　　日</w:t>
      </w:r>
    </w:p>
    <w:p w14:paraId="0241BD27">
      <w:pPr>
        <w:pStyle w:val="11"/>
        <w:spacing w:beforeAutospacing="0" w:afterAutospacing="0" w:line="360" w:lineRule="auto"/>
        <w:ind w:left="376" w:right="376" w:firstLine="420"/>
      </w:pPr>
      <w:r>
        <w:rPr>
          <w:rFonts w:hint="eastAsia"/>
        </w:rPr>
        <w:t> </w:t>
      </w:r>
    </w:p>
    <w:p w14:paraId="17298AB2">
      <w:pPr>
        <w:bidi w:val="0"/>
        <w:rPr>
          <w:lang w:val="en-US"/>
        </w:rPr>
      </w:pPr>
    </w:p>
    <w:p w14:paraId="2800EE56">
      <w:pPr>
        <w:bidi w:val="0"/>
        <w:rPr>
          <w:lang w:val="en-US"/>
        </w:rPr>
      </w:pPr>
    </w:p>
    <w:p w14:paraId="7F847A83">
      <w:pPr>
        <w:bidi w:val="0"/>
        <w:rPr>
          <w:lang w:val="en-US"/>
        </w:rPr>
      </w:pPr>
    </w:p>
    <w:p w14:paraId="134A89B8">
      <w:pPr>
        <w:bidi w:val="0"/>
        <w:rPr>
          <w:lang w:val="en-US"/>
        </w:rPr>
      </w:pPr>
    </w:p>
    <w:p w14:paraId="4ADA2F6E">
      <w:pPr>
        <w:bidi w:val="0"/>
        <w:rPr>
          <w:lang w:val="en-US"/>
        </w:rPr>
      </w:pPr>
    </w:p>
    <w:p w14:paraId="064EE965">
      <w:pPr>
        <w:bidi w:val="0"/>
        <w:rPr>
          <w:lang w:val="en-US"/>
        </w:rPr>
      </w:pPr>
    </w:p>
    <w:p w14:paraId="2245E597">
      <w:pPr>
        <w:bidi w:val="0"/>
        <w:rPr>
          <w:lang w:val="en-US"/>
        </w:rPr>
      </w:pPr>
    </w:p>
    <w:p w14:paraId="63AEF8B7">
      <w:pPr>
        <w:bidi w:val="0"/>
        <w:rPr>
          <w:lang w:val="en-US"/>
        </w:rPr>
      </w:pPr>
    </w:p>
    <w:p w14:paraId="46471033">
      <w:pPr>
        <w:bidi w:val="0"/>
        <w:rPr>
          <w:lang w:val="en-US"/>
        </w:rPr>
      </w:pPr>
    </w:p>
    <w:p w14:paraId="466711A5">
      <w:pPr>
        <w:bidi w:val="0"/>
        <w:rPr>
          <w:lang w:val="en-US"/>
        </w:rPr>
      </w:pPr>
    </w:p>
    <w:p w14:paraId="10E9BDE8">
      <w:pPr>
        <w:bidi w:val="0"/>
        <w:rPr>
          <w:lang w:val="en-US"/>
        </w:rPr>
      </w:pPr>
    </w:p>
    <w:p w14:paraId="55112993">
      <w:pPr>
        <w:bidi w:val="0"/>
        <w:rPr>
          <w:lang w:val="en-US"/>
        </w:rPr>
      </w:pPr>
    </w:p>
    <w:p w14:paraId="67156013">
      <w:pPr>
        <w:bidi w:val="0"/>
        <w:rPr>
          <w:lang w:val="en-US"/>
        </w:rPr>
      </w:pPr>
    </w:p>
    <w:p w14:paraId="4AA2A66F">
      <w:pPr>
        <w:bidi w:val="0"/>
        <w:rPr>
          <w:lang w:val="en-US"/>
        </w:rPr>
      </w:pPr>
    </w:p>
    <w:p w14:paraId="1CD842F9">
      <w:pPr>
        <w:bidi w:val="0"/>
        <w:rPr>
          <w:lang w:val="en-US"/>
        </w:rPr>
      </w:pPr>
    </w:p>
    <w:p w14:paraId="52114B8C">
      <w:pPr>
        <w:bidi w:val="0"/>
        <w:rPr>
          <w:lang w:val="en-US"/>
        </w:rPr>
      </w:pPr>
    </w:p>
    <w:p w14:paraId="19933F29">
      <w:pPr>
        <w:rPr>
          <w:rFonts w:cs="宋体"/>
          <w:sz w:val="24"/>
        </w:rPr>
      </w:pPr>
    </w:p>
    <w:p w14:paraId="6B514230">
      <w:pPr>
        <w:rPr>
          <w:rFonts w:cs="宋体"/>
          <w:sz w:val="24"/>
        </w:rPr>
      </w:pPr>
    </w:p>
    <w:p w14:paraId="44FB8468">
      <w:pPr>
        <w:pStyle w:val="25"/>
        <w:ind w:firstLine="960"/>
        <w:jc w:val="center"/>
        <w:outlineLvl w:val="1"/>
        <w:rPr>
          <w:rFonts w:hint="eastAsia"/>
          <w:b/>
          <w:sz w:val="24"/>
          <w:szCs w:val="24"/>
          <w:lang w:val="en-US" w:eastAsia="zh-CN"/>
        </w:rPr>
      </w:pPr>
      <w:r>
        <w:rPr>
          <w:rFonts w:hint="eastAsia"/>
          <w:b/>
          <w:sz w:val="24"/>
          <w:szCs w:val="24"/>
          <w:lang w:val="en-US" w:eastAsia="zh-CN"/>
        </w:rPr>
        <w:t>三、商务条件响应表</w:t>
      </w:r>
    </w:p>
    <w:p w14:paraId="579AB201">
      <w:pPr>
        <w:pStyle w:val="11"/>
        <w:spacing w:beforeAutospacing="0" w:afterAutospacing="0" w:line="360" w:lineRule="auto"/>
        <w:ind w:right="376"/>
        <w:jc w:val="both"/>
      </w:pPr>
      <w:r>
        <w:rPr>
          <w:rFonts w:hint="eastAsia"/>
        </w:rPr>
        <w:t>招标编号：</w:t>
      </w:r>
    </w:p>
    <w:tbl>
      <w:tblPr>
        <w:tblStyle w:val="14"/>
        <w:tblW w:w="4998" w:type="pct"/>
        <w:tblInd w:w="0" w:type="dxa"/>
        <w:tblLayout w:type="fixed"/>
        <w:tblCellMar>
          <w:top w:w="0" w:type="dxa"/>
          <w:left w:w="0" w:type="dxa"/>
          <w:bottom w:w="0" w:type="dxa"/>
          <w:right w:w="0" w:type="dxa"/>
        </w:tblCellMar>
      </w:tblPr>
      <w:tblGrid>
        <w:gridCol w:w="1833"/>
        <w:gridCol w:w="2295"/>
        <w:gridCol w:w="2295"/>
        <w:gridCol w:w="3679"/>
      </w:tblGrid>
      <w:tr w14:paraId="4608D1A3">
        <w:tblPrEx>
          <w:tblCellMar>
            <w:top w:w="0" w:type="dxa"/>
            <w:left w:w="0" w:type="dxa"/>
            <w:bottom w:w="0" w:type="dxa"/>
            <w:right w:w="0" w:type="dxa"/>
          </w:tblCellMar>
        </w:tblPrEx>
        <w:tc>
          <w:tcPr>
            <w:tcW w:w="183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A2A8A38">
            <w:pPr>
              <w:pStyle w:val="11"/>
              <w:wordWrap w:val="0"/>
              <w:spacing w:beforeAutospacing="0" w:afterAutospacing="0" w:line="360" w:lineRule="auto"/>
              <w:jc w:val="center"/>
            </w:pPr>
            <w:r>
              <w:rPr>
                <w:rFonts w:hint="eastAsia"/>
              </w:rPr>
              <w:t>合同包</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1784998">
            <w:pPr>
              <w:pStyle w:val="11"/>
              <w:wordWrap w:val="0"/>
              <w:spacing w:beforeAutospacing="0" w:afterAutospacing="0" w:line="360" w:lineRule="auto"/>
              <w:jc w:val="center"/>
            </w:pPr>
            <w:r>
              <w:rPr>
                <w:rFonts w:hint="eastAsia"/>
              </w:rPr>
              <w:t>商务条件</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D8BE97C">
            <w:pPr>
              <w:pStyle w:val="11"/>
              <w:wordWrap w:val="0"/>
              <w:spacing w:beforeAutospacing="0" w:afterAutospacing="0" w:line="360" w:lineRule="auto"/>
              <w:jc w:val="center"/>
            </w:pPr>
            <w:r>
              <w:rPr>
                <w:rFonts w:hint="eastAsia"/>
              </w:rPr>
              <w:t>投标响应</w:t>
            </w:r>
          </w:p>
        </w:tc>
        <w:tc>
          <w:tcPr>
            <w:tcW w:w="36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DD13195">
            <w:pPr>
              <w:pStyle w:val="11"/>
              <w:wordWrap w:val="0"/>
              <w:spacing w:beforeAutospacing="0" w:afterAutospacing="0" w:line="360" w:lineRule="auto"/>
              <w:jc w:val="center"/>
            </w:pPr>
            <w:r>
              <w:rPr>
                <w:rFonts w:hint="eastAsia"/>
              </w:rPr>
              <w:t>是否偏离及说明</w:t>
            </w:r>
          </w:p>
        </w:tc>
      </w:tr>
      <w:tr w14:paraId="76AAABAC">
        <w:tblPrEx>
          <w:tblCellMar>
            <w:top w:w="0" w:type="dxa"/>
            <w:left w:w="0" w:type="dxa"/>
            <w:bottom w:w="0" w:type="dxa"/>
            <w:right w:w="0" w:type="dxa"/>
          </w:tblCellMar>
        </w:tblPrEx>
        <w:tc>
          <w:tcPr>
            <w:tcW w:w="183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0738B7E">
            <w:pPr>
              <w:pStyle w:val="11"/>
              <w:wordWrap w:val="0"/>
              <w:spacing w:beforeAutospacing="0" w:afterAutospacing="0" w:line="360" w:lineRule="auto"/>
              <w:jc w:val="center"/>
            </w:pPr>
            <w:r>
              <w:rPr>
                <w:rFonts w:hint="eastAsia"/>
              </w:rPr>
              <w:t>*</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F8D86E1">
            <w:pPr>
              <w:spacing w:line="360" w:lineRule="auto"/>
              <w:rPr>
                <w:rFonts w:ascii="宋体" w:hAnsi="宋体" w:cs="宋体"/>
                <w:sz w:val="24"/>
              </w:rPr>
            </w:pP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564FEAB">
            <w:pPr>
              <w:spacing w:line="360" w:lineRule="auto"/>
              <w:rPr>
                <w:rFonts w:ascii="宋体" w:hAnsi="宋体" w:cs="宋体"/>
                <w:sz w:val="24"/>
              </w:rPr>
            </w:pPr>
          </w:p>
        </w:tc>
        <w:tc>
          <w:tcPr>
            <w:tcW w:w="36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1F93633">
            <w:pPr>
              <w:spacing w:line="360" w:lineRule="auto"/>
              <w:rPr>
                <w:rFonts w:ascii="宋体" w:hAnsi="宋体" w:cs="宋体"/>
                <w:sz w:val="24"/>
              </w:rPr>
            </w:pPr>
          </w:p>
        </w:tc>
      </w:tr>
      <w:tr w14:paraId="7553092A">
        <w:tblPrEx>
          <w:tblCellMar>
            <w:top w:w="0" w:type="dxa"/>
            <w:left w:w="0" w:type="dxa"/>
            <w:bottom w:w="0" w:type="dxa"/>
            <w:right w:w="0" w:type="dxa"/>
          </w:tblCellMar>
        </w:tblPrEx>
        <w:tc>
          <w:tcPr>
            <w:tcW w:w="183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C49988F">
            <w:pPr>
              <w:spacing w:line="360" w:lineRule="auto"/>
              <w:rPr>
                <w:rFonts w:ascii="宋体" w:hAnsi="宋体" w:cs="宋体"/>
                <w:sz w:val="24"/>
              </w:rPr>
            </w:pP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C686A6F">
            <w:pPr>
              <w:spacing w:line="360" w:lineRule="auto"/>
              <w:rPr>
                <w:rFonts w:ascii="宋体" w:hAnsi="宋体" w:cs="宋体"/>
                <w:sz w:val="24"/>
              </w:rPr>
            </w:pP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3DCBDFC">
            <w:pPr>
              <w:spacing w:line="360" w:lineRule="auto"/>
              <w:rPr>
                <w:rFonts w:ascii="宋体" w:hAnsi="宋体" w:cs="宋体"/>
                <w:sz w:val="24"/>
              </w:rPr>
            </w:pPr>
          </w:p>
        </w:tc>
        <w:tc>
          <w:tcPr>
            <w:tcW w:w="36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F989423">
            <w:pPr>
              <w:spacing w:line="360" w:lineRule="auto"/>
              <w:rPr>
                <w:rFonts w:ascii="宋体" w:hAnsi="宋体" w:cs="宋体"/>
                <w:sz w:val="24"/>
              </w:rPr>
            </w:pPr>
          </w:p>
        </w:tc>
      </w:tr>
    </w:tbl>
    <w:p w14:paraId="5DB0A6E7">
      <w:pPr>
        <w:pStyle w:val="11"/>
        <w:spacing w:beforeAutospacing="0" w:afterAutospacing="0" w:line="360" w:lineRule="auto"/>
        <w:ind w:right="376"/>
      </w:pPr>
      <w:r>
        <w:rPr>
          <w:rFonts w:hint="eastAsia"/>
        </w:rPr>
        <w:t>※注意：</w:t>
      </w:r>
    </w:p>
    <w:p w14:paraId="4538C582">
      <w:pPr>
        <w:pStyle w:val="11"/>
        <w:spacing w:beforeAutospacing="0" w:afterAutospacing="0" w:line="360" w:lineRule="auto"/>
        <w:ind w:right="376"/>
      </w:pPr>
      <w:r>
        <w:rPr>
          <w:rFonts w:hint="eastAsia"/>
        </w:rPr>
        <w:t>1、本表应按照下列规定填写：</w:t>
      </w:r>
    </w:p>
    <w:p w14:paraId="521FCEE6">
      <w:pPr>
        <w:pStyle w:val="11"/>
        <w:spacing w:beforeAutospacing="0" w:afterAutospacing="0" w:line="360" w:lineRule="auto"/>
        <w:ind w:right="376"/>
      </w:pPr>
      <w:r>
        <w:rPr>
          <w:rFonts w:hint="eastAsia"/>
        </w:rPr>
        <w:t>1.1“商务条件”项下填写的内容应与招标文件第三章“三、商务条件”的内容保持一致。</w:t>
      </w:r>
    </w:p>
    <w:p w14:paraId="0C342D95">
      <w:pPr>
        <w:pStyle w:val="11"/>
        <w:spacing w:beforeAutospacing="0" w:afterAutospacing="0" w:line="360" w:lineRule="auto"/>
        <w:ind w:right="376"/>
      </w:pPr>
      <w:r>
        <w:rPr>
          <w:rFonts w:hint="eastAsia"/>
        </w:rPr>
        <w:t>1.2“投标响应”项下应填写具体的响应内容并与“商务条件”项下填写的内容逐项对应。</w:t>
      </w:r>
    </w:p>
    <w:p w14:paraId="60233046">
      <w:pPr>
        <w:pStyle w:val="11"/>
        <w:spacing w:beforeAutospacing="0" w:afterAutospacing="0" w:line="360" w:lineRule="auto"/>
        <w:ind w:right="376"/>
      </w:pPr>
      <w:r>
        <w:rPr>
          <w:rFonts w:hint="eastAsia"/>
        </w:rPr>
        <w:t>1.3“是否偏离及说明”项下应按下列规定填写：优于的，填写“正偏离”；符合的，填写“无偏离”；低于的，填写“负偏离”。</w:t>
      </w:r>
    </w:p>
    <w:p w14:paraId="3A642FD7">
      <w:pPr>
        <w:pStyle w:val="11"/>
        <w:spacing w:beforeAutospacing="0" w:afterAutospacing="0" w:line="360" w:lineRule="auto"/>
        <w:ind w:right="376"/>
      </w:pPr>
      <w:r>
        <w:rPr>
          <w:rFonts w:hint="eastAsia"/>
        </w:rPr>
        <w:t>2、投标人需要说明的内容若需特殊表达，应先在本表中进行相应说明，再另页应答，但应做好标注说明，方便评委查阅评审。未标注说明可能导致的不利的评审后果由投标人自行承担。</w:t>
      </w:r>
    </w:p>
    <w:p w14:paraId="22FE5BD0">
      <w:pPr>
        <w:pStyle w:val="11"/>
        <w:spacing w:beforeAutospacing="0" w:afterAutospacing="0" w:line="360" w:lineRule="auto"/>
        <w:ind w:left="376" w:right="376" w:firstLine="420"/>
        <w:jc w:val="right"/>
      </w:pPr>
      <w:r>
        <w:rPr>
          <w:rFonts w:hint="eastAsia"/>
        </w:rPr>
        <w:t>投标人：</w:t>
      </w:r>
      <w:r>
        <w:rPr>
          <w:rFonts w:hint="eastAsia"/>
          <w:u w:val="single"/>
        </w:rPr>
        <w:t>（全称并加盖单位公章）</w:t>
      </w:r>
    </w:p>
    <w:p w14:paraId="44FCE865">
      <w:pPr>
        <w:pStyle w:val="11"/>
        <w:spacing w:beforeAutospacing="0" w:afterAutospacing="0" w:line="360" w:lineRule="auto"/>
        <w:ind w:left="376" w:right="376" w:firstLine="420"/>
        <w:jc w:val="right"/>
      </w:pPr>
      <w:r>
        <w:rPr>
          <w:rFonts w:hint="eastAsia"/>
        </w:rPr>
        <w:t>日期：</w:t>
      </w:r>
      <w:r>
        <w:rPr>
          <w:rFonts w:hint="eastAsia"/>
          <w:u w:val="single"/>
        </w:rPr>
        <w:t>　　年　　月　　日</w:t>
      </w:r>
    </w:p>
    <w:p w14:paraId="61659C91">
      <w:pPr>
        <w:pStyle w:val="11"/>
      </w:pPr>
    </w:p>
    <w:p w14:paraId="22E72F99">
      <w:pPr>
        <w:spacing w:line="380" w:lineRule="exact"/>
        <w:jc w:val="center"/>
        <w:rPr>
          <w:rFonts w:ascii="宋体" w:hAnsi="宋体"/>
          <w:b/>
          <w:bCs/>
          <w:sz w:val="28"/>
          <w:szCs w:val="28"/>
        </w:rPr>
      </w:pPr>
    </w:p>
    <w:p w14:paraId="2EA3E6B5">
      <w:pPr>
        <w:spacing w:line="380" w:lineRule="exact"/>
        <w:jc w:val="center"/>
        <w:rPr>
          <w:rFonts w:ascii="宋体" w:hAnsi="宋体"/>
          <w:b/>
          <w:bCs/>
          <w:sz w:val="28"/>
          <w:szCs w:val="28"/>
        </w:rPr>
      </w:pPr>
    </w:p>
    <w:p w14:paraId="040789A1">
      <w:pPr>
        <w:spacing w:line="380" w:lineRule="exact"/>
        <w:jc w:val="center"/>
        <w:rPr>
          <w:rFonts w:ascii="宋体" w:hAnsi="宋体"/>
          <w:b/>
          <w:bCs/>
          <w:sz w:val="28"/>
          <w:szCs w:val="28"/>
        </w:rPr>
      </w:pPr>
    </w:p>
    <w:p w14:paraId="6CFF9D38">
      <w:pPr>
        <w:spacing w:line="380" w:lineRule="exact"/>
        <w:jc w:val="center"/>
        <w:rPr>
          <w:rFonts w:ascii="宋体" w:hAnsi="宋体"/>
          <w:b/>
          <w:bCs/>
          <w:sz w:val="28"/>
          <w:szCs w:val="28"/>
        </w:rPr>
      </w:pPr>
    </w:p>
    <w:p w14:paraId="37B1C2AD">
      <w:pPr>
        <w:spacing w:line="380" w:lineRule="exact"/>
        <w:jc w:val="center"/>
        <w:rPr>
          <w:rFonts w:ascii="宋体" w:hAnsi="宋体"/>
          <w:b/>
          <w:bCs/>
          <w:sz w:val="28"/>
          <w:szCs w:val="28"/>
        </w:rPr>
      </w:pPr>
    </w:p>
    <w:p w14:paraId="01AD2CC1">
      <w:pPr>
        <w:spacing w:line="380" w:lineRule="exact"/>
        <w:jc w:val="center"/>
        <w:rPr>
          <w:rFonts w:ascii="宋体" w:hAnsi="宋体"/>
          <w:b/>
          <w:bCs/>
          <w:sz w:val="28"/>
          <w:szCs w:val="28"/>
        </w:rPr>
      </w:pPr>
    </w:p>
    <w:p w14:paraId="1E0ED430">
      <w:pPr>
        <w:spacing w:line="380" w:lineRule="exact"/>
        <w:jc w:val="center"/>
        <w:rPr>
          <w:rFonts w:ascii="宋体" w:hAnsi="宋体"/>
          <w:b/>
          <w:bCs/>
          <w:sz w:val="28"/>
          <w:szCs w:val="28"/>
        </w:rPr>
      </w:pPr>
    </w:p>
    <w:p w14:paraId="10BB12CA">
      <w:pPr>
        <w:pStyle w:val="6"/>
        <w:rPr>
          <w:rFonts w:ascii="宋体" w:hAnsi="宋体"/>
          <w:b/>
          <w:bCs/>
          <w:sz w:val="28"/>
          <w:szCs w:val="28"/>
        </w:rPr>
      </w:pPr>
    </w:p>
    <w:p w14:paraId="361963CD">
      <w:pPr>
        <w:rPr>
          <w:rFonts w:ascii="宋体" w:hAnsi="宋体"/>
          <w:b/>
          <w:bCs/>
          <w:sz w:val="28"/>
          <w:szCs w:val="28"/>
        </w:rPr>
      </w:pPr>
    </w:p>
    <w:p w14:paraId="69A5B3E3">
      <w:pPr>
        <w:rPr>
          <w:rFonts w:ascii="宋体" w:hAnsi="宋体"/>
          <w:b/>
          <w:bCs/>
          <w:sz w:val="28"/>
          <w:szCs w:val="28"/>
        </w:rPr>
      </w:pPr>
    </w:p>
    <w:p w14:paraId="79D96462">
      <w:pPr>
        <w:rPr>
          <w:rFonts w:ascii="宋体" w:hAnsi="宋体"/>
          <w:b/>
          <w:bCs/>
          <w:sz w:val="28"/>
          <w:szCs w:val="28"/>
        </w:rPr>
      </w:pPr>
    </w:p>
    <w:p w14:paraId="7CB6EDC9">
      <w:pPr>
        <w:rPr>
          <w:rFonts w:ascii="宋体" w:hAnsi="宋体"/>
          <w:b/>
          <w:bCs/>
          <w:sz w:val="28"/>
          <w:szCs w:val="28"/>
        </w:rPr>
      </w:pPr>
    </w:p>
    <w:p w14:paraId="1BF661D7">
      <w:pPr>
        <w:pStyle w:val="6"/>
        <w:rPr>
          <w:rFonts w:ascii="宋体" w:hAnsi="宋体"/>
          <w:b/>
          <w:bCs/>
          <w:sz w:val="28"/>
          <w:szCs w:val="28"/>
        </w:rPr>
      </w:pPr>
    </w:p>
    <w:p w14:paraId="2E114B84"/>
    <w:p w14:paraId="76DA300A">
      <w:pPr>
        <w:rPr>
          <w:rFonts w:ascii="宋体" w:hAnsi="宋体"/>
          <w:b/>
          <w:bCs/>
          <w:sz w:val="28"/>
          <w:szCs w:val="28"/>
        </w:rPr>
      </w:pPr>
    </w:p>
    <w:p w14:paraId="3BB47C12">
      <w:pPr>
        <w:pStyle w:val="25"/>
        <w:ind w:firstLine="960"/>
        <w:jc w:val="center"/>
        <w:outlineLvl w:val="1"/>
        <w:rPr>
          <w:rFonts w:hint="eastAsia"/>
          <w:b/>
          <w:sz w:val="24"/>
          <w:szCs w:val="24"/>
          <w:lang w:val="en-US" w:eastAsia="zh-CN"/>
        </w:rPr>
      </w:pPr>
      <w:r>
        <w:rPr>
          <w:rFonts w:hint="eastAsia"/>
          <w:b/>
          <w:sz w:val="24"/>
          <w:szCs w:val="24"/>
          <w:lang w:val="en-US" w:eastAsia="zh-CN"/>
        </w:rPr>
        <w:t>四、投标人认为应提交的其他资料</w:t>
      </w:r>
    </w:p>
    <w:p w14:paraId="13D8F28B">
      <w:pPr>
        <w:pStyle w:val="23"/>
        <w:spacing w:line="360" w:lineRule="auto"/>
        <w:outlineLvl w:val="9"/>
        <w:rPr>
          <w:sz w:val="21"/>
          <w:szCs w:val="21"/>
        </w:rPr>
      </w:pPr>
    </w:p>
    <w:p w14:paraId="6E399253">
      <w:pPr>
        <w:pStyle w:val="23"/>
        <w:spacing w:line="360" w:lineRule="auto"/>
        <w:jc w:val="center"/>
        <w:outlineLvl w:val="9"/>
        <w:rPr>
          <w:rFonts w:hAnsi="宋体" w:cs="宋体"/>
          <w:b/>
          <w:bCs/>
          <w:sz w:val="24"/>
          <w:szCs w:val="24"/>
        </w:rPr>
      </w:pPr>
      <w:r>
        <w:rPr>
          <w:rFonts w:hint="eastAsia"/>
          <w:b/>
          <w:bCs/>
          <w:sz w:val="24"/>
          <w:szCs w:val="24"/>
        </w:rPr>
        <w:t>4.1</w:t>
      </w:r>
      <w:r>
        <w:rPr>
          <w:rFonts w:hint="eastAsia" w:hAnsi="宋体" w:cs="宋体"/>
          <w:b/>
          <w:bCs/>
          <w:sz w:val="24"/>
          <w:szCs w:val="24"/>
        </w:rPr>
        <w:t>招标文件中规定的或投标人认为需要提供的</w:t>
      </w:r>
    </w:p>
    <w:p w14:paraId="3BF087A6">
      <w:pPr>
        <w:pStyle w:val="23"/>
        <w:spacing w:line="360" w:lineRule="auto"/>
        <w:jc w:val="center"/>
        <w:outlineLvl w:val="9"/>
        <w:rPr>
          <w:rFonts w:hAnsi="宋体" w:cs="宋体"/>
          <w:b/>
          <w:bCs/>
          <w:sz w:val="24"/>
          <w:szCs w:val="24"/>
        </w:rPr>
      </w:pPr>
      <w:r>
        <w:rPr>
          <w:rFonts w:hint="eastAsia" w:hAnsi="宋体" w:cs="宋体"/>
          <w:b/>
          <w:bCs/>
          <w:sz w:val="24"/>
          <w:szCs w:val="24"/>
        </w:rPr>
        <w:t>其他技术商务部分的佐证材料（若有）</w:t>
      </w:r>
    </w:p>
    <w:p w14:paraId="2A47A3DB">
      <w:pPr>
        <w:pStyle w:val="11"/>
      </w:pPr>
    </w:p>
    <w:p w14:paraId="33CDE310">
      <w:pPr>
        <w:jc w:val="center"/>
        <w:rPr>
          <w:rFonts w:ascii="宋体" w:hAnsi="宋体"/>
          <w:b/>
          <w:bCs/>
          <w:sz w:val="36"/>
        </w:rPr>
      </w:pPr>
    </w:p>
    <w:p w14:paraId="7C593469">
      <w:pPr>
        <w:pStyle w:val="7"/>
        <w:spacing w:line="1200" w:lineRule="exact"/>
        <w:ind w:firstLine="0"/>
        <w:jc w:val="center"/>
        <w:rPr>
          <w:b/>
          <w:bCs/>
          <w:sz w:val="84"/>
          <w:szCs w:val="84"/>
        </w:rPr>
      </w:pPr>
    </w:p>
    <w:p w14:paraId="0B5CFDD2">
      <w:pPr>
        <w:pStyle w:val="7"/>
        <w:spacing w:line="1200" w:lineRule="exact"/>
        <w:ind w:firstLine="0"/>
        <w:jc w:val="center"/>
        <w:rPr>
          <w:b/>
          <w:bCs/>
          <w:sz w:val="84"/>
          <w:szCs w:val="84"/>
        </w:rPr>
      </w:pPr>
    </w:p>
    <w:p w14:paraId="7DD916B7">
      <w:pPr>
        <w:pStyle w:val="7"/>
        <w:spacing w:line="1200" w:lineRule="exact"/>
        <w:ind w:firstLine="0"/>
        <w:jc w:val="center"/>
        <w:rPr>
          <w:b/>
          <w:bCs/>
          <w:sz w:val="84"/>
          <w:szCs w:val="84"/>
        </w:rPr>
      </w:pPr>
    </w:p>
    <w:p w14:paraId="6650CE55">
      <w:pPr>
        <w:pStyle w:val="7"/>
        <w:spacing w:line="1200" w:lineRule="exact"/>
        <w:ind w:firstLine="0"/>
        <w:jc w:val="center"/>
        <w:rPr>
          <w:b/>
          <w:bCs/>
          <w:sz w:val="84"/>
          <w:szCs w:val="84"/>
        </w:rPr>
      </w:pPr>
    </w:p>
    <w:p w14:paraId="131415A7">
      <w:pPr>
        <w:pStyle w:val="7"/>
        <w:spacing w:line="1200" w:lineRule="exact"/>
        <w:ind w:firstLine="0"/>
        <w:jc w:val="center"/>
        <w:rPr>
          <w:b/>
          <w:bCs/>
          <w:sz w:val="84"/>
          <w:szCs w:val="84"/>
        </w:rPr>
      </w:pPr>
    </w:p>
    <w:p w14:paraId="3092FBC4">
      <w:pPr>
        <w:pStyle w:val="7"/>
        <w:spacing w:line="1200" w:lineRule="exact"/>
        <w:ind w:firstLine="0"/>
        <w:jc w:val="center"/>
        <w:rPr>
          <w:b/>
          <w:bCs/>
          <w:sz w:val="84"/>
          <w:szCs w:val="84"/>
        </w:rPr>
      </w:pPr>
    </w:p>
    <w:p w14:paraId="3079F9D3">
      <w:pPr>
        <w:pStyle w:val="7"/>
        <w:spacing w:line="1200" w:lineRule="exact"/>
        <w:ind w:firstLine="0"/>
        <w:jc w:val="center"/>
        <w:rPr>
          <w:b/>
          <w:bCs/>
          <w:sz w:val="84"/>
          <w:szCs w:val="84"/>
        </w:rPr>
      </w:pPr>
    </w:p>
    <w:p w14:paraId="70BC467E">
      <w:pPr>
        <w:pStyle w:val="7"/>
        <w:spacing w:line="1200" w:lineRule="exact"/>
        <w:ind w:firstLine="0"/>
        <w:jc w:val="center"/>
        <w:rPr>
          <w:b/>
          <w:bCs/>
          <w:sz w:val="84"/>
          <w:szCs w:val="84"/>
        </w:rPr>
      </w:pPr>
    </w:p>
    <w:p w14:paraId="4113406A">
      <w:pPr>
        <w:pStyle w:val="7"/>
        <w:spacing w:line="1200" w:lineRule="exact"/>
        <w:ind w:firstLine="0"/>
        <w:jc w:val="center"/>
        <w:rPr>
          <w:b/>
          <w:bCs/>
          <w:sz w:val="84"/>
          <w:szCs w:val="84"/>
        </w:rPr>
      </w:pPr>
    </w:p>
    <w:p w14:paraId="5F562503">
      <w:pPr>
        <w:pStyle w:val="7"/>
        <w:spacing w:line="1200" w:lineRule="exact"/>
        <w:ind w:firstLine="0"/>
        <w:jc w:val="right"/>
        <w:rPr>
          <w:b/>
          <w:bCs/>
          <w:sz w:val="52"/>
          <w:szCs w:val="52"/>
        </w:rPr>
      </w:pPr>
      <w:r>
        <w:rPr>
          <w:rFonts w:hint="eastAsia"/>
          <w:b/>
          <w:bCs/>
          <w:sz w:val="52"/>
          <w:szCs w:val="52"/>
        </w:rPr>
        <w:t>正本/副本</w:t>
      </w:r>
    </w:p>
    <w:p w14:paraId="6311DB83">
      <w:pPr>
        <w:pStyle w:val="7"/>
        <w:spacing w:line="1200" w:lineRule="exact"/>
        <w:ind w:firstLine="0"/>
        <w:jc w:val="right"/>
        <w:rPr>
          <w:b/>
          <w:bCs/>
          <w:sz w:val="52"/>
          <w:szCs w:val="52"/>
        </w:rPr>
      </w:pPr>
    </w:p>
    <w:p w14:paraId="470C598C">
      <w:pPr>
        <w:pStyle w:val="7"/>
        <w:spacing w:line="1200" w:lineRule="exact"/>
        <w:ind w:firstLine="0"/>
        <w:jc w:val="center"/>
        <w:rPr>
          <w:b/>
          <w:bCs/>
          <w:sz w:val="84"/>
          <w:szCs w:val="84"/>
        </w:rPr>
      </w:pPr>
      <w:r>
        <w:rPr>
          <w:rFonts w:hint="eastAsia"/>
          <w:b/>
          <w:bCs/>
          <w:sz w:val="84"/>
          <w:szCs w:val="84"/>
        </w:rPr>
        <w:t>投  标  文  件</w:t>
      </w:r>
    </w:p>
    <w:p w14:paraId="5D913F9B">
      <w:pPr>
        <w:pStyle w:val="7"/>
        <w:spacing w:line="1200" w:lineRule="exact"/>
        <w:ind w:firstLine="0"/>
        <w:jc w:val="center"/>
        <w:rPr>
          <w:b/>
          <w:bCs/>
          <w:sz w:val="84"/>
          <w:szCs w:val="84"/>
        </w:rPr>
      </w:pPr>
      <w:r>
        <w:rPr>
          <w:rFonts w:hint="eastAsia"/>
          <w:b/>
          <w:bCs/>
          <w:sz w:val="84"/>
          <w:szCs w:val="84"/>
        </w:rPr>
        <w:t>第二册  报价部分</w:t>
      </w:r>
    </w:p>
    <w:p w14:paraId="06A0BB67">
      <w:pPr>
        <w:pStyle w:val="7"/>
        <w:ind w:firstLine="0"/>
        <w:jc w:val="center"/>
      </w:pPr>
    </w:p>
    <w:p w14:paraId="38152061">
      <w:pPr>
        <w:pStyle w:val="7"/>
        <w:ind w:firstLine="0"/>
        <w:jc w:val="center"/>
      </w:pPr>
    </w:p>
    <w:p w14:paraId="4F698A5B">
      <w:pPr>
        <w:pStyle w:val="8"/>
        <w:spacing w:line="360" w:lineRule="auto"/>
        <w:ind w:firstLine="1428" w:firstLineChars="395"/>
        <w:rPr>
          <w:rFonts w:hAnsi="宋体"/>
          <w:b/>
          <w:sz w:val="36"/>
          <w:szCs w:val="36"/>
          <w:u w:val="single"/>
        </w:rPr>
      </w:pPr>
      <w:r>
        <w:rPr>
          <w:rFonts w:hint="eastAsia" w:hAnsi="宋体"/>
          <w:b/>
          <w:bCs/>
          <w:sz w:val="36"/>
          <w:szCs w:val="36"/>
        </w:rPr>
        <w:t>招标编号：</w:t>
      </w:r>
      <w:r>
        <w:rPr>
          <w:rFonts w:hint="eastAsia" w:hAnsi="宋体"/>
          <w:b/>
          <w:bCs/>
          <w:sz w:val="36"/>
          <w:szCs w:val="36"/>
          <w:u w:val="single"/>
        </w:rPr>
        <w:t xml:space="preserve">            </w:t>
      </w:r>
      <w:r>
        <w:rPr>
          <w:rFonts w:hint="eastAsia" w:hAnsi="宋体"/>
          <w:b/>
          <w:sz w:val="36"/>
          <w:szCs w:val="36"/>
          <w:u w:val="single"/>
        </w:rPr>
        <w:t xml:space="preserve">          </w:t>
      </w:r>
    </w:p>
    <w:p w14:paraId="16E5F32F">
      <w:pPr>
        <w:spacing w:line="360" w:lineRule="auto"/>
        <w:ind w:firstLine="1435" w:firstLineChars="397"/>
        <w:rPr>
          <w:rFonts w:ascii="宋体" w:hAnsi="宋体"/>
          <w:b/>
          <w:sz w:val="36"/>
          <w:szCs w:val="36"/>
          <w:u w:val="single"/>
        </w:rPr>
      </w:pPr>
      <w:r>
        <w:rPr>
          <w:rFonts w:hint="eastAsia" w:ascii="宋体" w:hAnsi="宋体"/>
          <w:b/>
          <w:bCs/>
          <w:sz w:val="36"/>
          <w:szCs w:val="36"/>
        </w:rPr>
        <w:t>项目名称</w:t>
      </w:r>
      <w:r>
        <w:rPr>
          <w:rFonts w:hint="eastAsia" w:ascii="宋体" w:hAnsi="宋体"/>
          <w:b/>
          <w:bCs/>
          <w:sz w:val="36"/>
          <w:szCs w:val="36"/>
          <w:u w:val="single"/>
        </w:rPr>
        <w:t>：</w:t>
      </w:r>
      <w:r>
        <w:rPr>
          <w:rFonts w:hint="eastAsia" w:ascii="宋体" w:hAnsi="宋体"/>
          <w:b/>
          <w:sz w:val="36"/>
          <w:szCs w:val="36"/>
          <w:u w:val="single"/>
        </w:rPr>
        <w:t xml:space="preserve">                      </w:t>
      </w:r>
    </w:p>
    <w:p w14:paraId="22FDC53D">
      <w:pPr>
        <w:pStyle w:val="8"/>
        <w:spacing w:line="360" w:lineRule="auto"/>
        <w:ind w:firstLine="1428" w:firstLineChars="395"/>
        <w:rPr>
          <w:rFonts w:hAnsi="宋体"/>
          <w:b/>
          <w:sz w:val="36"/>
          <w:szCs w:val="36"/>
        </w:rPr>
      </w:pPr>
      <w:r>
        <w:rPr>
          <w:rFonts w:hint="eastAsia" w:hAnsi="宋体"/>
          <w:b/>
          <w:sz w:val="36"/>
          <w:szCs w:val="36"/>
        </w:rPr>
        <w:t>合 同 包：</w:t>
      </w:r>
      <w:r>
        <w:rPr>
          <w:rFonts w:hint="eastAsia" w:hAnsi="宋体"/>
          <w:b/>
          <w:sz w:val="36"/>
          <w:szCs w:val="36"/>
          <w:u w:val="single"/>
        </w:rPr>
        <w:t xml:space="preserve">                      </w:t>
      </w:r>
    </w:p>
    <w:p w14:paraId="4A760901">
      <w:pPr>
        <w:pStyle w:val="8"/>
        <w:spacing w:line="360" w:lineRule="auto"/>
        <w:jc w:val="center"/>
        <w:rPr>
          <w:rFonts w:hAnsi="宋体"/>
          <w:b/>
          <w:sz w:val="36"/>
          <w:szCs w:val="36"/>
        </w:rPr>
      </w:pPr>
    </w:p>
    <w:p w14:paraId="15C80AE4">
      <w:pPr>
        <w:pStyle w:val="8"/>
        <w:spacing w:line="360" w:lineRule="auto"/>
        <w:jc w:val="center"/>
        <w:rPr>
          <w:rFonts w:hAnsi="宋体"/>
          <w:b/>
          <w:sz w:val="36"/>
          <w:szCs w:val="36"/>
        </w:rPr>
      </w:pPr>
    </w:p>
    <w:p w14:paraId="2AE87D5C">
      <w:pPr>
        <w:pStyle w:val="8"/>
        <w:spacing w:line="360" w:lineRule="auto"/>
        <w:jc w:val="center"/>
        <w:rPr>
          <w:rFonts w:hAnsi="宋体"/>
          <w:b/>
          <w:sz w:val="36"/>
          <w:szCs w:val="36"/>
        </w:rPr>
      </w:pPr>
    </w:p>
    <w:p w14:paraId="7A17CFE9">
      <w:pPr>
        <w:pStyle w:val="8"/>
        <w:spacing w:line="360" w:lineRule="auto"/>
        <w:jc w:val="center"/>
        <w:rPr>
          <w:rFonts w:hAnsi="宋体"/>
          <w:b/>
          <w:sz w:val="36"/>
          <w:szCs w:val="36"/>
        </w:rPr>
      </w:pPr>
    </w:p>
    <w:p w14:paraId="25B7E2CA">
      <w:pPr>
        <w:pStyle w:val="8"/>
        <w:tabs>
          <w:tab w:val="left" w:pos="1620"/>
        </w:tabs>
        <w:spacing w:line="360" w:lineRule="auto"/>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int="eastAsia" w:hAnsi="宋体"/>
          <w:b/>
          <w:bCs/>
          <w:sz w:val="36"/>
          <w:szCs w:val="36"/>
          <w:u w:val="single"/>
        </w:rPr>
        <w:t xml:space="preserve">        </w:t>
      </w:r>
    </w:p>
    <w:p w14:paraId="0F0429EA">
      <w:pPr>
        <w:pStyle w:val="8"/>
        <w:tabs>
          <w:tab w:val="left" w:pos="1620"/>
        </w:tabs>
        <w:spacing w:line="360" w:lineRule="auto"/>
        <w:ind w:firstLine="1438" w:firstLineChars="398"/>
        <w:rPr>
          <w:rFonts w:hAnsi="宋体"/>
          <w:b/>
          <w:bCs/>
          <w:sz w:val="36"/>
          <w:szCs w:val="36"/>
        </w:rPr>
      </w:pPr>
      <w:r>
        <w:rPr>
          <w:rFonts w:hint="eastAsia" w:hAnsi="宋体"/>
          <w:b/>
          <w:bCs/>
          <w:sz w:val="36"/>
          <w:szCs w:val="36"/>
        </w:rPr>
        <w:t>联系电话：</w:t>
      </w:r>
      <w:r>
        <w:rPr>
          <w:rFonts w:hint="eastAsia" w:hAnsi="宋体"/>
          <w:b/>
          <w:bCs/>
          <w:sz w:val="36"/>
          <w:szCs w:val="36"/>
          <w:u w:val="single"/>
        </w:rPr>
        <w:t xml:space="preserve">                       </w:t>
      </w:r>
      <w:r>
        <w:rPr>
          <w:rFonts w:hint="eastAsia" w:hAnsi="宋体"/>
          <w:b/>
          <w:bCs/>
          <w:sz w:val="36"/>
          <w:szCs w:val="36"/>
        </w:rPr>
        <w:t xml:space="preserve"> </w:t>
      </w:r>
    </w:p>
    <w:p w14:paraId="11D6A4C2">
      <w:pPr>
        <w:pStyle w:val="8"/>
        <w:tabs>
          <w:tab w:val="left" w:pos="1620"/>
        </w:tabs>
        <w:spacing w:line="360" w:lineRule="auto"/>
        <w:ind w:firstLine="1438" w:firstLineChars="398"/>
        <w:rPr>
          <w:rFonts w:hAnsi="宋体"/>
          <w:b/>
          <w:bCs/>
          <w:sz w:val="36"/>
          <w:szCs w:val="36"/>
        </w:rPr>
      </w:pPr>
      <w:r>
        <w:rPr>
          <w:rFonts w:hint="eastAsia" w:hAnsi="宋体"/>
          <w:b/>
          <w:bCs/>
          <w:sz w:val="36"/>
          <w:szCs w:val="36"/>
        </w:rPr>
        <w:t>投标人代表（签字）：</w:t>
      </w:r>
      <w:r>
        <w:rPr>
          <w:rFonts w:hint="eastAsia" w:hAnsi="宋体"/>
          <w:b/>
          <w:bCs/>
          <w:sz w:val="36"/>
          <w:szCs w:val="36"/>
          <w:u w:val="single"/>
        </w:rPr>
        <w:t xml:space="preserve">              </w:t>
      </w:r>
    </w:p>
    <w:p w14:paraId="0F774641">
      <w:pPr>
        <w:pStyle w:val="8"/>
        <w:tabs>
          <w:tab w:val="left" w:pos="1620"/>
        </w:tabs>
        <w:spacing w:line="360" w:lineRule="auto"/>
        <w:ind w:firstLine="1438" w:firstLineChars="398"/>
        <w:rPr>
          <w:rFonts w:hAnsi="宋体"/>
          <w:b/>
          <w:bCs/>
          <w:sz w:val="36"/>
          <w:szCs w:val="36"/>
        </w:rPr>
      </w:pPr>
      <w:r>
        <w:rPr>
          <w:rFonts w:hint="eastAsia" w:hAnsi="宋体"/>
          <w:b/>
          <w:bCs/>
          <w:sz w:val="36"/>
          <w:szCs w:val="36"/>
        </w:rPr>
        <w:t>联系地址：</w:t>
      </w:r>
      <w:r>
        <w:rPr>
          <w:rFonts w:hint="eastAsia" w:hAnsi="宋体"/>
          <w:b/>
          <w:bCs/>
          <w:sz w:val="36"/>
          <w:szCs w:val="36"/>
          <w:u w:val="single"/>
        </w:rPr>
        <w:t xml:space="preserve">                    </w:t>
      </w:r>
      <w:r>
        <w:rPr>
          <w:rFonts w:hint="eastAsia" w:hAnsi="宋体"/>
          <w:b/>
          <w:bCs/>
          <w:sz w:val="36"/>
          <w:szCs w:val="36"/>
        </w:rPr>
        <w:t xml:space="preserve">               </w:t>
      </w:r>
    </w:p>
    <w:p w14:paraId="203BA48F">
      <w:pPr>
        <w:pStyle w:val="8"/>
        <w:tabs>
          <w:tab w:val="left" w:pos="1620"/>
        </w:tabs>
        <w:spacing w:line="360" w:lineRule="auto"/>
        <w:ind w:firstLine="1428" w:firstLineChars="395"/>
        <w:rPr>
          <w:rFonts w:hAnsi="宋体"/>
          <w:b/>
          <w:sz w:val="36"/>
          <w:szCs w:val="36"/>
          <w:u w:val="single"/>
        </w:rPr>
      </w:pPr>
      <w:r>
        <w:rPr>
          <w:rFonts w:hint="eastAsia" w:hAnsi="宋体"/>
          <w:b/>
          <w:sz w:val="36"/>
          <w:szCs w:val="36"/>
        </w:rPr>
        <w:t>日   期：</w:t>
      </w:r>
      <w:r>
        <w:rPr>
          <w:rFonts w:hint="eastAsia" w:hAnsi="宋体"/>
          <w:b/>
          <w:sz w:val="36"/>
          <w:szCs w:val="36"/>
          <w:u w:val="single"/>
        </w:rPr>
        <w:t xml:space="preserve">    年   月    日</w:t>
      </w:r>
    </w:p>
    <w:p w14:paraId="10D3A273">
      <w:pPr>
        <w:pStyle w:val="7"/>
        <w:spacing w:line="360" w:lineRule="auto"/>
        <w:ind w:firstLine="0"/>
        <w:jc w:val="center"/>
        <w:rPr>
          <w:b/>
          <w:bCs/>
          <w:sz w:val="32"/>
          <w:szCs w:val="32"/>
        </w:rPr>
      </w:pPr>
      <w:r>
        <w:rPr>
          <w:rFonts w:hint="eastAsia"/>
          <w:b/>
          <w:bCs/>
          <w:sz w:val="32"/>
          <w:szCs w:val="32"/>
        </w:rPr>
        <w:t>第二册 报价部分</w:t>
      </w:r>
    </w:p>
    <w:p w14:paraId="5B3644D3">
      <w:pPr>
        <w:pStyle w:val="4"/>
        <w:snapToGrid w:val="0"/>
        <w:spacing w:line="420" w:lineRule="atLeast"/>
        <w:ind w:left="-2" w:leftChars="-1" w:firstLine="0" w:firstLineChars="0"/>
        <w:jc w:val="center"/>
        <w:rPr>
          <w:rFonts w:ascii="宋体" w:hAnsi="宋体"/>
          <w:b/>
          <w:sz w:val="44"/>
          <w:szCs w:val="44"/>
        </w:rPr>
      </w:pPr>
    </w:p>
    <w:p w14:paraId="3CD93CCA">
      <w:pPr>
        <w:pStyle w:val="4"/>
        <w:snapToGrid w:val="0"/>
        <w:spacing w:line="420" w:lineRule="atLeast"/>
        <w:ind w:left="-2" w:leftChars="-1" w:firstLine="0" w:firstLineChars="0"/>
        <w:jc w:val="center"/>
        <w:rPr>
          <w:rFonts w:ascii="宋体" w:hAnsi="宋体"/>
          <w:b/>
          <w:bCs/>
          <w:sz w:val="36"/>
          <w:szCs w:val="36"/>
        </w:rPr>
      </w:pPr>
      <w:r>
        <w:rPr>
          <w:rFonts w:hint="eastAsia" w:ascii="宋体" w:hAnsi="宋体"/>
          <w:b/>
          <w:bCs/>
          <w:sz w:val="36"/>
          <w:szCs w:val="36"/>
        </w:rPr>
        <w:t>目    录</w:t>
      </w:r>
    </w:p>
    <w:p w14:paraId="5CF14070">
      <w:pPr>
        <w:spacing w:line="400" w:lineRule="exact"/>
        <w:rPr>
          <w:rFonts w:ascii="宋体" w:hAnsi="宋体"/>
          <w:szCs w:val="21"/>
        </w:rPr>
      </w:pPr>
    </w:p>
    <w:p w14:paraId="14839F03">
      <w:pPr>
        <w:spacing w:line="400" w:lineRule="exact"/>
        <w:rPr>
          <w:rFonts w:ascii="宋体" w:hAnsi="宋体"/>
          <w:szCs w:val="21"/>
        </w:rPr>
      </w:pPr>
    </w:p>
    <w:p w14:paraId="439138DC">
      <w:pPr>
        <w:numPr>
          <w:ilvl w:val="0"/>
          <w:numId w:val="18"/>
        </w:numPr>
        <w:spacing w:line="360" w:lineRule="auto"/>
        <w:rPr>
          <w:rFonts w:ascii="宋体" w:hAnsi="宋体"/>
          <w:sz w:val="24"/>
        </w:rPr>
      </w:pPr>
      <w:r>
        <w:rPr>
          <w:rFonts w:hint="eastAsia" w:ascii="宋体" w:hAnsi="宋体"/>
          <w:sz w:val="24"/>
        </w:rPr>
        <w:t>开标一览表</w:t>
      </w:r>
    </w:p>
    <w:p w14:paraId="0EBDC710">
      <w:pPr>
        <w:spacing w:line="400" w:lineRule="exact"/>
        <w:rPr>
          <w:rFonts w:ascii="宋体" w:hAnsi="宋体"/>
          <w:sz w:val="24"/>
        </w:rPr>
      </w:pPr>
    </w:p>
    <w:p w14:paraId="36F95EE2">
      <w:pPr>
        <w:spacing w:line="480" w:lineRule="exact"/>
        <w:rPr>
          <w:rFonts w:ascii="宋体" w:hAnsi="宋体"/>
          <w:sz w:val="24"/>
        </w:rPr>
      </w:pPr>
    </w:p>
    <w:p w14:paraId="54F00FFB">
      <w:pPr>
        <w:spacing w:line="480" w:lineRule="exact"/>
        <w:rPr>
          <w:rFonts w:ascii="宋体" w:hAnsi="宋体"/>
          <w:sz w:val="24"/>
        </w:rPr>
      </w:pPr>
    </w:p>
    <w:p w14:paraId="2D702173">
      <w:pPr>
        <w:pStyle w:val="23"/>
        <w:spacing w:line="480" w:lineRule="exact"/>
        <w:jc w:val="center"/>
        <w:outlineLvl w:val="9"/>
        <w:rPr>
          <w:rFonts w:hAnsi="宋体"/>
          <w:b/>
          <w:sz w:val="24"/>
        </w:rPr>
      </w:pPr>
    </w:p>
    <w:p w14:paraId="3DBE3023">
      <w:pPr>
        <w:spacing w:line="480" w:lineRule="exact"/>
        <w:ind w:firstLine="600"/>
        <w:rPr>
          <w:rFonts w:ascii="宋体" w:hAnsi="宋体"/>
          <w:b/>
          <w:sz w:val="24"/>
        </w:rPr>
      </w:pPr>
    </w:p>
    <w:p w14:paraId="00B63D78">
      <w:pPr>
        <w:spacing w:line="480" w:lineRule="exact"/>
        <w:ind w:firstLine="600"/>
        <w:rPr>
          <w:rFonts w:ascii="宋体" w:hAnsi="宋体"/>
          <w:b/>
          <w:sz w:val="24"/>
        </w:rPr>
      </w:pPr>
    </w:p>
    <w:p w14:paraId="2211785B">
      <w:pPr>
        <w:spacing w:line="480" w:lineRule="exact"/>
        <w:ind w:firstLine="600"/>
        <w:rPr>
          <w:rFonts w:ascii="宋体" w:hAnsi="宋体"/>
          <w:b/>
          <w:sz w:val="24"/>
        </w:rPr>
      </w:pPr>
    </w:p>
    <w:p w14:paraId="72039992">
      <w:pPr>
        <w:spacing w:line="480" w:lineRule="exact"/>
        <w:ind w:firstLine="600"/>
        <w:rPr>
          <w:rFonts w:ascii="宋体" w:hAnsi="宋体"/>
          <w:b/>
          <w:sz w:val="24"/>
        </w:rPr>
      </w:pPr>
    </w:p>
    <w:p w14:paraId="7BDF7A6B">
      <w:pPr>
        <w:pStyle w:val="23"/>
        <w:spacing w:line="480" w:lineRule="exact"/>
        <w:jc w:val="center"/>
        <w:outlineLvl w:val="9"/>
        <w:rPr>
          <w:rFonts w:hAnsi="宋体"/>
          <w:b/>
          <w:sz w:val="24"/>
        </w:rPr>
      </w:pPr>
    </w:p>
    <w:p w14:paraId="00A538A2">
      <w:pPr>
        <w:pStyle w:val="23"/>
        <w:spacing w:line="480" w:lineRule="exact"/>
        <w:jc w:val="center"/>
        <w:outlineLvl w:val="9"/>
        <w:rPr>
          <w:rFonts w:hAnsi="宋体"/>
          <w:b/>
          <w:sz w:val="24"/>
        </w:rPr>
      </w:pPr>
    </w:p>
    <w:p w14:paraId="6E0B34D4">
      <w:pPr>
        <w:jc w:val="center"/>
        <w:rPr>
          <w:rFonts w:ascii="宋体" w:hAnsi="宋体"/>
          <w:b/>
          <w:bCs/>
          <w:sz w:val="36"/>
        </w:rPr>
      </w:pPr>
      <w:bookmarkStart w:id="92" w:name="_Toc462990137"/>
      <w:bookmarkStart w:id="93" w:name="_Toc462994807"/>
      <w:bookmarkStart w:id="94" w:name="_Toc459798545"/>
      <w:bookmarkStart w:id="95" w:name="_Toc459798242"/>
      <w:bookmarkStart w:id="96" w:name="_Toc467163877"/>
      <w:bookmarkStart w:id="97" w:name="_Toc7273"/>
      <w:bookmarkStart w:id="98" w:name="_Toc462989267"/>
      <w:r>
        <w:rPr>
          <w:rFonts w:hint="eastAsia" w:hAnsi="宋体"/>
          <w:b/>
          <w:sz w:val="24"/>
        </w:rPr>
        <w:t>注：须编制目录、页码</w:t>
      </w:r>
      <w:r>
        <w:rPr>
          <w:rFonts w:hAnsi="宋体"/>
          <w:b/>
          <w:sz w:val="36"/>
        </w:rPr>
        <w:br w:type="page"/>
      </w:r>
      <w:bookmarkEnd w:id="92"/>
      <w:bookmarkEnd w:id="93"/>
      <w:bookmarkEnd w:id="94"/>
      <w:bookmarkEnd w:id="95"/>
      <w:bookmarkEnd w:id="96"/>
      <w:bookmarkEnd w:id="97"/>
      <w:bookmarkEnd w:id="98"/>
      <w:bookmarkStart w:id="99" w:name="_Toc287002968"/>
    </w:p>
    <w:p w14:paraId="6443819B">
      <w:pPr>
        <w:jc w:val="center"/>
        <w:rPr>
          <w:rFonts w:ascii="宋体" w:hAnsi="宋体"/>
          <w:b/>
          <w:bCs/>
          <w:sz w:val="36"/>
        </w:rPr>
      </w:pPr>
      <w:r>
        <w:rPr>
          <w:rFonts w:hint="eastAsia" w:ascii="宋体" w:hAnsi="宋体"/>
          <w:b/>
          <w:bCs/>
          <w:sz w:val="36"/>
        </w:rPr>
        <w:t>1、开标一览表</w:t>
      </w:r>
      <w:bookmarkEnd w:id="99"/>
    </w:p>
    <w:p w14:paraId="7A43F936">
      <w:pPr>
        <w:rPr>
          <w:rFonts w:ascii="宋体" w:hAnsi="宋体"/>
          <w:sz w:val="24"/>
        </w:rPr>
      </w:pPr>
    </w:p>
    <w:p w14:paraId="3F21C990">
      <w:pPr>
        <w:rPr>
          <w:rFonts w:ascii="宋体" w:hAnsi="宋体"/>
          <w:sz w:val="24"/>
        </w:rPr>
      </w:pPr>
      <w:r>
        <w:rPr>
          <w:rFonts w:hint="eastAsia" w:ascii="宋体" w:hAnsi="宋体"/>
          <w:sz w:val="24"/>
        </w:rPr>
        <w:t xml:space="preserve">招标编号∶                       </w:t>
      </w:r>
    </w:p>
    <w:p w14:paraId="196699F6">
      <w:pPr>
        <w:pStyle w:val="32"/>
        <w:adjustRightInd w:val="0"/>
        <w:snapToGrid w:val="0"/>
        <w:spacing w:line="320" w:lineRule="atLeast"/>
        <w:ind w:firstLine="0" w:firstLineChars="0"/>
        <w:rPr>
          <w:rFonts w:ascii="宋体" w:hAnsi="宋体"/>
          <w:sz w:val="24"/>
          <w:szCs w:val="24"/>
        </w:rPr>
      </w:pP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976"/>
        <w:gridCol w:w="5699"/>
      </w:tblGrid>
      <w:tr w14:paraId="1329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405" w:type="dxa"/>
            <w:vMerge w:val="restart"/>
            <w:vAlign w:val="center"/>
          </w:tcPr>
          <w:p w14:paraId="666F5644">
            <w:pPr>
              <w:jc w:val="center"/>
              <w:rPr>
                <w:rFonts w:ascii="宋体" w:hAnsi="宋体"/>
                <w:sz w:val="24"/>
                <w:lang w:val="zh-CN"/>
              </w:rPr>
            </w:pPr>
            <w:r>
              <w:rPr>
                <w:rFonts w:hint="eastAsia" w:ascii="宋体" w:hAnsi="宋体"/>
                <w:sz w:val="24"/>
                <w:lang w:val="zh-CN"/>
              </w:rPr>
              <w:t>合同包</w:t>
            </w:r>
          </w:p>
        </w:tc>
        <w:tc>
          <w:tcPr>
            <w:tcW w:w="2976" w:type="dxa"/>
            <w:vMerge w:val="restart"/>
            <w:vAlign w:val="center"/>
          </w:tcPr>
          <w:p w14:paraId="716D8056">
            <w:pPr>
              <w:jc w:val="center"/>
              <w:rPr>
                <w:rFonts w:ascii="宋体" w:hAnsi="宋体"/>
                <w:sz w:val="24"/>
                <w:lang w:val="zh-CN"/>
              </w:rPr>
            </w:pPr>
            <w:r>
              <w:rPr>
                <w:rFonts w:hint="eastAsia" w:ascii="宋体" w:hAnsi="宋体" w:cs="宋体"/>
                <w:b/>
                <w:sz w:val="24"/>
              </w:rPr>
              <w:t>货物名称</w:t>
            </w:r>
          </w:p>
        </w:tc>
        <w:tc>
          <w:tcPr>
            <w:tcW w:w="5699" w:type="dxa"/>
            <w:vMerge w:val="restart"/>
            <w:vAlign w:val="center"/>
          </w:tcPr>
          <w:p w14:paraId="40F39F24">
            <w:pPr>
              <w:jc w:val="center"/>
              <w:rPr>
                <w:rFonts w:ascii="宋体" w:hAnsi="宋体"/>
                <w:sz w:val="24"/>
              </w:rPr>
            </w:pPr>
            <w:r>
              <w:rPr>
                <w:rFonts w:hint="eastAsia" w:ascii="宋体" w:hAnsi="宋体"/>
                <w:sz w:val="24"/>
              </w:rPr>
              <w:t>投标报价</w:t>
            </w:r>
          </w:p>
        </w:tc>
      </w:tr>
      <w:tr w14:paraId="5EDD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405" w:type="dxa"/>
            <w:vMerge w:val="continue"/>
            <w:vAlign w:val="center"/>
          </w:tcPr>
          <w:p w14:paraId="7D043779">
            <w:pPr>
              <w:jc w:val="center"/>
              <w:rPr>
                <w:rFonts w:ascii="宋体" w:hAnsi="宋体"/>
                <w:sz w:val="24"/>
                <w:lang w:val="zh-CN"/>
              </w:rPr>
            </w:pPr>
          </w:p>
        </w:tc>
        <w:tc>
          <w:tcPr>
            <w:tcW w:w="2976" w:type="dxa"/>
            <w:vMerge w:val="continue"/>
            <w:vAlign w:val="center"/>
          </w:tcPr>
          <w:p w14:paraId="73400C37">
            <w:pPr>
              <w:jc w:val="center"/>
              <w:rPr>
                <w:rFonts w:ascii="宋体" w:hAnsi="宋体"/>
                <w:sz w:val="24"/>
                <w:lang w:val="zh-CN"/>
              </w:rPr>
            </w:pPr>
          </w:p>
        </w:tc>
        <w:tc>
          <w:tcPr>
            <w:tcW w:w="5699" w:type="dxa"/>
            <w:vMerge w:val="continue"/>
            <w:vAlign w:val="center"/>
          </w:tcPr>
          <w:p w14:paraId="0357948A">
            <w:pPr>
              <w:tabs>
                <w:tab w:val="left" w:pos="5355"/>
              </w:tabs>
              <w:jc w:val="center"/>
              <w:rPr>
                <w:rFonts w:ascii="宋体" w:hAnsi="宋体"/>
                <w:sz w:val="24"/>
                <w:lang w:val="zh-CN"/>
              </w:rPr>
            </w:pPr>
          </w:p>
        </w:tc>
      </w:tr>
      <w:tr w14:paraId="150A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1405" w:type="dxa"/>
            <w:vAlign w:val="center"/>
          </w:tcPr>
          <w:p w14:paraId="579DF6E8">
            <w:pPr>
              <w:tabs>
                <w:tab w:val="left" w:pos="5355"/>
              </w:tabs>
              <w:jc w:val="center"/>
              <w:rPr>
                <w:rFonts w:ascii="宋体" w:hAnsi="宋体"/>
                <w:sz w:val="24"/>
              </w:rPr>
            </w:pPr>
            <w:r>
              <w:rPr>
                <w:rFonts w:hint="eastAsia" w:ascii="宋体" w:hAnsi="宋体"/>
                <w:sz w:val="24"/>
              </w:rPr>
              <w:t>1</w:t>
            </w:r>
          </w:p>
        </w:tc>
        <w:tc>
          <w:tcPr>
            <w:tcW w:w="2976" w:type="dxa"/>
            <w:vAlign w:val="center"/>
          </w:tcPr>
          <w:p w14:paraId="2F4A6A35">
            <w:pPr>
              <w:widowControl/>
              <w:jc w:val="center"/>
              <w:textAlignment w:val="center"/>
              <w:rPr>
                <w:rFonts w:ascii="宋体" w:hAnsi="宋体"/>
                <w:sz w:val="24"/>
                <w:lang w:val="zh-CN"/>
              </w:rPr>
            </w:pPr>
            <w:r>
              <w:rPr>
                <w:rStyle w:val="22"/>
                <w:rFonts w:hint="default"/>
                <w:color w:val="auto"/>
                <w:sz w:val="24"/>
                <w:szCs w:val="24"/>
                <w:lang w:bidi="ar"/>
              </w:rPr>
              <w:t xml:space="preserve">员工一体化交互平台项目  </w:t>
            </w:r>
          </w:p>
        </w:tc>
        <w:tc>
          <w:tcPr>
            <w:tcW w:w="5699" w:type="dxa"/>
            <w:vAlign w:val="center"/>
          </w:tcPr>
          <w:p w14:paraId="46E9F0CB">
            <w:pPr>
              <w:tabs>
                <w:tab w:val="left" w:pos="5355"/>
              </w:tabs>
              <w:jc w:val="left"/>
              <w:rPr>
                <w:rFonts w:ascii="宋体" w:hAnsi="宋体"/>
                <w:sz w:val="24"/>
              </w:rPr>
            </w:pPr>
            <w:r>
              <w:rPr>
                <w:rFonts w:hint="eastAsia" w:ascii="宋体" w:hAnsi="宋体"/>
                <w:sz w:val="24"/>
              </w:rPr>
              <w:t>大写：</w:t>
            </w:r>
          </w:p>
          <w:p w14:paraId="18C89079">
            <w:pPr>
              <w:pStyle w:val="36"/>
              <w:rPr>
                <w:rFonts w:ascii="宋体" w:hAnsi="宋体"/>
              </w:rPr>
            </w:pPr>
          </w:p>
          <w:p w14:paraId="57FF7BC4">
            <w:pPr>
              <w:pStyle w:val="6"/>
            </w:pPr>
          </w:p>
          <w:p w14:paraId="79852669">
            <w:pPr>
              <w:tabs>
                <w:tab w:val="left" w:pos="5355"/>
              </w:tabs>
              <w:jc w:val="left"/>
            </w:pPr>
            <w:r>
              <w:rPr>
                <w:rFonts w:hint="eastAsia" w:ascii="宋体" w:hAnsi="宋体"/>
                <w:sz w:val="24"/>
              </w:rPr>
              <w:t>小写：</w:t>
            </w:r>
          </w:p>
        </w:tc>
      </w:tr>
    </w:tbl>
    <w:p w14:paraId="5C96D422">
      <w:pPr>
        <w:spacing w:line="360" w:lineRule="auto"/>
        <w:jc w:val="left"/>
        <w:rPr>
          <w:rFonts w:ascii="宋体" w:hAnsi="宋体" w:cs="宋体"/>
          <w:bCs/>
          <w:sz w:val="24"/>
        </w:rPr>
      </w:pPr>
    </w:p>
    <w:p w14:paraId="3B94F14C">
      <w:pPr>
        <w:pStyle w:val="26"/>
        <w:rPr>
          <w:rFonts w:ascii="宋体" w:hAnsi="宋体" w:cs="宋体"/>
          <w:bCs/>
          <w:sz w:val="24"/>
        </w:rPr>
      </w:pPr>
    </w:p>
    <w:p w14:paraId="06A89D27">
      <w:pPr>
        <w:jc w:val="left"/>
        <w:rPr>
          <w:rFonts w:ascii="宋体" w:hAnsi="宋体" w:cs="宋体"/>
          <w:bCs/>
          <w:sz w:val="24"/>
        </w:rPr>
      </w:pPr>
    </w:p>
    <w:p w14:paraId="6D9BE515">
      <w:pPr>
        <w:jc w:val="left"/>
        <w:rPr>
          <w:rFonts w:ascii="宋体" w:hAnsi="宋体" w:cs="宋体"/>
          <w:bCs/>
          <w:sz w:val="24"/>
        </w:rPr>
      </w:pPr>
      <w:r>
        <w:rPr>
          <w:rFonts w:hint="eastAsia" w:ascii="宋体" w:hAnsi="宋体" w:cs="宋体"/>
          <w:bCs/>
          <w:sz w:val="24"/>
        </w:rPr>
        <w:t>投标人：（全称并加盖单位公章）</w:t>
      </w:r>
    </w:p>
    <w:p w14:paraId="04738B5D">
      <w:pPr>
        <w:pStyle w:val="11"/>
      </w:pPr>
      <w:r>
        <w:rPr>
          <w:rFonts w:hint="eastAsia"/>
        </w:rPr>
        <w:t>投标人代表签字：</w:t>
      </w:r>
      <w:r>
        <w:rPr>
          <w:rFonts w:hint="eastAsia"/>
          <w:u w:val="single"/>
        </w:rPr>
        <w:t>                   </w:t>
      </w:r>
    </w:p>
    <w:p w14:paraId="5C32C696">
      <w:pPr>
        <w:pStyle w:val="11"/>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0DA7B7B9">
      <w:pPr>
        <w:spacing w:line="500" w:lineRule="atLeast"/>
        <w:rPr>
          <w:rFonts w:ascii="宋体" w:hAnsi="宋体"/>
          <w:sz w:val="24"/>
        </w:rPr>
      </w:pPr>
    </w:p>
    <w:p w14:paraId="5E56B160">
      <w:pPr>
        <w:pStyle w:val="26"/>
        <w:rPr>
          <w:rFonts w:ascii="宋体" w:hAnsi="宋体"/>
          <w:sz w:val="24"/>
          <w:szCs w:val="24"/>
        </w:rPr>
      </w:pPr>
    </w:p>
    <w:p w14:paraId="27AD8819">
      <w:pPr>
        <w:pStyle w:val="26"/>
        <w:rPr>
          <w:rFonts w:ascii="宋体" w:hAnsi="宋体"/>
          <w:sz w:val="24"/>
          <w:szCs w:val="24"/>
        </w:rPr>
      </w:pPr>
    </w:p>
    <w:p w14:paraId="752861B2">
      <w:pPr>
        <w:pStyle w:val="26"/>
        <w:rPr>
          <w:rFonts w:ascii="宋体" w:hAnsi="宋体"/>
          <w:sz w:val="24"/>
          <w:szCs w:val="24"/>
        </w:rPr>
      </w:pPr>
    </w:p>
    <w:p w14:paraId="1CB67EFF">
      <w:pPr>
        <w:pStyle w:val="26"/>
        <w:rPr>
          <w:rFonts w:ascii="宋体" w:hAnsi="宋体"/>
          <w:sz w:val="24"/>
          <w:szCs w:val="24"/>
        </w:rPr>
      </w:pPr>
    </w:p>
    <w:p w14:paraId="318227D3">
      <w:pPr>
        <w:pStyle w:val="26"/>
        <w:rPr>
          <w:rFonts w:ascii="宋体" w:hAnsi="宋体"/>
          <w:sz w:val="24"/>
          <w:szCs w:val="24"/>
        </w:rPr>
      </w:pPr>
    </w:p>
    <w:p w14:paraId="0C900FAD">
      <w:pPr>
        <w:pStyle w:val="26"/>
        <w:rPr>
          <w:rFonts w:ascii="宋体" w:hAnsi="宋体"/>
          <w:sz w:val="24"/>
          <w:szCs w:val="24"/>
        </w:rPr>
      </w:pPr>
    </w:p>
    <w:p w14:paraId="6AA81F07">
      <w:pPr>
        <w:pStyle w:val="26"/>
        <w:rPr>
          <w:rFonts w:ascii="宋体" w:hAnsi="宋体"/>
          <w:sz w:val="24"/>
          <w:szCs w:val="24"/>
        </w:rPr>
      </w:pPr>
    </w:p>
    <w:p w14:paraId="445D3852">
      <w:pPr>
        <w:pStyle w:val="26"/>
        <w:rPr>
          <w:rFonts w:ascii="宋体" w:hAnsi="宋体"/>
          <w:b/>
          <w:bCs/>
          <w:sz w:val="36"/>
        </w:rPr>
      </w:pPr>
    </w:p>
    <w:p w14:paraId="13691B7C"/>
    <w:sectPr>
      <w:headerReference r:id="rId10" w:type="default"/>
      <w:footerReference r:id="rId11" w:type="default"/>
      <w:type w:val="continuous"/>
      <w:pgSz w:w="11907" w:h="16840"/>
      <w:pgMar w:top="1134" w:right="907" w:bottom="850" w:left="1134" w:header="680" w:footer="28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D574">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432A">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7F4AFE">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JuTRdwBAADAAwAADgAAAGRycy9lMm9Eb2MueG1srVPNjtMwEL4j8Q6W&#10;7zTZSou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6JuTRdwBAADAAwAADgAAAAAAAAAB&#10;ACAAAAAeAQAAZHJzL2Uyb0RvYy54bWxQSwUGAAAAAAYABgBZAQAAbAUAAAAA&#10;">
              <v:fill on="f" focussize="0,0"/>
              <v:stroke on="f"/>
              <v:imagedata o:title=""/>
              <o:lock v:ext="edit" aspectratio="f"/>
              <v:textbox inset="0mm,0mm,0mm,0mm" style="mso-fit-shape-to-text:t;">
                <w:txbxContent>
                  <w:p w14:paraId="0B7F4AFE">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DE1C3">
    <w:pPr>
      <w:pStyle w:val="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2DB27D">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VjYGJ2wEAAMEDAAAOAAAAAAAAAAEA&#10;IAAAAB4BAABkcnMvZTJvRG9jLnhtbFBLBQYAAAAABgAGAFkBAABrBQAAAAA=&#10;">
              <v:fill on="f" focussize="0,0"/>
              <v:stroke on="f"/>
              <v:imagedata o:title=""/>
              <o:lock v:ext="edit" aspectratio="f"/>
              <v:textbox inset="0mm,0mm,0mm,0mm" style="mso-fit-shape-to-text:t;">
                <w:txbxContent>
                  <w:p w14:paraId="4C2DB27D">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C2AF">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88BD35">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4i5T52wEAAMADAAAOAAAAAAAAAAEA&#10;IAAAAB4BAABkcnMvZTJvRG9jLnhtbFBLBQYAAAAABgAGAFkBAABrBQAAAAA=&#10;">
              <v:fill on="f" focussize="0,0"/>
              <v:stroke on="f"/>
              <v:imagedata o:title=""/>
              <o:lock v:ext="edit" aspectratio="f"/>
              <v:textbox inset="0mm,0mm,0mm,0mm" style="mso-fit-shape-to-text:t;">
                <w:txbxContent>
                  <w:p w14:paraId="6F88BD35">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1BE40B3">
                          <w:pPr>
                            <w:pStyle w:val="9"/>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l&#10;2TgN7AEAANYDAAAOAAAAAAAAAAEAIAAAACIBAABkcnMvZTJvRG9jLnhtbFBLBQYAAAAABgAGAFkB&#10;AACABQAAAAA=&#10;">
              <v:fill on="f" focussize="0,0"/>
              <v:stroke on="f" weight="1.25pt"/>
              <v:imagedata o:title=""/>
              <o:lock v:ext="edit" aspectratio="f"/>
              <v:textbox inset="0mm,0mm,0mm,0mm" style="mso-fit-shape-to-text:t;">
                <w:txbxContent>
                  <w:p w14:paraId="21BE40B3">
                    <w:pPr>
                      <w:pStyle w:val="9"/>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DDAA7">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D57D0C">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ZCIxBdwBAADAAwAADgAAAAAAAAAB&#10;ACAAAAAeAQAAZHJzL2Uyb0RvYy54bWxQSwUGAAAAAAYABgBZAQAAbAUAAAAA&#10;">
              <v:fill on="f" focussize="0,0"/>
              <v:stroke on="f"/>
              <v:imagedata o:title=""/>
              <o:lock v:ext="edit" aspectratio="f"/>
              <v:textbox inset="0mm,0mm,0mm,0mm" style="mso-fit-shape-to-text:t;">
                <w:txbxContent>
                  <w:p w14:paraId="5CD57D0C">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447ADC6">
                          <w:pPr>
                            <w:pStyle w:val="9"/>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Rt9Mg+0BAADWAwAADgAAAAAAAAABACAAAAAiAQAAZHJzL2Uyb0RvYy54bWxQSwUGAAAAAAYABgBZ&#10;AQAAgQUAAAAA&#10;">
              <v:fill on="f" focussize="0,0"/>
              <v:stroke on="f" weight="1.25pt"/>
              <v:imagedata o:title=""/>
              <o:lock v:ext="edit" aspectratio="f"/>
              <v:textbox inset="0mm,0mm,0mm,0mm" style="mso-fit-shape-to-text:t;">
                <w:txbxContent>
                  <w:p w14:paraId="5447ADC6">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F33EE">
    <w:pPr>
      <w:pStyle w:val="10"/>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079B">
    <w:pPr>
      <w:pStyle w:val="10"/>
      <w:pBdr>
        <w:bottom w:val="none" w:color="auto" w:sz="0" w:space="0"/>
      </w:pBdr>
      <w:jc w:val="both"/>
      <w:rPr>
        <w:sz w:val="21"/>
        <w:szCs w:val="21"/>
      </w:rPr>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52C99">
    <w:pPr>
      <w:pStyle w:val="10"/>
      <w:pBdr>
        <w:bottom w:val="none" w:color="auto" w:sz="0" w:space="0"/>
      </w:pBdr>
      <w:jc w:val="left"/>
    </w:pPr>
    <w:r>
      <w:rPr>
        <w:rFonts w:hint="eastAsia" w:ascii="宋体" w:hAnsi="宋体"/>
        <w:b/>
        <w:sz w:val="21"/>
        <w:szCs w:val="21"/>
        <w:u w:val="single"/>
        <w:shd w:val="pct10" w:color="auto" w:fill="FFFFFF"/>
      </w:rPr>
      <w:t>福建省宏瑞招标代理有限公司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29CD8">
    <w:pPr>
      <w:pStyle w:val="10"/>
      <w:pBdr>
        <w:bottom w:val="none" w:color="auto" w:sz="0" w:space="0"/>
      </w:pBdr>
      <w:jc w:val="left"/>
    </w:pPr>
    <w:r>
      <w:rPr>
        <w:rFonts w:hint="eastAsia" w:ascii="宋体" w:hAnsi="宋体"/>
        <w:b/>
        <w:sz w:val="21"/>
        <w:szCs w:val="21"/>
        <w:u w:val="single"/>
        <w:shd w:val="pct10" w:color="auto" w:fill="FFFFFF"/>
      </w:rPr>
      <w:t>福建省宏瑞招标代理有限公司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C3740"/>
    <w:multiLevelType w:val="singleLevel"/>
    <w:tmpl w:val="8CCC3740"/>
    <w:lvl w:ilvl="0" w:tentative="0">
      <w:start w:val="1"/>
      <w:numFmt w:val="decimal"/>
      <w:lvlText w:val="(%1)"/>
      <w:lvlJc w:val="left"/>
      <w:pPr>
        <w:ind w:left="425" w:hanging="425"/>
      </w:pPr>
      <w:rPr>
        <w:rFonts w:hint="default"/>
      </w:rPr>
    </w:lvl>
  </w:abstractNum>
  <w:abstractNum w:abstractNumId="1">
    <w:nsid w:val="A4F0EB95"/>
    <w:multiLevelType w:val="singleLevel"/>
    <w:tmpl w:val="A4F0EB95"/>
    <w:lvl w:ilvl="0" w:tentative="0">
      <w:start w:val="1"/>
      <w:numFmt w:val="decimal"/>
      <w:lvlText w:val="(%1)"/>
      <w:lvlJc w:val="left"/>
      <w:pPr>
        <w:ind w:left="425" w:hanging="425"/>
      </w:pPr>
      <w:rPr>
        <w:rFonts w:hint="default"/>
      </w:rPr>
    </w:lvl>
  </w:abstractNum>
  <w:abstractNum w:abstractNumId="2">
    <w:nsid w:val="A72DB099"/>
    <w:multiLevelType w:val="singleLevel"/>
    <w:tmpl w:val="A72DB099"/>
    <w:lvl w:ilvl="0" w:tentative="0">
      <w:start w:val="7"/>
      <w:numFmt w:val="decimal"/>
      <w:lvlText w:val="%1."/>
      <w:lvlJc w:val="left"/>
      <w:pPr>
        <w:tabs>
          <w:tab w:val="left" w:pos="312"/>
        </w:tabs>
      </w:pPr>
    </w:lvl>
  </w:abstractNum>
  <w:abstractNum w:abstractNumId="3">
    <w:nsid w:val="AD0B9F71"/>
    <w:multiLevelType w:val="singleLevel"/>
    <w:tmpl w:val="AD0B9F71"/>
    <w:lvl w:ilvl="0" w:tentative="0">
      <w:start w:val="1"/>
      <w:numFmt w:val="decimal"/>
      <w:lvlText w:val="%1."/>
      <w:lvlJc w:val="left"/>
      <w:pPr>
        <w:tabs>
          <w:tab w:val="left" w:pos="312"/>
        </w:tabs>
      </w:pPr>
    </w:lvl>
  </w:abstractNum>
  <w:abstractNum w:abstractNumId="4">
    <w:nsid w:val="D1B789BF"/>
    <w:multiLevelType w:val="singleLevel"/>
    <w:tmpl w:val="D1B789BF"/>
    <w:lvl w:ilvl="0" w:tentative="0">
      <w:start w:val="1"/>
      <w:numFmt w:val="decimal"/>
      <w:lvlText w:val="(%1)"/>
      <w:lvlJc w:val="left"/>
      <w:pPr>
        <w:ind w:left="425" w:hanging="425"/>
      </w:pPr>
      <w:rPr>
        <w:rFonts w:hint="default"/>
      </w:rPr>
    </w:lvl>
  </w:abstractNum>
  <w:abstractNum w:abstractNumId="5">
    <w:nsid w:val="F08297C0"/>
    <w:multiLevelType w:val="singleLevel"/>
    <w:tmpl w:val="F08297C0"/>
    <w:lvl w:ilvl="0" w:tentative="0">
      <w:start w:val="9"/>
      <w:numFmt w:val="decimal"/>
      <w:lvlText w:val="%1."/>
      <w:lvlJc w:val="left"/>
      <w:pPr>
        <w:tabs>
          <w:tab w:val="left" w:pos="312"/>
        </w:tabs>
      </w:pPr>
    </w:lvl>
  </w:abstractNum>
  <w:abstractNum w:abstractNumId="6">
    <w:nsid w:val="FCAC8C9B"/>
    <w:multiLevelType w:val="singleLevel"/>
    <w:tmpl w:val="FCAC8C9B"/>
    <w:lvl w:ilvl="0" w:tentative="0">
      <w:start w:val="7"/>
      <w:numFmt w:val="decimal"/>
      <w:suff w:val="nothing"/>
      <w:lvlText w:val="%1、"/>
      <w:lvlJc w:val="left"/>
    </w:lvl>
  </w:abstractNum>
  <w:abstractNum w:abstractNumId="7">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F"/>
    <w:multiLevelType w:val="multilevel"/>
    <w:tmpl w:val="0000000F"/>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33"/>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11C4CA87"/>
    <w:multiLevelType w:val="singleLevel"/>
    <w:tmpl w:val="11C4CA87"/>
    <w:lvl w:ilvl="0" w:tentative="0">
      <w:start w:val="1"/>
      <w:numFmt w:val="decimal"/>
      <w:lvlText w:val="(%1)"/>
      <w:lvlJc w:val="left"/>
      <w:pPr>
        <w:ind w:left="425" w:hanging="425"/>
      </w:pPr>
      <w:rPr>
        <w:rFonts w:hint="default"/>
      </w:rPr>
    </w:lvl>
  </w:abstractNum>
  <w:abstractNum w:abstractNumId="10">
    <w:nsid w:val="1490BEAF"/>
    <w:multiLevelType w:val="singleLevel"/>
    <w:tmpl w:val="1490BEAF"/>
    <w:lvl w:ilvl="0" w:tentative="0">
      <w:start w:val="6"/>
      <w:numFmt w:val="chineseCounting"/>
      <w:suff w:val="nothing"/>
      <w:lvlText w:val="%1、"/>
      <w:lvlJc w:val="left"/>
      <w:rPr>
        <w:rFonts w:hint="eastAsia"/>
      </w:rPr>
    </w:lvl>
  </w:abstractNum>
  <w:abstractNum w:abstractNumId="11">
    <w:nsid w:val="1739FD81"/>
    <w:multiLevelType w:val="singleLevel"/>
    <w:tmpl w:val="1739FD81"/>
    <w:lvl w:ilvl="0" w:tentative="0">
      <w:start w:val="1"/>
      <w:numFmt w:val="decimal"/>
      <w:lvlText w:val="%1."/>
      <w:lvlJc w:val="left"/>
      <w:pPr>
        <w:tabs>
          <w:tab w:val="left" w:pos="312"/>
        </w:tabs>
      </w:pPr>
    </w:lvl>
  </w:abstractNum>
  <w:abstractNum w:abstractNumId="12">
    <w:nsid w:val="272B13E2"/>
    <w:multiLevelType w:val="singleLevel"/>
    <w:tmpl w:val="272B13E2"/>
    <w:lvl w:ilvl="0" w:tentative="0">
      <w:start w:val="1"/>
      <w:numFmt w:val="decimal"/>
      <w:lvlText w:val="(%1)"/>
      <w:lvlJc w:val="left"/>
      <w:pPr>
        <w:ind w:left="425" w:hanging="425"/>
      </w:pPr>
      <w:rPr>
        <w:rFonts w:hint="default"/>
      </w:rPr>
    </w:lvl>
  </w:abstractNum>
  <w:abstractNum w:abstractNumId="13">
    <w:nsid w:val="3A827E25"/>
    <w:multiLevelType w:val="singleLevel"/>
    <w:tmpl w:val="3A827E25"/>
    <w:lvl w:ilvl="0" w:tentative="0">
      <w:start w:val="1"/>
      <w:numFmt w:val="chineseCounting"/>
      <w:suff w:val="space"/>
      <w:lvlText w:val="第%1章"/>
      <w:lvlJc w:val="left"/>
      <w:pPr>
        <w:tabs>
          <w:tab w:val="left" w:pos="0"/>
        </w:tabs>
      </w:pPr>
      <w:rPr>
        <w:rFonts w:hint="eastAsia"/>
      </w:rPr>
    </w:lvl>
  </w:abstractNum>
  <w:abstractNum w:abstractNumId="14">
    <w:nsid w:val="5A02358D"/>
    <w:multiLevelType w:val="multilevel"/>
    <w:tmpl w:val="5A02358D"/>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6128A23"/>
    <w:multiLevelType w:val="singleLevel"/>
    <w:tmpl w:val="66128A23"/>
    <w:lvl w:ilvl="0" w:tentative="0">
      <w:start w:val="1"/>
      <w:numFmt w:val="decimal"/>
      <w:lvlText w:val="(%1)"/>
      <w:lvlJc w:val="left"/>
      <w:pPr>
        <w:ind w:left="425" w:hanging="425"/>
      </w:pPr>
      <w:rPr>
        <w:rFonts w:hint="default"/>
      </w:rPr>
    </w:lvl>
  </w:abstractNum>
  <w:abstractNum w:abstractNumId="16">
    <w:nsid w:val="6CB0D59D"/>
    <w:multiLevelType w:val="singleLevel"/>
    <w:tmpl w:val="6CB0D59D"/>
    <w:lvl w:ilvl="0" w:tentative="0">
      <w:start w:val="1"/>
      <w:numFmt w:val="decimal"/>
      <w:lvlText w:val="(%1)"/>
      <w:lvlJc w:val="left"/>
      <w:pPr>
        <w:ind w:left="425" w:hanging="425"/>
      </w:pPr>
      <w:rPr>
        <w:rFonts w:hint="default"/>
      </w:rPr>
    </w:lvl>
  </w:abstractNum>
  <w:abstractNum w:abstractNumId="17">
    <w:nsid w:val="7102F4D3"/>
    <w:multiLevelType w:val="singleLevel"/>
    <w:tmpl w:val="7102F4D3"/>
    <w:lvl w:ilvl="0" w:tentative="0">
      <w:start w:val="1"/>
      <w:numFmt w:val="decimal"/>
      <w:lvlText w:val="(%1)"/>
      <w:lvlJc w:val="left"/>
      <w:pPr>
        <w:ind w:left="425" w:hanging="425"/>
      </w:pPr>
      <w:rPr>
        <w:rFonts w:hint="default"/>
      </w:rPr>
    </w:lvl>
  </w:abstractNum>
  <w:num w:numId="1">
    <w:abstractNumId w:val="8"/>
  </w:num>
  <w:num w:numId="2">
    <w:abstractNumId w:val="13"/>
  </w:num>
  <w:num w:numId="3">
    <w:abstractNumId w:val="7"/>
  </w:num>
  <w:num w:numId="4">
    <w:abstractNumId w:val="3"/>
  </w:num>
  <w:num w:numId="5">
    <w:abstractNumId w:val="10"/>
  </w:num>
  <w:num w:numId="6">
    <w:abstractNumId w:val="0"/>
  </w:num>
  <w:num w:numId="7">
    <w:abstractNumId w:val="12"/>
  </w:num>
  <w:num w:numId="8">
    <w:abstractNumId w:val="16"/>
  </w:num>
  <w:num w:numId="9">
    <w:abstractNumId w:val="4"/>
  </w:num>
  <w:num w:numId="10">
    <w:abstractNumId w:val="1"/>
  </w:num>
  <w:num w:numId="11">
    <w:abstractNumId w:val="15"/>
  </w:num>
  <w:num w:numId="12">
    <w:abstractNumId w:val="17"/>
  </w:num>
  <w:num w:numId="13">
    <w:abstractNumId w:val="9"/>
  </w:num>
  <w:num w:numId="14">
    <w:abstractNumId w:val="14"/>
  </w:num>
  <w:num w:numId="15">
    <w:abstractNumId w:val="5"/>
  </w:num>
  <w:num w:numId="16">
    <w:abstractNumId w:val="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jg2ZDE5NDEwMjgyM2Y3ZTQ0OTA5ZjQ1ZDEyMzIifQ=="/>
  </w:docVars>
  <w:rsids>
    <w:rsidRoot w:val="00000000"/>
    <w:rsid w:val="014C6B51"/>
    <w:rsid w:val="02F01723"/>
    <w:rsid w:val="03C31AFA"/>
    <w:rsid w:val="044A3BC4"/>
    <w:rsid w:val="05B9677F"/>
    <w:rsid w:val="079C3C62"/>
    <w:rsid w:val="07DC15D4"/>
    <w:rsid w:val="07E6418E"/>
    <w:rsid w:val="0A482F46"/>
    <w:rsid w:val="0AA96DC2"/>
    <w:rsid w:val="0DE360D5"/>
    <w:rsid w:val="0E811E04"/>
    <w:rsid w:val="0F104570"/>
    <w:rsid w:val="107D3D12"/>
    <w:rsid w:val="10E81EF1"/>
    <w:rsid w:val="117B6FDE"/>
    <w:rsid w:val="12310778"/>
    <w:rsid w:val="12BB2FD1"/>
    <w:rsid w:val="15091A66"/>
    <w:rsid w:val="15D635F1"/>
    <w:rsid w:val="17576166"/>
    <w:rsid w:val="178A7F7B"/>
    <w:rsid w:val="17976868"/>
    <w:rsid w:val="1AB02B31"/>
    <w:rsid w:val="1B2279AD"/>
    <w:rsid w:val="1B577A36"/>
    <w:rsid w:val="1BEF2D2A"/>
    <w:rsid w:val="1F7A08D5"/>
    <w:rsid w:val="20834438"/>
    <w:rsid w:val="212566A8"/>
    <w:rsid w:val="25637F0D"/>
    <w:rsid w:val="2593449F"/>
    <w:rsid w:val="25A72EFE"/>
    <w:rsid w:val="26231C3E"/>
    <w:rsid w:val="262A4E03"/>
    <w:rsid w:val="27005865"/>
    <w:rsid w:val="27C546B8"/>
    <w:rsid w:val="27DC037F"/>
    <w:rsid w:val="28AF6D12"/>
    <w:rsid w:val="2B8A6344"/>
    <w:rsid w:val="2C3C5B7C"/>
    <w:rsid w:val="2C770676"/>
    <w:rsid w:val="2D1B6D3F"/>
    <w:rsid w:val="2D653F6E"/>
    <w:rsid w:val="2FCB20A8"/>
    <w:rsid w:val="30915A7F"/>
    <w:rsid w:val="31014858"/>
    <w:rsid w:val="31F44517"/>
    <w:rsid w:val="34A27DD1"/>
    <w:rsid w:val="354748F9"/>
    <w:rsid w:val="36054F45"/>
    <w:rsid w:val="36056CF3"/>
    <w:rsid w:val="369D4D62"/>
    <w:rsid w:val="36BE6EA2"/>
    <w:rsid w:val="383624E6"/>
    <w:rsid w:val="39202096"/>
    <w:rsid w:val="39627FB8"/>
    <w:rsid w:val="39C26CA9"/>
    <w:rsid w:val="3A126E39"/>
    <w:rsid w:val="3A627863"/>
    <w:rsid w:val="3D6C1020"/>
    <w:rsid w:val="3D914A71"/>
    <w:rsid w:val="3E5208B0"/>
    <w:rsid w:val="3EC51715"/>
    <w:rsid w:val="3EEE6D88"/>
    <w:rsid w:val="40890521"/>
    <w:rsid w:val="40E51BFB"/>
    <w:rsid w:val="425414F0"/>
    <w:rsid w:val="43197979"/>
    <w:rsid w:val="448B5FA0"/>
    <w:rsid w:val="48A20C1E"/>
    <w:rsid w:val="4B840262"/>
    <w:rsid w:val="4E1753BE"/>
    <w:rsid w:val="502838B2"/>
    <w:rsid w:val="5293741B"/>
    <w:rsid w:val="52BE04FE"/>
    <w:rsid w:val="53D53D51"/>
    <w:rsid w:val="53E421E6"/>
    <w:rsid w:val="549E05E7"/>
    <w:rsid w:val="55B81234"/>
    <w:rsid w:val="574D25BF"/>
    <w:rsid w:val="58190463"/>
    <w:rsid w:val="59AE559E"/>
    <w:rsid w:val="5A473648"/>
    <w:rsid w:val="5A4A08C9"/>
    <w:rsid w:val="5BAA15FC"/>
    <w:rsid w:val="5CA651D6"/>
    <w:rsid w:val="5F2D33BC"/>
    <w:rsid w:val="61695AD8"/>
    <w:rsid w:val="63293771"/>
    <w:rsid w:val="63365E8E"/>
    <w:rsid w:val="63612A8E"/>
    <w:rsid w:val="64202DC6"/>
    <w:rsid w:val="64833355"/>
    <w:rsid w:val="68D128E1"/>
    <w:rsid w:val="69470DF5"/>
    <w:rsid w:val="69B02E08"/>
    <w:rsid w:val="6AFD6E95"/>
    <w:rsid w:val="6CF90658"/>
    <w:rsid w:val="6D4F2026"/>
    <w:rsid w:val="722D66AE"/>
    <w:rsid w:val="73B726D3"/>
    <w:rsid w:val="753366D1"/>
    <w:rsid w:val="76A10761"/>
    <w:rsid w:val="77242776"/>
    <w:rsid w:val="77FF38E2"/>
    <w:rsid w:val="794269D6"/>
    <w:rsid w:val="797F465B"/>
    <w:rsid w:val="79E1494E"/>
    <w:rsid w:val="7A1F66E8"/>
    <w:rsid w:val="7B340AAD"/>
    <w:rsid w:val="7DEC566F"/>
    <w:rsid w:val="7E413C0D"/>
    <w:rsid w:val="7EC31B26"/>
    <w:rsid w:val="7F7F2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alloon Text"/>
    <w:basedOn w:val="1"/>
    <w:next w:val="1"/>
    <w:autoRedefine/>
    <w:qFormat/>
    <w:uiPriority w:val="0"/>
    <w:rPr>
      <w:rFonts w:eastAsia="Times New Roman"/>
      <w:sz w:val="18"/>
      <w:szCs w:val="18"/>
    </w:r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autoRedefine/>
    <w:qFormat/>
    <w:uiPriority w:val="0"/>
    <w:rPr>
      <w:rFonts w:ascii="黑体" w:hAnsi="Courier New" w:eastAsia="黑体"/>
      <w:sz w:val="30"/>
      <w:shd w:val="pct10" w:color="auto" w:fill="FFFFFF"/>
    </w:rPr>
  </w:style>
  <w:style w:type="paragraph" w:styleId="7">
    <w:name w:val="Body Text Indent"/>
    <w:basedOn w:val="1"/>
    <w:autoRedefine/>
    <w:qFormat/>
    <w:uiPriority w:val="0"/>
    <w:pPr>
      <w:spacing w:line="720" w:lineRule="exact"/>
      <w:ind w:firstLine="601"/>
    </w:pPr>
    <w:rPr>
      <w:rFonts w:ascii="宋体" w:hAnsi="宋体"/>
      <w:sz w:val="24"/>
    </w:r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6"/>
    <w:autoRedefine/>
    <w:qFormat/>
    <w:uiPriority w:val="0"/>
    <w:pPr>
      <w:ind w:firstLine="420" w:firstLineChars="100"/>
    </w:pPr>
  </w:style>
  <w:style w:type="paragraph" w:styleId="13">
    <w:name w:val="Body Text First Indent 2"/>
    <w:basedOn w:val="7"/>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Emphasis"/>
    <w:basedOn w:val="16"/>
    <w:autoRedefine/>
    <w:qFormat/>
    <w:uiPriority w:val="0"/>
    <w:rPr>
      <w:i/>
    </w:rPr>
  </w:style>
  <w:style w:type="character" w:styleId="19">
    <w:name w:val="Hyperlink"/>
    <w:autoRedefine/>
    <w:qFormat/>
    <w:uiPriority w:val="99"/>
    <w:rPr>
      <w:color w:val="0000FF"/>
      <w:u w:val="single"/>
    </w:rPr>
  </w:style>
  <w:style w:type="paragraph" w:customStyle="1" w:styleId="20">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Fließtext2"/>
    <w:basedOn w:val="1"/>
    <w:autoRedefine/>
    <w:qFormat/>
    <w:uiPriority w:val="0"/>
    <w:pPr>
      <w:overflowPunct w:val="0"/>
      <w:autoSpaceDE w:val="0"/>
      <w:autoSpaceDN w:val="0"/>
      <w:adjustRightInd w:val="0"/>
      <w:textAlignment w:val="baseline"/>
    </w:pPr>
    <w:rPr>
      <w:kern w:val="28"/>
      <w:szCs w:val="20"/>
    </w:rPr>
  </w:style>
  <w:style w:type="character" w:customStyle="1" w:styleId="22">
    <w:name w:val="font11"/>
    <w:basedOn w:val="16"/>
    <w:autoRedefine/>
    <w:qFormat/>
    <w:uiPriority w:val="0"/>
    <w:rPr>
      <w:rFonts w:hint="eastAsia" w:ascii="宋体" w:hAnsi="宋体" w:eastAsia="宋体" w:cs="宋体"/>
      <w:color w:val="000000"/>
      <w:sz w:val="21"/>
      <w:szCs w:val="21"/>
      <w:u w:val="none"/>
    </w:rPr>
  </w:style>
  <w:style w:type="paragraph" w:customStyle="1" w:styleId="23">
    <w:name w:val="样式3"/>
    <w:basedOn w:val="8"/>
    <w:autoRedefine/>
    <w:qFormat/>
    <w:uiPriority w:val="0"/>
    <w:pPr>
      <w:spacing w:line="0" w:lineRule="atLeast"/>
      <w:outlineLvl w:val="0"/>
    </w:pPr>
    <w:rPr>
      <w:sz w:val="28"/>
      <w:szCs w:val="24"/>
    </w:rPr>
  </w:style>
  <w:style w:type="character" w:customStyle="1" w:styleId="24">
    <w:name w:val="NormalCharacter"/>
    <w:autoRedefine/>
    <w:semiHidden/>
    <w:qFormat/>
    <w:uiPriority w:val="0"/>
  </w:style>
  <w:style w:type="paragraph" w:customStyle="1" w:styleId="25">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2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7">
    <w:name w:val="List Paragraph"/>
    <w:basedOn w:val="1"/>
    <w:autoRedefine/>
    <w:qFormat/>
    <w:uiPriority w:val="34"/>
    <w:pPr>
      <w:ind w:firstLine="420" w:firstLineChars="200"/>
      <w:jc w:val="left"/>
    </w:pPr>
    <w:rPr>
      <w:rFonts w:ascii="Calibri" w:hAnsi="Calibri" w:eastAsia="Calibri"/>
      <w:kern w:val="0"/>
      <w:sz w:val="22"/>
      <w:szCs w:val="22"/>
      <w:lang w:eastAsia="en-US"/>
    </w:rPr>
  </w:style>
  <w:style w:type="paragraph" w:customStyle="1" w:styleId="28">
    <w:name w:val="my正文"/>
    <w:basedOn w:val="1"/>
    <w:autoRedefine/>
    <w:qFormat/>
    <w:uiPriority w:val="0"/>
    <w:pPr>
      <w:ind w:firstLine="480"/>
    </w:pPr>
  </w:style>
  <w:style w:type="paragraph" w:customStyle="1" w:styleId="29">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0">
    <w:name w:val="15"/>
    <w:basedOn w:val="16"/>
    <w:autoRedefine/>
    <w:qFormat/>
    <w:uiPriority w:val="0"/>
    <w:rPr>
      <w:rFonts w:hint="default" w:ascii="Times New Roman" w:hAnsi="Times New Roman" w:cs="Times New Roman"/>
      <w:b/>
    </w:rPr>
  </w:style>
  <w:style w:type="paragraph" w:customStyle="1" w:styleId="31">
    <w:name w:val="文档正文"/>
    <w:basedOn w:val="1"/>
    <w:autoRedefine/>
    <w:qFormat/>
    <w:uiPriority w:val="0"/>
    <w:pPr>
      <w:ind w:firstLine="482"/>
    </w:pPr>
  </w:style>
  <w:style w:type="paragraph" w:customStyle="1" w:styleId="32">
    <w:name w:val="标准"/>
    <w:basedOn w:val="1"/>
    <w:autoRedefine/>
    <w:qFormat/>
    <w:uiPriority w:val="0"/>
    <w:pPr>
      <w:spacing w:line="360" w:lineRule="auto"/>
      <w:ind w:firstLine="200" w:firstLineChars="200"/>
    </w:pPr>
    <w:rPr>
      <w:rFonts w:cs="宋体"/>
      <w:szCs w:val="20"/>
    </w:rPr>
  </w:style>
  <w:style w:type="paragraph" w:customStyle="1" w:styleId="33">
    <w:name w:val="标3"/>
    <w:basedOn w:val="1"/>
    <w:autoRedefine/>
    <w:qFormat/>
    <w:uiPriority w:val="0"/>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34">
    <w:name w:val="BodyText"/>
    <w:basedOn w:val="1"/>
    <w:next w:val="1"/>
    <w:autoRedefine/>
    <w:qFormat/>
    <w:uiPriority w:val="0"/>
    <w:pPr>
      <w:spacing w:after="120"/>
      <w:textAlignment w:val="baseline"/>
    </w:pPr>
    <w:rPr>
      <w:rFonts w:ascii="Calibri" w:hAnsi="Calibri"/>
      <w:szCs w:val="21"/>
    </w:rPr>
  </w:style>
  <w:style w:type="paragraph" w:customStyle="1" w:styleId="35">
    <w:name w:val="Body Text First Indent1"/>
    <w:basedOn w:val="6"/>
    <w:autoRedefine/>
    <w:qFormat/>
    <w:uiPriority w:val="0"/>
    <w:pPr>
      <w:ind w:firstLine="420" w:firstLineChars="100"/>
    </w:pPr>
  </w:style>
  <w:style w:type="paragraph" w:customStyle="1" w:styleId="36">
    <w:name w:val="表格文字"/>
    <w:basedOn w:val="1"/>
    <w:next w:val="6"/>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21331</Words>
  <Characters>22319</Characters>
  <Lines>0</Lines>
  <Paragraphs>0</Paragraphs>
  <TotalTime>0</TotalTime>
  <ScaleCrop>false</ScaleCrop>
  <LinksUpToDate>false</LinksUpToDate>
  <CharactersWithSpaces>22707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2024-01-15T15:28:00Z</dcterms:created>
  <dc:creator>thinkingho</dc:creator>
  <cp:lastModifiedBy>阿郑</cp:lastModifiedBy>
  <cp:lastPrinted>2024-01-30T07:34:00Z</cp:lastPrinted>
  <dcterms:modified xsi:type="dcterms:W3CDTF">2025-08-01T00:42:05Z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8C57741022E241B79DB5353965317AE4_13</vt:lpwstr>
  </property>
  <property fmtid="{D5CDD505-2E9C-101B-9397-08002B2CF9AE}" pid="4" name="KSOTemplateDocerSaveRecord">
    <vt:lpwstr>eyJoZGlkIjoiODM0YzQzMGFjMjUzMGYwODMwZjhmZTEzMTA0N2U0NTciLCJ1c2VySWQiOiI0Nzg4MDI0NDMifQ==</vt:lpwstr>
  </property>
</Properties>
</file>