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2E4A1">
      <w:pPr>
        <w:pStyle w:val="8"/>
        <w:spacing w:line="319" w:lineRule="auto"/>
        <w:rPr>
          <w:rFonts w:hint="eastAsia" w:asciiTheme="minorEastAsia" w:hAnsiTheme="minorEastAsia" w:eastAsiaTheme="minorEastAsia" w:cstheme="minorEastAsia"/>
          <w:color w:val="000000" w:themeColor="text1"/>
        </w:rPr>
      </w:pPr>
    </w:p>
    <w:p w14:paraId="1ECB65B0">
      <w:pPr>
        <w:pStyle w:val="8"/>
        <w:spacing w:line="320" w:lineRule="auto"/>
        <w:rPr>
          <w:rFonts w:hint="eastAsia" w:asciiTheme="minorEastAsia" w:hAnsiTheme="minorEastAsia" w:eastAsiaTheme="minorEastAsia" w:cstheme="minorEastAsia"/>
          <w:color w:val="000000" w:themeColor="text1"/>
        </w:rPr>
      </w:pPr>
    </w:p>
    <w:p w14:paraId="2ED83C47">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sz w:val="84"/>
          <w:szCs w:val="84"/>
          <w:lang w:eastAsia="zh-CN"/>
        </w:rPr>
      </w:pPr>
      <w:r>
        <w:rPr>
          <w:rStyle w:val="19"/>
          <w:rFonts w:hint="eastAsia" w:asciiTheme="minorEastAsia" w:hAnsiTheme="minorEastAsia" w:eastAsiaTheme="minorEastAsia" w:cstheme="minorEastAsia"/>
          <w:color w:val="000000" w:themeColor="text1"/>
          <w:sz w:val="84"/>
          <w:szCs w:val="84"/>
          <w:lang w:eastAsia="zh-CN"/>
        </w:rPr>
        <w:t>货物和服务项目</w:t>
      </w:r>
    </w:p>
    <w:p w14:paraId="5703FFBC">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sz w:val="84"/>
          <w:szCs w:val="84"/>
          <w:lang w:eastAsia="zh-CN"/>
        </w:rPr>
      </w:pPr>
      <w:r>
        <w:rPr>
          <w:rStyle w:val="19"/>
          <w:rFonts w:hint="eastAsia" w:asciiTheme="minorEastAsia" w:hAnsiTheme="minorEastAsia" w:eastAsiaTheme="minorEastAsia" w:cstheme="minorEastAsia"/>
          <w:color w:val="000000" w:themeColor="text1"/>
          <w:sz w:val="84"/>
          <w:szCs w:val="84"/>
          <w:lang w:eastAsia="zh-CN"/>
        </w:rPr>
        <w:t>公开招标文件</w:t>
      </w:r>
    </w:p>
    <w:p w14:paraId="3DC3372C">
      <w:pPr>
        <w:pStyle w:val="15"/>
        <w:spacing w:before="59" w:beforeAutospacing="0" w:after="59" w:afterAutospacing="0"/>
        <w:jc w:val="cente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z w:val="19"/>
          <w:szCs w:val="19"/>
          <w:lang w:eastAsia="zh-CN"/>
        </w:rPr>
        <w:t> </w:t>
      </w:r>
    </w:p>
    <w:p w14:paraId="5D986D61">
      <w:pPr>
        <w:pStyle w:val="15"/>
        <w:spacing w:before="59" w:beforeAutospacing="0" w:after="59" w:afterAutospacing="0"/>
        <w:jc w:val="center"/>
        <w:rPr>
          <w:rFonts w:hint="eastAsia" w:asciiTheme="minorEastAsia" w:hAnsiTheme="minorEastAsia" w:eastAsiaTheme="minorEastAsia" w:cstheme="minorEastAsia"/>
          <w:b/>
          <w:bCs/>
          <w:color w:val="000000" w:themeColor="text1"/>
          <w:sz w:val="52"/>
          <w:szCs w:val="52"/>
          <w:lang w:eastAsia="zh-CN"/>
        </w:rPr>
      </w:pPr>
      <w:r>
        <w:rPr>
          <w:rFonts w:hint="eastAsia" w:asciiTheme="minorEastAsia" w:hAnsiTheme="minorEastAsia" w:eastAsiaTheme="minorEastAsia" w:cstheme="minorEastAsia"/>
          <w:b/>
          <w:bCs/>
          <w:color w:val="000000" w:themeColor="text1"/>
          <w:sz w:val="52"/>
          <w:szCs w:val="52"/>
          <w:lang w:eastAsia="zh-CN"/>
        </w:rPr>
        <w:t>（征求意见稿）</w:t>
      </w:r>
    </w:p>
    <w:p w14:paraId="59F99CBE">
      <w:pPr>
        <w:pStyle w:val="15"/>
        <w:spacing w:before="59" w:beforeAutospacing="0" w:after="59" w:afterAutospacing="0"/>
        <w:jc w:val="center"/>
        <w:rPr>
          <w:rFonts w:hint="eastAsia" w:asciiTheme="minorEastAsia" w:hAnsiTheme="minorEastAsia" w:eastAsiaTheme="minorEastAsia" w:cstheme="minorEastAsia"/>
          <w:b/>
          <w:bCs/>
          <w:color w:val="000000" w:themeColor="text1"/>
          <w:sz w:val="28"/>
          <w:szCs w:val="28"/>
          <w:lang w:eastAsia="zh-CN"/>
        </w:rPr>
      </w:pPr>
      <w:r>
        <w:rPr>
          <w:rStyle w:val="19"/>
          <w:rFonts w:hint="eastAsia" w:asciiTheme="minorEastAsia" w:hAnsiTheme="minorEastAsia" w:eastAsiaTheme="minorEastAsia" w:cstheme="minorEastAsia"/>
          <w:bCs/>
          <w:color w:val="000000" w:themeColor="text1"/>
          <w:sz w:val="28"/>
          <w:szCs w:val="28"/>
          <w:lang w:eastAsia="zh-CN"/>
        </w:rPr>
        <w:t> </w:t>
      </w:r>
    </w:p>
    <w:p w14:paraId="458FE553">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lang w:eastAsia="zh-CN"/>
        </w:rPr>
      </w:pPr>
    </w:p>
    <w:p w14:paraId="61A3068E">
      <w:pPr>
        <w:pStyle w:val="15"/>
        <w:spacing w:before="59" w:beforeAutospacing="0" w:after="59" w:afterAutospacing="0"/>
        <w:jc w:val="center"/>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 </w:t>
      </w:r>
    </w:p>
    <w:p w14:paraId="68FE5FD4">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sz w:val="32"/>
          <w:szCs w:val="32"/>
          <w:lang w:eastAsia="zh-CN"/>
        </w:rPr>
      </w:pPr>
    </w:p>
    <w:p w14:paraId="3638F9B4">
      <w:pPr>
        <w:pStyle w:val="15"/>
        <w:spacing w:before="59" w:beforeAutospacing="0" w:after="59" w:afterAutospacing="0"/>
        <w:jc w:val="center"/>
        <w:rPr>
          <w:rFonts w:hint="eastAsia" w:asciiTheme="minorEastAsia" w:hAnsiTheme="minorEastAsia" w:eastAsiaTheme="minorEastAsia" w:cstheme="minorEastAsia"/>
          <w:b/>
          <w:bCs/>
          <w:color w:val="000000" w:themeColor="text1"/>
          <w:sz w:val="32"/>
          <w:szCs w:val="32"/>
          <w:u w:val="single"/>
          <w:lang w:eastAsia="zh-CN"/>
        </w:rPr>
      </w:pPr>
      <w:r>
        <w:rPr>
          <w:rStyle w:val="19"/>
          <w:rFonts w:hint="eastAsia" w:asciiTheme="minorEastAsia" w:hAnsiTheme="minorEastAsia" w:eastAsiaTheme="minorEastAsia" w:cstheme="minorEastAsia"/>
          <w:color w:val="000000" w:themeColor="text1"/>
          <w:sz w:val="32"/>
          <w:szCs w:val="32"/>
          <w:lang w:eastAsia="zh-CN"/>
        </w:rPr>
        <w:t>项目名称：</w:t>
      </w:r>
      <w:r>
        <w:rPr>
          <w:rStyle w:val="19"/>
          <w:rFonts w:hint="eastAsia" w:asciiTheme="minorEastAsia" w:hAnsiTheme="minorEastAsia" w:eastAsiaTheme="minorEastAsia" w:cstheme="minorEastAsia"/>
          <w:bCs/>
          <w:color w:val="000000" w:themeColor="text1"/>
          <w:sz w:val="32"/>
          <w:szCs w:val="32"/>
          <w:u w:val="single"/>
          <w:lang w:eastAsia="zh-CN"/>
        </w:rPr>
        <w:t>泉州升华实业有限公司安全生产应急指挥中心采购项目</w:t>
      </w:r>
    </w:p>
    <w:p w14:paraId="4409AB61">
      <w:pPr>
        <w:pStyle w:val="15"/>
        <w:spacing w:before="59" w:beforeAutospacing="0" w:after="59" w:afterAutospacing="0"/>
        <w:jc w:val="center"/>
        <w:rPr>
          <w:rStyle w:val="19"/>
          <w:rFonts w:hint="eastAsia" w:asciiTheme="minorEastAsia" w:hAnsiTheme="minorEastAsia" w:eastAsiaTheme="minorEastAsia" w:cstheme="minorEastAsia"/>
          <w:b w:val="0"/>
          <w:bCs/>
          <w:color w:val="000000" w:themeColor="text1"/>
          <w:sz w:val="32"/>
          <w:szCs w:val="32"/>
          <w:u w:val="single"/>
          <w:lang w:eastAsia="zh-CN"/>
        </w:rPr>
      </w:pPr>
      <w:r>
        <w:rPr>
          <w:rStyle w:val="19"/>
          <w:rFonts w:hint="eastAsia" w:asciiTheme="minorEastAsia" w:hAnsiTheme="minorEastAsia" w:eastAsiaTheme="minorEastAsia" w:cstheme="minorEastAsia"/>
          <w:color w:val="000000" w:themeColor="text1"/>
          <w:sz w:val="32"/>
          <w:szCs w:val="32"/>
          <w:lang w:eastAsia="zh-CN"/>
        </w:rPr>
        <w:t>招标编号：</w:t>
      </w:r>
      <w:r>
        <w:rPr>
          <w:rStyle w:val="19"/>
          <w:rFonts w:hint="eastAsia" w:asciiTheme="minorEastAsia" w:hAnsiTheme="minorEastAsia" w:eastAsiaTheme="minorEastAsia" w:cstheme="minorEastAsia"/>
          <w:color w:val="000000" w:themeColor="text1"/>
          <w:sz w:val="32"/>
          <w:szCs w:val="32"/>
          <w:u w:val="single"/>
          <w:lang w:eastAsia="zh-CN"/>
        </w:rPr>
        <w:t>FJSQZB-20240007</w:t>
      </w:r>
    </w:p>
    <w:p w14:paraId="5FF12B56">
      <w:pPr>
        <w:pStyle w:val="15"/>
        <w:spacing w:before="59" w:beforeAutospacing="0" w:after="59" w:afterAutospacing="0"/>
        <w:rPr>
          <w:rFonts w:hint="eastAsia" w:asciiTheme="minorEastAsia" w:hAnsiTheme="minorEastAsia" w:eastAsiaTheme="minorEastAsia" w:cstheme="minorEastAsia"/>
          <w:color w:val="000000" w:themeColor="text1"/>
          <w:sz w:val="32"/>
          <w:szCs w:val="32"/>
          <w:lang w:eastAsia="zh-CN"/>
        </w:rPr>
      </w:pPr>
      <w:r>
        <w:rPr>
          <w:rFonts w:hint="eastAsia" w:asciiTheme="minorEastAsia" w:hAnsiTheme="minorEastAsia" w:eastAsiaTheme="minorEastAsia" w:cstheme="minorEastAsia"/>
          <w:color w:val="000000" w:themeColor="text1"/>
          <w:sz w:val="32"/>
          <w:szCs w:val="32"/>
          <w:lang w:eastAsia="zh-CN"/>
        </w:rPr>
        <w:t> </w:t>
      </w:r>
    </w:p>
    <w:p w14:paraId="56820A10">
      <w:pPr>
        <w:pStyle w:val="22"/>
        <w:widowControl w:val="0"/>
        <w:numPr>
          <w:ilvl w:val="0"/>
          <w:numId w:val="0"/>
        </w:numPr>
        <w:jc w:val="both"/>
        <w:rPr>
          <w:rFonts w:hint="eastAsia" w:asciiTheme="minorEastAsia" w:hAnsiTheme="minorEastAsia" w:eastAsiaTheme="minorEastAsia" w:cstheme="minorEastAsia"/>
          <w:color w:val="000000" w:themeColor="text1"/>
          <w:sz w:val="32"/>
          <w:szCs w:val="32"/>
          <w:lang w:eastAsia="zh-CN"/>
        </w:rPr>
      </w:pPr>
    </w:p>
    <w:p w14:paraId="669F281F">
      <w:pPr>
        <w:pStyle w:val="22"/>
        <w:widowControl w:val="0"/>
        <w:numPr>
          <w:ilvl w:val="0"/>
          <w:numId w:val="0"/>
        </w:numPr>
        <w:jc w:val="both"/>
        <w:rPr>
          <w:rFonts w:hint="eastAsia" w:asciiTheme="minorEastAsia" w:hAnsiTheme="minorEastAsia" w:eastAsiaTheme="minorEastAsia" w:cstheme="minorEastAsia"/>
          <w:color w:val="000000" w:themeColor="text1"/>
          <w:sz w:val="32"/>
          <w:szCs w:val="32"/>
          <w:lang w:eastAsia="zh-CN"/>
        </w:rPr>
      </w:pPr>
    </w:p>
    <w:p w14:paraId="74D90C98">
      <w:pPr>
        <w:pStyle w:val="22"/>
        <w:widowControl w:val="0"/>
        <w:numPr>
          <w:ilvl w:val="0"/>
          <w:numId w:val="0"/>
        </w:numPr>
        <w:jc w:val="both"/>
        <w:rPr>
          <w:rFonts w:hint="eastAsia" w:asciiTheme="minorEastAsia" w:hAnsiTheme="minorEastAsia" w:eastAsiaTheme="minorEastAsia" w:cstheme="minorEastAsia"/>
          <w:color w:val="000000" w:themeColor="text1"/>
          <w:sz w:val="32"/>
          <w:szCs w:val="32"/>
          <w:lang w:eastAsia="zh-CN"/>
        </w:rPr>
      </w:pPr>
    </w:p>
    <w:p w14:paraId="21FA8E36">
      <w:pPr>
        <w:pStyle w:val="22"/>
        <w:widowControl w:val="0"/>
        <w:numPr>
          <w:ilvl w:val="0"/>
          <w:numId w:val="0"/>
        </w:numPr>
        <w:jc w:val="both"/>
        <w:rPr>
          <w:rFonts w:hint="eastAsia" w:asciiTheme="minorEastAsia" w:hAnsiTheme="minorEastAsia" w:eastAsiaTheme="minorEastAsia" w:cstheme="minorEastAsia"/>
          <w:color w:val="000000" w:themeColor="text1"/>
          <w:sz w:val="32"/>
          <w:szCs w:val="32"/>
          <w:lang w:eastAsia="zh-CN"/>
        </w:rPr>
      </w:pPr>
    </w:p>
    <w:p w14:paraId="30C66A6C">
      <w:pPr>
        <w:rPr>
          <w:rFonts w:hint="eastAsia" w:asciiTheme="minorEastAsia" w:hAnsiTheme="minorEastAsia" w:eastAsiaTheme="minorEastAsia" w:cstheme="minorEastAsia"/>
          <w:color w:val="000000" w:themeColor="text1"/>
          <w:sz w:val="32"/>
          <w:szCs w:val="32"/>
          <w:lang w:eastAsia="zh-CN"/>
        </w:rPr>
      </w:pPr>
      <w:r>
        <w:rPr>
          <w:rFonts w:hint="eastAsia" w:asciiTheme="minorEastAsia" w:hAnsiTheme="minorEastAsia" w:eastAsiaTheme="minorEastAsia" w:cstheme="minorEastAsia"/>
          <w:color w:val="000000" w:themeColor="text1"/>
          <w:sz w:val="32"/>
          <w:szCs w:val="32"/>
          <w:lang w:eastAsia="zh-CN"/>
        </w:rPr>
        <w:t> </w:t>
      </w:r>
    </w:p>
    <w:p w14:paraId="20E401F0">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sz w:val="32"/>
          <w:szCs w:val="32"/>
          <w:u w:val="single"/>
          <w:lang w:eastAsia="zh-CN"/>
        </w:rPr>
      </w:pPr>
      <w:r>
        <w:rPr>
          <w:rStyle w:val="19"/>
          <w:rFonts w:hint="eastAsia" w:asciiTheme="minorEastAsia" w:hAnsiTheme="minorEastAsia" w:eastAsiaTheme="minorEastAsia" w:cstheme="minorEastAsia"/>
          <w:color w:val="000000" w:themeColor="text1"/>
          <w:sz w:val="32"/>
          <w:szCs w:val="32"/>
          <w:lang w:eastAsia="zh-CN"/>
        </w:rPr>
        <w:t>招标人：</w:t>
      </w:r>
      <w:r>
        <w:rPr>
          <w:rStyle w:val="19"/>
          <w:rFonts w:hint="eastAsia" w:asciiTheme="minorEastAsia" w:hAnsiTheme="minorEastAsia" w:eastAsiaTheme="minorEastAsia" w:cstheme="minorEastAsia"/>
          <w:color w:val="000000" w:themeColor="text1"/>
          <w:sz w:val="32"/>
          <w:szCs w:val="32"/>
          <w:u w:val="single"/>
          <w:lang w:eastAsia="zh-CN"/>
        </w:rPr>
        <w:t>福建省泉州升华实业有限公司</w:t>
      </w:r>
    </w:p>
    <w:p w14:paraId="55F25C4E">
      <w:pPr>
        <w:pStyle w:val="15"/>
        <w:spacing w:before="59" w:beforeAutospacing="0" w:after="59" w:afterAutospacing="0"/>
        <w:jc w:val="center"/>
        <w:rPr>
          <w:rStyle w:val="19"/>
          <w:rFonts w:hint="eastAsia" w:asciiTheme="minorEastAsia" w:hAnsiTheme="minorEastAsia" w:eastAsiaTheme="minorEastAsia" w:cstheme="minorEastAsia"/>
          <w:color w:val="000000" w:themeColor="text1"/>
          <w:u w:val="single"/>
          <w:lang w:eastAsia="zh-CN"/>
        </w:rPr>
      </w:pPr>
      <w:r>
        <w:rPr>
          <w:rStyle w:val="19"/>
          <w:rFonts w:hint="eastAsia" w:asciiTheme="minorEastAsia" w:hAnsiTheme="minorEastAsia" w:eastAsiaTheme="minorEastAsia" w:cstheme="minorEastAsia"/>
          <w:color w:val="000000" w:themeColor="text1"/>
          <w:sz w:val="32"/>
          <w:szCs w:val="32"/>
          <w:lang w:eastAsia="zh-CN"/>
        </w:rPr>
        <w:t>代理机构：</w:t>
      </w:r>
      <w:r>
        <w:rPr>
          <w:rStyle w:val="19"/>
          <w:rFonts w:hint="eastAsia" w:asciiTheme="minorEastAsia" w:hAnsiTheme="minorEastAsia" w:eastAsiaTheme="minorEastAsia" w:cstheme="minorEastAsia"/>
          <w:color w:val="000000" w:themeColor="text1"/>
          <w:sz w:val="32"/>
          <w:szCs w:val="32"/>
          <w:u w:val="single"/>
          <w:lang w:eastAsia="zh-CN"/>
        </w:rPr>
        <w:t>福建三仟招标有限公司</w:t>
      </w:r>
    </w:p>
    <w:p w14:paraId="25852B85">
      <w:pPr>
        <w:pStyle w:val="15"/>
        <w:spacing w:before="59" w:beforeAutospacing="0" w:after="59" w:afterAutospacing="0" w:line="283" w:lineRule="atLeast"/>
        <w:ind w:right="567"/>
        <w:jc w:val="cente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z w:val="19"/>
          <w:szCs w:val="19"/>
          <w:lang w:eastAsia="zh-CN"/>
        </w:rPr>
        <w:t> </w:t>
      </w:r>
    </w:p>
    <w:p w14:paraId="4752393C">
      <w:pPr>
        <w:pStyle w:val="6"/>
        <w:spacing w:line="700" w:lineRule="exact"/>
        <w:ind w:firstLine="0" w:firstLineChars="0"/>
        <w:jc w:val="center"/>
        <w:rPr>
          <w:rFonts w:hint="eastAsia"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color w:val="000000" w:themeColor="text1"/>
          <w:sz w:val="19"/>
          <w:szCs w:val="19"/>
          <w:lang w:eastAsia="zh-CN"/>
        </w:rPr>
        <w:t> </w:t>
      </w:r>
      <w:r>
        <w:rPr>
          <w:rFonts w:hint="eastAsia" w:asciiTheme="minorEastAsia" w:hAnsiTheme="minorEastAsia" w:eastAsiaTheme="minorEastAsia" w:cstheme="minorEastAsia"/>
          <w:color w:val="000000" w:themeColor="text1"/>
          <w:lang w:eastAsia="zh-CN"/>
        </w:rPr>
        <w:t> </w:t>
      </w:r>
      <w:r>
        <w:rPr>
          <w:rFonts w:hint="eastAsia" w:asciiTheme="minorEastAsia" w:hAnsiTheme="minorEastAsia" w:eastAsiaTheme="minorEastAsia" w:cstheme="minorEastAsia"/>
          <w:b/>
          <w:color w:val="000000" w:themeColor="text1"/>
          <w:sz w:val="36"/>
          <w:szCs w:val="36"/>
        </w:rPr>
        <w:t>二〇二</w:t>
      </w:r>
      <w:r>
        <w:rPr>
          <w:rFonts w:hint="eastAsia" w:asciiTheme="minorEastAsia" w:hAnsiTheme="minorEastAsia" w:eastAsiaTheme="minorEastAsia" w:cstheme="minorEastAsia"/>
          <w:b/>
          <w:color w:val="000000" w:themeColor="text1"/>
          <w:sz w:val="36"/>
          <w:szCs w:val="36"/>
          <w:lang w:eastAsia="zh-CN"/>
        </w:rPr>
        <w:t>四</w:t>
      </w:r>
      <w:r>
        <w:rPr>
          <w:rFonts w:hint="eastAsia" w:asciiTheme="minorEastAsia" w:hAnsiTheme="minorEastAsia" w:eastAsiaTheme="minorEastAsia" w:cstheme="minorEastAsia"/>
          <w:b/>
          <w:color w:val="000000" w:themeColor="text1"/>
          <w:sz w:val="36"/>
          <w:szCs w:val="36"/>
        </w:rPr>
        <w:t>年</w:t>
      </w:r>
      <w:r>
        <w:rPr>
          <w:rFonts w:hint="eastAsia" w:asciiTheme="minorEastAsia" w:hAnsiTheme="minorEastAsia" w:eastAsiaTheme="minorEastAsia" w:cstheme="minorEastAsia"/>
          <w:b/>
          <w:color w:val="000000" w:themeColor="text1"/>
          <w:sz w:val="36"/>
          <w:szCs w:val="36"/>
          <w:lang w:eastAsia="zh-CN"/>
        </w:rPr>
        <w:t>二</w:t>
      </w:r>
      <w:r>
        <w:rPr>
          <w:rFonts w:hint="eastAsia" w:asciiTheme="minorEastAsia" w:hAnsiTheme="minorEastAsia" w:eastAsiaTheme="minorEastAsia" w:cstheme="minorEastAsia"/>
          <w:b/>
          <w:color w:val="000000" w:themeColor="text1"/>
          <w:sz w:val="36"/>
          <w:szCs w:val="36"/>
        </w:rPr>
        <w:t>月</w:t>
      </w:r>
    </w:p>
    <w:p w14:paraId="5402BEF5">
      <w:pPr>
        <w:spacing w:line="225" w:lineRule="auto"/>
        <w:rPr>
          <w:rFonts w:hint="eastAsia" w:asciiTheme="minorEastAsia" w:hAnsiTheme="minorEastAsia" w:eastAsiaTheme="minorEastAsia" w:cstheme="minorEastAsia"/>
          <w:color w:val="000000" w:themeColor="text1"/>
          <w:sz w:val="31"/>
          <w:szCs w:val="31"/>
        </w:rPr>
        <w:sectPr>
          <w:pgSz w:w="11906" w:h="16839"/>
          <w:pgMar w:top="1431" w:right="1785" w:bottom="0" w:left="1785" w:header="0" w:footer="0" w:gutter="0"/>
          <w:cols w:space="720" w:num="1"/>
        </w:sectPr>
      </w:pPr>
    </w:p>
    <w:p w14:paraId="1EDC84A3">
      <w:pPr>
        <w:pStyle w:val="8"/>
        <w:spacing w:line="424" w:lineRule="auto"/>
        <w:rPr>
          <w:rFonts w:hint="eastAsia" w:asciiTheme="minorEastAsia" w:hAnsiTheme="minorEastAsia" w:eastAsiaTheme="minorEastAsia" w:cstheme="minorEastAsia"/>
          <w:color w:val="000000" w:themeColor="text1"/>
        </w:rPr>
      </w:pPr>
    </w:p>
    <w:sdt>
      <w:sdtPr>
        <w:rPr>
          <w:rFonts w:hint="eastAsia" w:asciiTheme="minorEastAsia" w:hAnsiTheme="minorEastAsia" w:eastAsiaTheme="minorEastAsia" w:cstheme="minorEastAsia"/>
          <w:color w:val="000000" w:themeColor="text1"/>
          <w:sz w:val="24"/>
          <w:szCs w:val="24"/>
        </w:rPr>
        <w:id w:val="1"/>
      </w:sdtPr>
      <w:sdtEndPr>
        <w:rPr>
          <w:rFonts w:hint="eastAsia" w:asciiTheme="minorEastAsia" w:hAnsiTheme="minorEastAsia" w:eastAsiaTheme="minorEastAsia" w:cstheme="minorEastAsia"/>
          <w:color w:val="000000" w:themeColor="text1"/>
          <w:sz w:val="24"/>
          <w:szCs w:val="24"/>
        </w:rPr>
      </w:sdtEndPr>
      <w:sdtContent>
        <w:p w14:paraId="1D888780">
          <w:pPr>
            <w:spacing w:before="78" w:line="221" w:lineRule="auto"/>
            <w:ind w:left="4281"/>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pacing w:val="-31"/>
              <w:sz w:val="24"/>
              <w:szCs w:val="24"/>
            </w:rPr>
            <w:t>目</w:t>
          </w:r>
          <w:r>
            <w:rPr>
              <w:rFonts w:hint="eastAsia" w:asciiTheme="minorEastAsia" w:hAnsiTheme="minorEastAsia" w:eastAsiaTheme="minorEastAsia" w:cstheme="minorEastAsia"/>
              <w:color w:val="000000" w:themeColor="text1"/>
              <w:spacing w:val="11"/>
              <w:sz w:val="24"/>
              <w:szCs w:val="24"/>
            </w:rPr>
            <w:t xml:space="preserve"> </w:t>
          </w:r>
          <w:r>
            <w:rPr>
              <w:rFonts w:hint="eastAsia" w:asciiTheme="minorEastAsia" w:hAnsiTheme="minorEastAsia" w:eastAsiaTheme="minorEastAsia" w:cstheme="minorEastAsia"/>
              <w:b/>
              <w:bCs/>
              <w:color w:val="000000" w:themeColor="text1"/>
              <w:spacing w:val="-31"/>
              <w:sz w:val="24"/>
              <w:szCs w:val="24"/>
            </w:rPr>
            <w:t>录</w:t>
          </w:r>
        </w:p>
        <w:p w14:paraId="32F0A293">
          <w:pPr>
            <w:pStyle w:val="8"/>
            <w:spacing w:line="269" w:lineRule="auto"/>
            <w:rPr>
              <w:rFonts w:hint="eastAsia" w:asciiTheme="minorEastAsia" w:hAnsiTheme="minorEastAsia" w:eastAsiaTheme="minorEastAsia" w:cstheme="minorEastAsia"/>
              <w:color w:val="000000" w:themeColor="text1"/>
            </w:rPr>
          </w:pPr>
        </w:p>
      </w:sdtContent>
    </w:sdt>
    <w:p w14:paraId="319DF8C9">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TOC \o "1-1" \h \u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pacing w:val="-3"/>
          <w:szCs w:val="28"/>
        </w:rPr>
        <w:t>第一章</w:t>
      </w:r>
      <w:r>
        <w:rPr>
          <w:rFonts w:hint="eastAsia" w:asciiTheme="minorEastAsia" w:hAnsiTheme="minorEastAsia" w:eastAsiaTheme="minorEastAsia" w:cstheme="minorEastAsia"/>
          <w:color w:val="000000" w:themeColor="text1"/>
          <w:spacing w:val="-3"/>
          <w:szCs w:val="28"/>
        </w:rPr>
        <w:t xml:space="preserve">  </w:t>
      </w:r>
      <w:r>
        <w:rPr>
          <w:rFonts w:hint="eastAsia" w:asciiTheme="minorEastAsia" w:hAnsiTheme="minorEastAsia" w:eastAsiaTheme="minorEastAsia" w:cstheme="minorEastAsia"/>
          <w:bCs/>
          <w:color w:val="000000" w:themeColor="text1"/>
          <w:spacing w:val="-3"/>
          <w:szCs w:val="28"/>
        </w:rPr>
        <w:t>投标邀请</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_Toc16719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2</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11A7E678">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pacing w:val="-3"/>
          <w:szCs w:val="28"/>
        </w:rPr>
        <w:t>第二章</w:t>
      </w:r>
      <w:r>
        <w:rPr>
          <w:rFonts w:hint="eastAsia" w:asciiTheme="minorEastAsia" w:hAnsiTheme="minorEastAsia" w:eastAsiaTheme="minorEastAsia" w:cstheme="minorEastAsia"/>
          <w:color w:val="000000" w:themeColor="text1"/>
          <w:spacing w:val="-3"/>
          <w:szCs w:val="28"/>
        </w:rPr>
        <w:t xml:space="preserve">  </w:t>
      </w:r>
      <w:r>
        <w:rPr>
          <w:rFonts w:hint="eastAsia" w:asciiTheme="minorEastAsia" w:hAnsiTheme="minorEastAsia" w:eastAsiaTheme="minorEastAsia" w:cstheme="minorEastAsia"/>
          <w:bCs/>
          <w:color w:val="000000" w:themeColor="text1"/>
          <w:spacing w:val="-3"/>
          <w:szCs w:val="28"/>
        </w:rPr>
        <w:t>投标人须知前附表</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_Toc1036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6</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6CDD4E37">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pacing w:val="-3"/>
          <w:position w:val="9"/>
          <w:szCs w:val="28"/>
        </w:rPr>
        <w:t>第三章</w:t>
      </w:r>
      <w:r>
        <w:rPr>
          <w:rFonts w:hint="eastAsia" w:asciiTheme="minorEastAsia" w:hAnsiTheme="minorEastAsia" w:eastAsiaTheme="minorEastAsia" w:cstheme="minorEastAsia"/>
          <w:color w:val="000000" w:themeColor="text1"/>
          <w:spacing w:val="-3"/>
          <w:position w:val="9"/>
          <w:szCs w:val="28"/>
        </w:rPr>
        <w:t xml:space="preserve">  </w:t>
      </w:r>
      <w:r>
        <w:rPr>
          <w:rFonts w:hint="eastAsia" w:asciiTheme="minorEastAsia" w:hAnsiTheme="minorEastAsia" w:eastAsiaTheme="minorEastAsia" w:cstheme="minorEastAsia"/>
          <w:bCs/>
          <w:color w:val="000000" w:themeColor="text1"/>
          <w:spacing w:val="-3"/>
          <w:position w:val="9"/>
          <w:szCs w:val="28"/>
        </w:rPr>
        <w:t>投标人须知</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_Toc24190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9</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55B06B28">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pacing w:val="-3"/>
          <w:szCs w:val="28"/>
        </w:rPr>
        <w:t>第五章</w:t>
      </w:r>
      <w:r>
        <w:rPr>
          <w:rFonts w:hint="eastAsia" w:asciiTheme="minorEastAsia" w:hAnsiTheme="minorEastAsia" w:eastAsiaTheme="minorEastAsia" w:cstheme="minorEastAsia"/>
          <w:color w:val="000000" w:themeColor="text1"/>
          <w:spacing w:val="-3"/>
          <w:szCs w:val="28"/>
        </w:rPr>
        <w:t xml:space="preserve">  </w:t>
      </w:r>
      <w:r>
        <w:rPr>
          <w:rFonts w:hint="eastAsia" w:asciiTheme="minorEastAsia" w:hAnsiTheme="minorEastAsia" w:eastAsiaTheme="minorEastAsia" w:cstheme="minorEastAsia"/>
          <w:bCs/>
          <w:color w:val="000000" w:themeColor="text1"/>
          <w:spacing w:val="-3"/>
          <w:szCs w:val="28"/>
        </w:rPr>
        <w:t>招标内容及要求</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_Toc17244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27</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6814A9A8">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"_Toc25492"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zCs w:val="28"/>
        </w:rPr>
        <w:t xml:space="preserve">第六章   </w:t>
      </w:r>
      <w:r>
        <w:rPr>
          <w:rFonts w:hint="eastAsia" w:asciiTheme="minorEastAsia" w:hAnsiTheme="minorEastAsia" w:eastAsiaTheme="minorEastAsia" w:cstheme="minorEastAsia"/>
          <w:bCs/>
          <w:color w:val="000000" w:themeColor="text1"/>
          <w:szCs w:val="28"/>
          <w:lang w:eastAsia="zh-CN"/>
        </w:rPr>
        <w:t>福建省泉州升华实业有限公司</w:t>
      </w:r>
      <w:r>
        <w:rPr>
          <w:rFonts w:hint="eastAsia" w:asciiTheme="minorEastAsia" w:hAnsiTheme="minorEastAsia" w:eastAsiaTheme="minorEastAsia" w:cstheme="minorEastAsia"/>
          <w:bCs/>
          <w:color w:val="000000" w:themeColor="text1"/>
          <w:szCs w:val="28"/>
        </w:rPr>
        <w:t>采购合同</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_Toc25492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78</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72665F7E">
      <w:pPr>
        <w:pStyle w:val="13"/>
        <w:tabs>
          <w:tab w:val="right" w:leader="dot" w:pos="9089"/>
        </w:tabs>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"_Toc21536"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pacing w:val="-3"/>
          <w:szCs w:val="28"/>
        </w:rPr>
        <w:t>第七章</w:t>
      </w:r>
      <w:r>
        <w:rPr>
          <w:rFonts w:hint="eastAsia" w:asciiTheme="minorEastAsia" w:hAnsiTheme="minorEastAsia" w:eastAsiaTheme="minorEastAsia" w:cstheme="minorEastAsia"/>
          <w:color w:val="000000" w:themeColor="text1"/>
          <w:spacing w:val="-3"/>
          <w:szCs w:val="28"/>
        </w:rPr>
        <w:t xml:space="preserve">   </w:t>
      </w:r>
      <w:r>
        <w:rPr>
          <w:rFonts w:hint="eastAsia" w:asciiTheme="minorEastAsia" w:hAnsiTheme="minorEastAsia" w:eastAsiaTheme="minorEastAsia" w:cstheme="minorEastAsia"/>
          <w:bCs/>
          <w:color w:val="000000" w:themeColor="text1"/>
          <w:spacing w:val="-3"/>
          <w:szCs w:val="28"/>
        </w:rPr>
        <w:t>投标文件格式</w:t>
      </w:r>
      <w:r>
        <w:rPr>
          <w:rFonts w:hint="eastAsia" w:asciiTheme="minorEastAsia" w:hAnsiTheme="minorEastAsia" w:eastAsiaTheme="minorEastAsia" w:cstheme="minorEastAsia"/>
          <w:color w:val="000000" w:themeColor="text1"/>
        </w:rPr>
        <w:tab/>
      </w:r>
      <w:r>
        <w:rPr>
          <w:rFonts w:hint="eastAsia" w:asciiTheme="minorEastAsia" w:hAnsiTheme="minorEastAsia" w:eastAsiaTheme="minorEastAsia" w:cstheme="minorEastAsia"/>
          <w:color w:val="000000" w:themeColor="text1"/>
        </w:rPr>
        <w:fldChar w:fldCharType="begin"/>
      </w:r>
      <w:r>
        <w:rPr>
          <w:rFonts w:hint="eastAsia" w:asciiTheme="minorEastAsia" w:hAnsiTheme="minorEastAsia" w:eastAsiaTheme="minorEastAsia" w:cstheme="minorEastAsia"/>
          <w:color w:val="000000" w:themeColor="text1"/>
        </w:rPr>
        <w:instrText xml:space="preserve"> PAGEREF _Toc21536 \h </w:instrText>
      </w:r>
      <w:r>
        <w:rPr>
          <w:rFonts w:hint="eastAsia" w:asciiTheme="minorEastAsia" w:hAnsiTheme="minorEastAsia" w:eastAsiaTheme="minorEastAsia" w:cstheme="minorEastAsia"/>
          <w:color w:val="000000" w:themeColor="text1"/>
        </w:rPr>
        <w:fldChar w:fldCharType="separate"/>
      </w:r>
      <w:r>
        <w:rPr>
          <w:rFonts w:hint="eastAsia" w:asciiTheme="minorEastAsia" w:hAnsiTheme="minorEastAsia" w:eastAsiaTheme="minorEastAsia" w:cstheme="minorEastAsia"/>
          <w:color w:val="000000" w:themeColor="text1"/>
        </w:rPr>
        <w:t>78</w:t>
      </w:r>
      <w:r>
        <w:rPr>
          <w:rFonts w:hint="eastAsia" w:asciiTheme="minorEastAsia" w:hAnsiTheme="minorEastAsia" w:eastAsiaTheme="minorEastAsia" w:cstheme="minorEastAsia"/>
          <w:color w:val="000000" w:themeColor="text1"/>
        </w:rPr>
        <w:fldChar w:fldCharType="end"/>
      </w:r>
      <w:r>
        <w:rPr>
          <w:rFonts w:hint="eastAsia" w:asciiTheme="minorEastAsia" w:hAnsiTheme="minorEastAsia" w:eastAsiaTheme="minorEastAsia" w:cstheme="minorEastAsia"/>
          <w:color w:val="000000" w:themeColor="text1"/>
        </w:rPr>
        <w:fldChar w:fldCharType="end"/>
      </w:r>
    </w:p>
    <w:p w14:paraId="63A45C69">
      <w:pPr>
        <w:spacing w:line="219" w:lineRule="auto"/>
        <w:rPr>
          <w:rFonts w:hint="eastAsia" w:asciiTheme="minorEastAsia" w:hAnsiTheme="minorEastAsia" w:eastAsiaTheme="minorEastAsia" w:cstheme="minorEastAsia"/>
          <w:color w:val="000000" w:themeColor="text1"/>
          <w:sz w:val="24"/>
          <w:szCs w:val="24"/>
        </w:rPr>
        <w:sectPr>
          <w:footerReference r:id="rId3" w:type="default"/>
          <w:pgSz w:w="11906" w:h="16839"/>
          <w:pgMar w:top="1431" w:right="1392" w:bottom="1260" w:left="1425" w:header="0" w:footer="1013" w:gutter="0"/>
          <w:pgNumType w:fmt="decimal" w:start="1"/>
          <w:cols w:space="720" w:num="1"/>
        </w:sectPr>
      </w:pPr>
      <w:r>
        <w:rPr>
          <w:rFonts w:hint="eastAsia" w:asciiTheme="minorEastAsia" w:hAnsiTheme="minorEastAsia" w:eastAsiaTheme="minorEastAsia" w:cstheme="minorEastAsia"/>
          <w:color w:val="000000" w:themeColor="text1"/>
          <w:szCs w:val="24"/>
        </w:rPr>
        <w:fldChar w:fldCharType="end"/>
      </w:r>
    </w:p>
    <w:p w14:paraId="638FA02F">
      <w:pPr>
        <w:spacing w:before="87" w:line="219" w:lineRule="auto"/>
        <w:ind w:left="3415"/>
        <w:outlineLvl w:val="0"/>
        <w:rPr>
          <w:rFonts w:hint="eastAsia" w:asciiTheme="minorEastAsia" w:hAnsiTheme="minorEastAsia" w:eastAsiaTheme="minorEastAsia" w:cstheme="minorEastAsia"/>
          <w:color w:val="000000" w:themeColor="text1"/>
          <w:sz w:val="28"/>
          <w:szCs w:val="28"/>
          <w:lang w:eastAsia="zh-CN"/>
        </w:rPr>
      </w:pPr>
      <w:bookmarkStart w:id="0" w:name="_Toc16719"/>
      <w:r>
        <w:rPr>
          <w:rFonts w:hint="eastAsia" w:asciiTheme="minorEastAsia" w:hAnsiTheme="minorEastAsia" w:eastAsiaTheme="minorEastAsia" w:cstheme="minorEastAsia"/>
          <w:b/>
          <w:bCs/>
          <w:color w:val="000000" w:themeColor="text1"/>
          <w:spacing w:val="-3"/>
          <w:sz w:val="28"/>
          <w:szCs w:val="28"/>
          <w:lang w:eastAsia="zh-CN"/>
        </w:rPr>
        <w:t>第一章</w:t>
      </w:r>
      <w:r>
        <w:rPr>
          <w:rFonts w:hint="eastAsia" w:asciiTheme="minorEastAsia" w:hAnsiTheme="minorEastAsia" w:eastAsiaTheme="minorEastAsia" w:cstheme="minorEastAsia"/>
          <w:color w:val="000000" w:themeColor="text1"/>
          <w:spacing w:val="-3"/>
          <w:sz w:val="28"/>
          <w:szCs w:val="28"/>
          <w:lang w:eastAsia="zh-CN"/>
        </w:rPr>
        <w:t xml:space="preserve">  </w:t>
      </w:r>
      <w:r>
        <w:rPr>
          <w:rFonts w:hint="eastAsia" w:asciiTheme="minorEastAsia" w:hAnsiTheme="minorEastAsia" w:eastAsiaTheme="minorEastAsia" w:cstheme="minorEastAsia"/>
          <w:b/>
          <w:bCs/>
          <w:color w:val="000000" w:themeColor="text1"/>
          <w:spacing w:val="-3"/>
          <w:sz w:val="28"/>
          <w:szCs w:val="28"/>
          <w:lang w:eastAsia="zh-CN"/>
        </w:rPr>
        <w:t>投标邀请</w:t>
      </w:r>
      <w:bookmarkEnd w:id="0"/>
    </w:p>
    <w:p w14:paraId="0B81121C">
      <w:pPr>
        <w:widowControl w:val="0"/>
        <w:kinsoku/>
        <w:autoSpaceDE/>
        <w:autoSpaceDN/>
        <w:adjustRightInd/>
        <w:snapToGrid/>
        <w:spacing w:line="480" w:lineRule="exact"/>
        <w:ind w:left="6" w:firstLine="476" w:firstLineChars="200"/>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采用</w:t>
      </w:r>
      <w:r>
        <w:rPr>
          <w:rFonts w:hint="eastAsia" w:asciiTheme="minorEastAsia" w:hAnsiTheme="minorEastAsia" w:eastAsiaTheme="minorEastAsia" w:cstheme="minorEastAsia"/>
          <w:color w:val="000000" w:themeColor="text1"/>
          <w:spacing w:val="-1"/>
          <w:sz w:val="24"/>
          <w:szCs w:val="24"/>
          <w:u w:val="single"/>
          <w:lang w:eastAsia="zh-CN"/>
        </w:rPr>
        <w:t>公开招标方式</w:t>
      </w:r>
      <w:r>
        <w:rPr>
          <w:rFonts w:hint="eastAsia" w:asciiTheme="minorEastAsia" w:hAnsiTheme="minorEastAsia" w:eastAsiaTheme="minorEastAsia" w:cstheme="minorEastAsia"/>
          <w:color w:val="000000" w:themeColor="text1"/>
          <w:spacing w:val="-1"/>
          <w:sz w:val="24"/>
          <w:szCs w:val="24"/>
          <w:lang w:eastAsia="zh-CN"/>
        </w:rPr>
        <w:t>组织</w:t>
      </w:r>
      <w:r>
        <w:rPr>
          <w:rFonts w:hint="eastAsia" w:asciiTheme="minorEastAsia" w:hAnsiTheme="minorEastAsia" w:eastAsiaTheme="minorEastAsia" w:cstheme="minorEastAsia"/>
          <w:color w:val="000000" w:themeColor="text1"/>
          <w:spacing w:val="-1"/>
          <w:sz w:val="24"/>
          <w:szCs w:val="24"/>
          <w:u w:val="single"/>
          <w:lang w:eastAsia="zh-CN"/>
        </w:rPr>
        <w:t>泉州升华实业有限公司安全生产应急指挥中心采购项目</w:t>
      </w:r>
      <w:r>
        <w:rPr>
          <w:rFonts w:hint="eastAsia" w:asciiTheme="minorEastAsia" w:hAnsiTheme="minorEastAsia" w:eastAsiaTheme="minorEastAsia" w:cstheme="minorEastAsia"/>
          <w:color w:val="000000" w:themeColor="text1"/>
          <w:spacing w:val="-1"/>
          <w:sz w:val="24"/>
          <w:szCs w:val="24"/>
          <w:lang w:eastAsia="zh-CN"/>
        </w:rPr>
        <w:t>（以下简称：“本项目</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”）的招标活动，现邀请国内</w:t>
      </w:r>
      <w:r>
        <w:rPr>
          <w:rFonts w:hint="eastAsia" w:asciiTheme="minorEastAsia" w:hAnsiTheme="minorEastAsia" w:eastAsiaTheme="minorEastAsia" w:cstheme="minorEastAsia"/>
          <w:color w:val="000000" w:themeColor="text1"/>
          <w:spacing w:val="-2"/>
          <w:sz w:val="24"/>
          <w:szCs w:val="24"/>
          <w:lang w:eastAsia="zh-CN"/>
        </w:rPr>
        <w:t>合格的投标人参加投标。</w:t>
      </w:r>
    </w:p>
    <w:p w14:paraId="3E9DDBC4">
      <w:pPr>
        <w:spacing w:before="114" w:line="218"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
          <w:sz w:val="24"/>
          <w:szCs w:val="24"/>
          <w:lang w:eastAsia="zh-CN"/>
        </w:rPr>
        <w:t>1、招标编号：</w:t>
      </w:r>
      <w:r>
        <w:rPr>
          <w:rFonts w:hint="eastAsia" w:asciiTheme="minorEastAsia" w:hAnsiTheme="minorEastAsia" w:eastAsiaTheme="minorEastAsia" w:cstheme="minorEastAsia"/>
          <w:color w:val="000000" w:themeColor="text1"/>
          <w:spacing w:val="-2"/>
          <w:sz w:val="24"/>
          <w:szCs w:val="24"/>
          <w:lang w:eastAsia="zh-CN"/>
        </w:rPr>
        <w:t>FJSQZB-20240007</w:t>
      </w:r>
    </w:p>
    <w:p w14:paraId="051B3407">
      <w:pPr>
        <w:spacing w:before="118" w:line="218" w:lineRule="auto"/>
        <w:ind w:left="48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
          <w:sz w:val="24"/>
          <w:szCs w:val="24"/>
          <w:lang w:eastAsia="zh-CN"/>
        </w:rPr>
        <w:t>2、最高限价：</w:t>
      </w:r>
      <w:r>
        <w:rPr>
          <w:rFonts w:hint="eastAsia" w:asciiTheme="minorEastAsia" w:hAnsiTheme="minorEastAsia" w:eastAsiaTheme="minorEastAsia" w:cstheme="minorEastAsia"/>
          <w:color w:val="000000" w:themeColor="text1"/>
          <w:spacing w:val="-2"/>
          <w:sz w:val="24"/>
          <w:szCs w:val="24"/>
          <w:lang w:eastAsia="zh-CN"/>
        </w:rPr>
        <w:t>详见《招标项目一览表》。</w:t>
      </w:r>
    </w:p>
    <w:p w14:paraId="61DAED91">
      <w:pPr>
        <w:spacing w:before="116" w:line="263" w:lineRule="auto"/>
        <w:ind w:left="480" w:right="1542" w:firstLine="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
          <w:sz w:val="24"/>
          <w:szCs w:val="24"/>
          <w:lang w:eastAsia="zh-CN"/>
        </w:rPr>
        <w:t>3、招标内容及要求：</w:t>
      </w:r>
      <w:r>
        <w:rPr>
          <w:rFonts w:hint="eastAsia" w:asciiTheme="minorEastAsia" w:hAnsiTheme="minorEastAsia" w:eastAsiaTheme="minorEastAsia" w:cstheme="minorEastAsia"/>
          <w:color w:val="000000" w:themeColor="text1"/>
          <w:spacing w:val="-2"/>
          <w:sz w:val="24"/>
          <w:szCs w:val="24"/>
          <w:lang w:eastAsia="zh-CN"/>
        </w:rPr>
        <w:t>详见《招标项目一览</w:t>
      </w:r>
      <w:r>
        <w:rPr>
          <w:rFonts w:hint="eastAsia" w:asciiTheme="minorEastAsia" w:hAnsiTheme="minorEastAsia" w:eastAsiaTheme="minorEastAsia" w:cstheme="minorEastAsia"/>
          <w:color w:val="000000" w:themeColor="text1"/>
          <w:spacing w:val="-3"/>
          <w:sz w:val="24"/>
          <w:szCs w:val="24"/>
          <w:lang w:eastAsia="zh-CN"/>
        </w:rPr>
        <w:t>表》及招标文件第五章。</w:t>
      </w:r>
      <w:r>
        <w:rPr>
          <w:rFonts w:hint="eastAsia" w:asciiTheme="minorEastAsia" w:hAnsiTheme="minorEastAsia" w:eastAsiaTheme="minorEastAsia" w:cstheme="minorEastAsia"/>
          <w:color w:val="000000" w:themeColor="text1"/>
          <w:sz w:val="24"/>
          <w:szCs w:val="24"/>
          <w:lang w:eastAsia="zh-CN"/>
        </w:rPr>
        <w:t xml:space="preserve"> </w:t>
      </w:r>
    </w:p>
    <w:p w14:paraId="3D40172D">
      <w:pPr>
        <w:spacing w:before="116" w:line="263" w:lineRule="auto"/>
        <w:ind w:left="480" w:right="1542" w:firstLine="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4、本项目各合同包投标人的资格要求：</w:t>
      </w:r>
    </w:p>
    <w:p w14:paraId="54C00D62">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（1）凡有能力提供本招标文件所述货物及服务的投标人，均可能成为本项目合格的投标人，投标人需提交以下资质证明文件：</w:t>
      </w:r>
    </w:p>
    <w:p w14:paraId="00D649CA">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a.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w:t>
      </w:r>
    </w:p>
    <w:p w14:paraId="613E2829">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b.单位授权书： ①投标人（自然人除外）：若投标人代表为单位授权的委托代理人，应提供本授权书及法定代表人身份证正反面复印件、投标代表身份证正反面复印件；若投标人代表为单位负责人，应在此项下提交其身份证正反面复印件，可不提供本授权书。 ②投标人为自然人的，可不填写本授权书。</w:t>
      </w:r>
    </w:p>
    <w:p w14:paraId="43111EA6">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c. 财务状况报告：投标人须提供由会计师事务所出具的 2022 年度或 2023 年度财务审计报告（至少包括资产负债表、利润表、现金流量表）；或者提供投标截止时间前六个月内基本开户银行出具的资信证明复印件（若资信证明写明复印无效，需提供原件或者在电子文本中提供资信证明原件的电子档，否则为无效资信证明。）；若资信证明或者投标担保函有写所致的单位（接受人），单位（接受人）名称为福建省泉州升华实业有限公司，否则无效。</w:t>
      </w:r>
    </w:p>
    <w:p w14:paraId="2C5EA760">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d.提供投标截止时间前六个月（不含投标截止时间的当月）中任意一个月的依法缴纳税收的证明材料；提供投标截止时间前六个月（不含投标截止时间的当月）中任意一个月的依法缴纳社保资金的证明材料。</w:t>
      </w:r>
    </w:p>
    <w:p w14:paraId="6278A4EA">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 xml:space="preserve">e. 参加本项目投标前 3 年内在经营活动中没有重大违法、无行贿犯罪记录、失信记录的书面声明。被列入失信被执行人、重大税收违法案件当事人名单、政府采购严重违法失信行为记录名单、景弘集团有限公司黑名单的投标人，不得参加本次投标。资格审查小组通过中国政府采购网（www.ccgp.gov.cn ）、 </w:t>
      </w:r>
      <w:r>
        <w:rPr>
          <w:rFonts w:hint="eastAsia" w:asciiTheme="minorEastAsia" w:hAnsiTheme="minorEastAsia" w:eastAsiaTheme="minorEastAsia" w:cstheme="minorEastAsia"/>
          <w:kern w:val="0"/>
          <w:sz w:val="24"/>
          <w:szCs w:val="24"/>
        </w:rPr>
        <w:t>信用中国（www.creditchina.gov.cn）</w:t>
      </w:r>
      <w:r>
        <w:rPr>
          <w:rFonts w:hint="eastAsia" w:asciiTheme="minorEastAsia" w:hAnsiTheme="minorEastAsia" w:eastAsiaTheme="minorEastAsia" w:cstheme="minorEastAsia"/>
          <w:color w:val="000000" w:themeColor="text1"/>
          <w:sz w:val="24"/>
          <w:lang w:eastAsia="zh-CN"/>
        </w:rPr>
        <w:t>查询并打印投标人信用记录，查询结果存在投标人应被 拒绝参与本次招标活动相关信息的，其资格审查不合格。因上述网站原因导致资格审查小组无法查询投标人信用记录的（资格审查小组应将通过上述网站查询投标人信用记录时的原始页面打印后随招标文件一并存档），视为查询结果未存在投标人应被拒绝参与招标活动的相关信息。</w:t>
      </w:r>
    </w:p>
    <w:p w14:paraId="587ED324">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（3）具备履行合同所必需设备和专业技术能力的声明函。</w:t>
      </w:r>
    </w:p>
    <w:p w14:paraId="2ED98652">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（4）本项目不接受联合体投标。</w:t>
      </w:r>
    </w:p>
    <w:p w14:paraId="0F7F7403">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（5）其他要求详见本章合格的投标人。</w:t>
      </w:r>
    </w:p>
    <w:p w14:paraId="5B4AA54D">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注：①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1228337F">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②依法免税或不需要缴纳社会保障资金的投标人，应提供相应文件证明其依法免税或不需要缴纳社会保障资金。</w:t>
      </w:r>
    </w:p>
    <w:p w14:paraId="7503CA55">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③因缓缴或免缴社保、税款的企业，无法提供相关社保、税收缴纳证明材料的，提供有关情况说明视同社保、税收缴纳证明材料提交完整。</w:t>
      </w:r>
    </w:p>
    <w:p w14:paraId="7AB02CA7">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④所提供的资格证明必须真实、有效，内容完整、清晰、整洁，否则按无效投标处理。</w:t>
      </w:r>
    </w:p>
    <w:p w14:paraId="0D5A5DB9">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5、获取招标文件</w:t>
      </w:r>
    </w:p>
    <w:p w14:paraId="1A78474F">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5.1获取招标文件时间：(详见招标公告或更正公告（若有），若不一致，以更正公告（若有）为准)。</w:t>
      </w:r>
    </w:p>
    <w:p w14:paraId="063702A1">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5.2获取招标文件地点及方式：</w:t>
      </w:r>
    </w:p>
    <w:p w14:paraId="0CD4996C">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地点：</w:t>
      </w:r>
      <w:r>
        <w:rPr>
          <w:rFonts w:hint="eastAsia" w:asciiTheme="minorEastAsia" w:hAnsiTheme="minorEastAsia" w:eastAsiaTheme="minorEastAsia" w:cstheme="minorEastAsia"/>
          <w:b/>
          <w:color w:val="000000" w:themeColor="text1"/>
          <w:sz w:val="24"/>
          <w:szCs w:val="32"/>
          <w:shd w:val="pct10" w:color="auto" w:fill="FFFFFF"/>
          <w:lang w:eastAsia="zh-CN"/>
        </w:rPr>
        <w:t>福建三仟招标有限公司（福州市仓山区金达路瑞科医药健康产业园1号楼216室 ）</w:t>
      </w:r>
    </w:p>
    <w:p w14:paraId="781E73D2">
      <w:pPr>
        <w:widowControl w:val="0"/>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 xml:space="preserve">方式：A. 现场办理获取招标文件手续事宜的投标人，可至我司办理书面获取招标文件登记。 </w:t>
      </w:r>
      <w:r>
        <w:rPr>
          <w:rFonts w:hint="eastAsia" w:asciiTheme="minorEastAsia" w:hAnsiTheme="minorEastAsia" w:eastAsiaTheme="minorEastAsia" w:cstheme="minorEastAsia"/>
          <w:color w:val="000000" w:themeColor="text1"/>
          <w:sz w:val="24"/>
        </w:rPr>
        <w:t>B.采用异地办理获取</w:t>
      </w:r>
      <w:r>
        <w:rPr>
          <w:rFonts w:hint="eastAsia" w:asciiTheme="minorEastAsia" w:hAnsiTheme="minorEastAsia" w:eastAsiaTheme="minorEastAsia" w:cstheme="minorEastAsia"/>
          <w:color w:val="000000" w:themeColor="text1"/>
          <w:sz w:val="24"/>
          <w:lang w:eastAsia="zh-CN"/>
        </w:rPr>
        <w:t>招标</w:t>
      </w:r>
      <w:r>
        <w:rPr>
          <w:rFonts w:hint="eastAsia" w:asciiTheme="minorEastAsia" w:hAnsiTheme="minorEastAsia" w:eastAsiaTheme="minorEastAsia" w:cstheme="minorEastAsia"/>
          <w:color w:val="000000" w:themeColor="text1"/>
          <w:sz w:val="24"/>
        </w:rPr>
        <w:t>文件手续事宜的</w:t>
      </w:r>
      <w:r>
        <w:rPr>
          <w:rFonts w:hint="eastAsia" w:asciiTheme="minorEastAsia" w:hAnsiTheme="minorEastAsia" w:eastAsiaTheme="minorEastAsia" w:cstheme="minorEastAsia"/>
          <w:color w:val="000000" w:themeColor="text1"/>
          <w:sz w:val="24"/>
          <w:lang w:eastAsia="zh-CN"/>
        </w:rPr>
        <w:t>投标人</w:t>
      </w:r>
      <w:r>
        <w:rPr>
          <w:rFonts w:hint="eastAsia" w:asciiTheme="minorEastAsia" w:hAnsiTheme="minorEastAsia" w:eastAsiaTheme="minorEastAsia" w:cstheme="minorEastAsia"/>
          <w:color w:val="000000" w:themeColor="text1"/>
          <w:sz w:val="24"/>
        </w:rPr>
        <w:t>，须按投标邀请提供的开户名、开户行、账号及本投标邀请的要求，电汇或转账相应的金额到本公司账户（若有），同时将电汇或转账底单复印件（若有）及获取招标文件登记表填写清楚并加盖公章后邮寄至我公司或发邮箱fjsqzb@126.com，我公司将招标文件发送至贵公司邮箱。</w:t>
      </w:r>
      <w:r>
        <w:rPr>
          <w:rFonts w:hint="eastAsia" w:asciiTheme="minorEastAsia" w:hAnsiTheme="minorEastAsia" w:eastAsiaTheme="minorEastAsia" w:cstheme="minorEastAsia"/>
          <w:color w:val="000000" w:themeColor="text1"/>
          <w:sz w:val="24"/>
          <w:lang w:eastAsia="zh-CN"/>
        </w:rPr>
        <w:t>未办理获取招标文件手续的不予以书面变更通知并不受理其投标。</w:t>
      </w:r>
    </w:p>
    <w:p w14:paraId="775C2E6C">
      <w:pPr>
        <w:spacing w:line="420" w:lineRule="exact"/>
        <w:ind w:firstLine="480" w:firstLineChars="20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5.3招标文件售价：招标文件售价</w:t>
      </w:r>
      <w:r>
        <w:rPr>
          <w:rFonts w:hint="eastAsia" w:asciiTheme="minorEastAsia" w:hAnsiTheme="minorEastAsia" w:eastAsiaTheme="minorEastAsia" w:cstheme="minorEastAsia"/>
          <w:color w:val="000000" w:themeColor="text1"/>
          <w:sz w:val="24"/>
          <w:u w:val="single"/>
          <w:lang w:eastAsia="zh-CN"/>
        </w:rPr>
        <w:t>0</w:t>
      </w:r>
      <w:r>
        <w:rPr>
          <w:rFonts w:hint="eastAsia" w:asciiTheme="minorEastAsia" w:hAnsiTheme="minorEastAsia" w:eastAsiaTheme="minorEastAsia" w:cstheme="minorEastAsia"/>
          <w:color w:val="000000" w:themeColor="text1"/>
          <w:sz w:val="24"/>
          <w:lang w:eastAsia="zh-CN"/>
        </w:rPr>
        <w:t>元人民币（电子版）。</w:t>
      </w:r>
    </w:p>
    <w:p w14:paraId="3334C288">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6、提交投标文件截止时间、开标时间和地点</w:t>
      </w:r>
    </w:p>
    <w:p w14:paraId="3A11D9E3">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6.1 提交投标文件截止时间、开标时间：提交投标文件截止时间、开标时间：(详见招标公告或更正公告（若有），若不一致，以更正公告（若有）为准)。</w:t>
      </w:r>
    </w:p>
    <w:p w14:paraId="672682F4">
      <w:pPr>
        <w:spacing w:line="420" w:lineRule="exact"/>
        <w:ind w:firstLine="480" w:firstLineChars="20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6.2地点：福州市仓山区金达路瑞科医药健康产业园1号楼216室（福建三仟招标有限公司开标室）</w:t>
      </w:r>
    </w:p>
    <w:p w14:paraId="03CF4537">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6.3投标人应在投标截止时间前将</w:t>
      </w:r>
      <w:r>
        <w:rPr>
          <w:rFonts w:hint="eastAsia" w:asciiTheme="minorEastAsia" w:hAnsiTheme="minorEastAsia" w:eastAsiaTheme="minorEastAsia" w:cstheme="minorEastAsia"/>
          <w:bCs/>
          <w:color w:val="000000" w:themeColor="text1"/>
          <w:sz w:val="24"/>
          <w:lang w:eastAsia="zh-CN"/>
        </w:rPr>
        <w:t>密封的投标文件</w:t>
      </w:r>
      <w:r>
        <w:rPr>
          <w:rFonts w:hint="eastAsia" w:asciiTheme="minorEastAsia" w:hAnsiTheme="minorEastAsia" w:eastAsiaTheme="minorEastAsia" w:cstheme="minorEastAsia"/>
          <w:color w:val="000000" w:themeColor="text1"/>
          <w:sz w:val="24"/>
          <w:lang w:eastAsia="zh-CN"/>
        </w:rPr>
        <w:t>送达招标文件第一章第6.2条载明的地点，否则</w:t>
      </w:r>
      <w:r>
        <w:rPr>
          <w:rFonts w:hint="eastAsia" w:asciiTheme="minorEastAsia" w:hAnsiTheme="minorEastAsia" w:eastAsiaTheme="minorEastAsia" w:cstheme="minorEastAsia"/>
          <w:bCs/>
          <w:color w:val="000000" w:themeColor="text1"/>
          <w:sz w:val="24"/>
          <w:lang w:eastAsia="zh-CN"/>
        </w:rPr>
        <w:t>投标将被拒绝。</w:t>
      </w:r>
    </w:p>
    <w:p w14:paraId="559F0FB6">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7、公告期限</w:t>
      </w:r>
    </w:p>
    <w:p w14:paraId="4ACBD31C">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7.1招标公告的公告期限：5个工作日。</w:t>
      </w:r>
    </w:p>
    <w:p w14:paraId="106EAB3C">
      <w:pPr>
        <w:spacing w:before="75" w:after="75"/>
        <w:ind w:firstLine="48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color w:val="000000" w:themeColor="text1"/>
          <w:sz w:val="24"/>
          <w:highlight w:val="none"/>
          <w:lang w:eastAsia="zh-CN"/>
        </w:rPr>
        <w:t>8、</w:t>
      </w:r>
      <w:r>
        <w:rPr>
          <w:rFonts w:hint="eastAsia" w:asciiTheme="minorEastAsia" w:hAnsiTheme="minorEastAsia" w:eastAsiaTheme="minorEastAsia" w:cstheme="minorEastAsia"/>
          <w:sz w:val="24"/>
          <w:highlight w:val="none"/>
          <w:lang w:eastAsia="zh-CN"/>
        </w:rPr>
        <w:t>招标人： 福建省泉州升华实业有限公司</w:t>
      </w:r>
    </w:p>
    <w:p w14:paraId="18B4C442">
      <w:pPr>
        <w:spacing w:before="75" w:after="75"/>
        <w:ind w:firstLine="48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地址：福建省泉州市丰泽区古道街8号</w:t>
      </w:r>
    </w:p>
    <w:p w14:paraId="18EC6CA8">
      <w:pPr>
        <w:spacing w:before="75" w:after="75"/>
        <w:ind w:firstLine="48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联系人：蔡先生、李先生</w:t>
      </w:r>
    </w:p>
    <w:p w14:paraId="0DDBF9A7">
      <w:pPr>
        <w:spacing w:before="75" w:after="75"/>
        <w:ind w:firstLine="480"/>
        <w:rPr>
          <w:rFonts w:hint="eastAsia" w:asciiTheme="minorEastAsia" w:hAnsiTheme="minorEastAsia" w:eastAsiaTheme="minorEastAsia" w:cstheme="minorEastAsia"/>
          <w:color w:val="000000" w:themeColor="text1"/>
          <w:sz w:val="24"/>
          <w:highlight w:val="none"/>
          <w:lang w:val="en-US" w:eastAsia="zh-CN"/>
        </w:rPr>
      </w:pPr>
      <w:r>
        <w:rPr>
          <w:rFonts w:hint="eastAsia" w:asciiTheme="minorEastAsia" w:hAnsiTheme="minorEastAsia" w:eastAsiaTheme="minorEastAsia" w:cstheme="minorEastAsia"/>
          <w:sz w:val="24"/>
          <w:highlight w:val="none"/>
          <w:lang w:eastAsia="zh-CN"/>
        </w:rPr>
        <w:t>联系方式：</w:t>
      </w:r>
      <w:r>
        <w:rPr>
          <w:rFonts w:hint="eastAsia" w:asciiTheme="minorEastAsia" w:hAnsiTheme="minorEastAsia" w:eastAsiaTheme="minorEastAsia" w:cstheme="minorEastAsia"/>
          <w:sz w:val="24"/>
          <w:szCs w:val="24"/>
          <w:highlight w:val="none"/>
          <w:shd w:val="clear" w:color="auto" w:fill="FFFFFF"/>
          <w:lang w:eastAsia="zh-CN"/>
        </w:rPr>
        <w:t>0595-68868</w:t>
      </w:r>
      <w:r>
        <w:rPr>
          <w:rFonts w:hint="eastAsia" w:asciiTheme="minorEastAsia" w:hAnsiTheme="minorEastAsia" w:eastAsiaTheme="minorEastAsia" w:cstheme="minorEastAsia"/>
          <w:sz w:val="24"/>
          <w:szCs w:val="24"/>
          <w:highlight w:val="none"/>
          <w:shd w:val="clear" w:color="auto" w:fill="FFFFFF"/>
          <w:lang w:val="en-US" w:eastAsia="zh-CN"/>
        </w:rPr>
        <w:t>800</w:t>
      </w:r>
    </w:p>
    <w:p w14:paraId="14DBB89E">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9、代理机构：福建三仟招标有限公司</w:t>
      </w:r>
    </w:p>
    <w:p w14:paraId="255280DD">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地址：福州市仓山区金达路瑞科医药健康产业园1号楼216室</w:t>
      </w:r>
    </w:p>
    <w:p w14:paraId="59F37E03">
      <w:pPr>
        <w:spacing w:before="75" w:after="75"/>
        <w:ind w:firstLine="4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网址：http://www.fjsqzb.com</w:t>
      </w:r>
    </w:p>
    <w:p w14:paraId="2CCE352E">
      <w:pPr>
        <w:spacing w:before="75" w:after="75"/>
        <w:ind w:firstLine="48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联系人： 吴珊珊、陈庆梅、周燕君</w:t>
      </w:r>
    </w:p>
    <w:p w14:paraId="4BB45777">
      <w:pPr>
        <w:spacing w:before="75" w:after="75"/>
        <w:ind w:firstLine="4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联系方式：0591-83956656</w:t>
      </w:r>
    </w:p>
    <w:p w14:paraId="724C7B9E">
      <w:pPr>
        <w:spacing w:before="75" w:after="75"/>
        <w:ind w:firstLine="4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邮箱：fjsqzb@126.com</w:t>
      </w:r>
    </w:p>
    <w:p w14:paraId="524FBF1D">
      <w:pPr>
        <w:spacing w:before="75" w:after="75"/>
        <w:ind w:firstLine="480"/>
        <w:rPr>
          <w:rFonts w:hint="eastAsia" w:asciiTheme="minorEastAsia" w:hAnsiTheme="minorEastAsia" w:eastAsiaTheme="minorEastAsia" w:cstheme="minorEastAsia"/>
          <w:color w:val="000000" w:themeColor="text1"/>
          <w:sz w:val="24"/>
        </w:rPr>
      </w:pPr>
    </w:p>
    <w:p w14:paraId="3C7B6445">
      <w:pPr>
        <w:spacing w:before="75" w:after="75"/>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附1：账户信息</w:t>
      </w:r>
    </w:p>
    <w:tbl>
      <w:tblPr>
        <w:tblStyle w:val="16"/>
        <w:tblW w:w="95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03"/>
      </w:tblGrid>
      <w:tr w14:paraId="2A0768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14:paraId="45CB03CE">
            <w:pPr>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b/>
                <w:bCs/>
                <w:color w:val="000000" w:themeColor="text1"/>
                <w:sz w:val="24"/>
                <w:lang w:eastAsia="zh-CN"/>
              </w:rPr>
              <w:t>招标代理机构账户信息</w:t>
            </w:r>
          </w:p>
        </w:tc>
      </w:tr>
      <w:tr w14:paraId="1F6934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1AD44802">
            <w:pPr>
              <w:tabs>
                <w:tab w:val="left" w:pos="1155"/>
              </w:tabs>
              <w:spacing w:line="440" w:lineRule="exact"/>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开   户   名：福建三仟招标有限公司</w:t>
            </w:r>
          </w:p>
        </w:tc>
      </w:tr>
      <w:tr w14:paraId="58045F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6921050E">
            <w:pPr>
              <w:tabs>
                <w:tab w:val="left" w:pos="1155"/>
              </w:tabs>
              <w:spacing w:line="440" w:lineRule="exact"/>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 xml:space="preserve">开   户   行：中信银行股份有限公司福州金融街支行 </w:t>
            </w:r>
          </w:p>
        </w:tc>
      </w:tr>
      <w:tr w14:paraId="71D856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1CD294E4">
            <w:pPr>
              <w:pStyle w:val="26"/>
              <w:spacing w:line="500" w:lineRule="exact"/>
              <w:jc w:val="both"/>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账        号：8111301011600381637</w:t>
            </w:r>
          </w:p>
        </w:tc>
      </w:tr>
      <w:tr w14:paraId="207D68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7D7A07E9">
            <w:pPr>
              <w:pStyle w:val="15"/>
              <w:spacing w:before="0" w:beforeAutospacing="0" w:after="0" w:afterAutospacing="0" w:line="400" w:lineRule="exact"/>
              <w:jc w:val="center"/>
              <w:rPr>
                <w:rFonts w:hint="eastAsia" w:asciiTheme="minorEastAsia" w:hAnsiTheme="minorEastAsia" w:eastAsiaTheme="minorEastAsia" w:cstheme="minorEastAsia"/>
                <w:color w:val="000000" w:themeColor="text1"/>
              </w:rPr>
            </w:pPr>
            <w:r>
              <w:rPr>
                <w:rStyle w:val="19"/>
                <w:rFonts w:hint="eastAsia" w:asciiTheme="minorEastAsia" w:hAnsiTheme="minorEastAsia" w:eastAsiaTheme="minorEastAsia" w:cstheme="minorEastAsia"/>
                <w:bCs/>
                <w:color w:val="000000" w:themeColor="text1"/>
              </w:rPr>
              <w:t>特别提示</w:t>
            </w:r>
          </w:p>
        </w:tc>
      </w:tr>
      <w:tr w14:paraId="570EA4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14:paraId="2502EBD2">
            <w:pPr>
              <w:pStyle w:val="25"/>
              <w:spacing w:before="148" w:line="439" w:lineRule="exact"/>
              <w:ind w:left="131"/>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position w:val="14"/>
                <w:lang w:eastAsia="zh-CN"/>
              </w:rPr>
              <w:t>1、请投标人务必认真核对账户信息，将投标保证金款项汇入对应账户，并自行承担因款</w:t>
            </w:r>
          </w:p>
          <w:p w14:paraId="2E85F520">
            <w:pPr>
              <w:pStyle w:val="25"/>
              <w:spacing w:line="219" w:lineRule="auto"/>
              <w:ind w:left="117"/>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项汇错而产生的一切后果。</w:t>
            </w:r>
          </w:p>
          <w:p w14:paraId="51C66BE5">
            <w:pPr>
              <w:pStyle w:val="25"/>
              <w:spacing w:before="154" w:line="219" w:lineRule="auto"/>
              <w:ind w:left="11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2、请投标人在转账或电汇的凭证上务必按</w:t>
            </w:r>
            <w:r>
              <w:rPr>
                <w:rFonts w:hint="eastAsia" w:asciiTheme="minorEastAsia" w:hAnsiTheme="minorEastAsia" w:eastAsiaTheme="minorEastAsia" w:cstheme="minorEastAsia"/>
                <w:color w:val="000000" w:themeColor="text1"/>
                <w:spacing w:val="-2"/>
                <w:lang w:eastAsia="zh-CN"/>
              </w:rPr>
              <w:t>照以下格式注明，以便核对：“（项目编号：*</w:t>
            </w:r>
          </w:p>
          <w:p w14:paraId="46CA4DBB">
            <w:pPr>
              <w:pStyle w:val="25"/>
              <w:spacing w:before="155" w:line="219" w:lineRule="auto"/>
              <w:ind w:left="112"/>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**、合同包：***）</w:t>
            </w:r>
            <w:r>
              <w:rPr>
                <w:rFonts w:hint="eastAsia" w:asciiTheme="minorEastAsia" w:hAnsiTheme="minorEastAsia" w:eastAsiaTheme="minorEastAsia" w:cstheme="minorEastAsia"/>
                <w:color w:val="000000" w:themeColor="text1"/>
                <w:spacing w:val="-84"/>
                <w:lang w:eastAsia="zh-CN"/>
              </w:rPr>
              <w:t xml:space="preserve"> </w:t>
            </w:r>
            <w:r>
              <w:rPr>
                <w:rFonts w:hint="eastAsia" w:asciiTheme="minorEastAsia" w:hAnsiTheme="minorEastAsia" w:eastAsiaTheme="minorEastAsia" w:cstheme="minorEastAsia"/>
                <w:color w:val="000000" w:themeColor="text1"/>
                <w:spacing w:val="-1"/>
                <w:lang w:eastAsia="zh-CN"/>
              </w:rPr>
              <w:t>”。</w:t>
            </w:r>
          </w:p>
          <w:p w14:paraId="3BD60692">
            <w:pPr>
              <w:pStyle w:val="15"/>
              <w:spacing w:before="0" w:beforeAutospacing="0" w:after="0" w:afterAutospacing="0" w:line="360" w:lineRule="exact"/>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3、若投多个合同包的，请投标人分别根据所投合同包的要求，进行缴交。</w:t>
            </w:r>
          </w:p>
        </w:tc>
      </w:tr>
    </w:tbl>
    <w:p w14:paraId="1E454263">
      <w:pPr>
        <w:pStyle w:val="8"/>
        <w:rPr>
          <w:rFonts w:hint="eastAsia" w:asciiTheme="minorEastAsia" w:hAnsiTheme="minorEastAsia" w:eastAsiaTheme="minorEastAsia" w:cstheme="minorEastAsia"/>
          <w:color w:val="000000" w:themeColor="text1"/>
          <w:lang w:eastAsia="zh-CN"/>
        </w:rPr>
      </w:pPr>
    </w:p>
    <w:p w14:paraId="6FF70564">
      <w:pPr>
        <w:rPr>
          <w:rFonts w:hint="eastAsia" w:asciiTheme="minorEastAsia" w:hAnsiTheme="minorEastAsia" w:eastAsiaTheme="minorEastAsia" w:cstheme="minorEastAsia"/>
          <w:color w:val="000000" w:themeColor="text1"/>
          <w:lang w:eastAsia="zh-CN"/>
        </w:rPr>
        <w:sectPr>
          <w:footerReference r:id="rId4" w:type="default"/>
          <w:pgSz w:w="11906" w:h="16839"/>
          <w:pgMar w:top="1431" w:right="1075" w:bottom="1260" w:left="1306" w:header="0" w:footer="1013" w:gutter="0"/>
          <w:pgNumType w:fmt="decimal"/>
          <w:cols w:space="720" w:num="1"/>
        </w:sectPr>
      </w:pPr>
    </w:p>
    <w:p w14:paraId="196393F0">
      <w:pPr>
        <w:spacing w:before="75" w:after="75"/>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 xml:space="preserve">附2：招标项目一览表                                      金额单位：人民币元 </w:t>
      </w:r>
    </w:p>
    <w:tbl>
      <w:tblPr>
        <w:tblStyle w:val="16"/>
        <w:tblW w:w="9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7"/>
        <w:gridCol w:w="902"/>
        <w:gridCol w:w="2284"/>
        <w:gridCol w:w="1109"/>
        <w:gridCol w:w="1370"/>
        <w:gridCol w:w="1242"/>
        <w:gridCol w:w="1472"/>
      </w:tblGrid>
      <w:tr w14:paraId="4A361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987" w:type="dxa"/>
            <w:vAlign w:val="center"/>
          </w:tcPr>
          <w:p w14:paraId="57861119">
            <w:pPr>
              <w:spacing w:line="54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合同包</w:t>
            </w:r>
          </w:p>
        </w:tc>
        <w:tc>
          <w:tcPr>
            <w:tcW w:w="902" w:type="dxa"/>
            <w:vAlign w:val="center"/>
          </w:tcPr>
          <w:p w14:paraId="1E5C0255">
            <w:pPr>
              <w:spacing w:line="540" w:lineRule="exact"/>
              <w:jc w:val="center"/>
              <w:rPr>
                <w:rFonts w:hint="eastAsia"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color w:val="000000" w:themeColor="text1"/>
                <w:sz w:val="24"/>
              </w:rPr>
              <w:t>品目号</w:t>
            </w:r>
          </w:p>
        </w:tc>
        <w:tc>
          <w:tcPr>
            <w:tcW w:w="2284" w:type="dxa"/>
            <w:vAlign w:val="center"/>
          </w:tcPr>
          <w:p w14:paraId="27ABABE7">
            <w:pPr>
              <w:spacing w:line="540" w:lineRule="exact"/>
              <w:jc w:val="center"/>
              <w:rPr>
                <w:rFonts w:hint="eastAsia"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lang w:eastAsia="zh-CN"/>
              </w:rPr>
              <w:t>招标标的</w:t>
            </w:r>
          </w:p>
        </w:tc>
        <w:tc>
          <w:tcPr>
            <w:tcW w:w="1109" w:type="dxa"/>
            <w:vAlign w:val="center"/>
          </w:tcPr>
          <w:p w14:paraId="2E75F011">
            <w:pPr>
              <w:spacing w:line="540" w:lineRule="exact"/>
              <w:jc w:val="center"/>
              <w:rPr>
                <w:rFonts w:hint="eastAsia" w:asciiTheme="minorEastAsia" w:hAnsiTheme="minorEastAsia" w:eastAsiaTheme="minorEastAsia" w:cstheme="minorEastAsia"/>
                <w:bCs/>
                <w:color w:val="000000" w:themeColor="text1"/>
                <w:sz w:val="24"/>
                <w:highlight w:val="none"/>
                <w:lang w:eastAsia="zh-CN"/>
              </w:rPr>
            </w:pPr>
            <w:r>
              <w:rPr>
                <w:rFonts w:hint="eastAsia" w:asciiTheme="minorEastAsia" w:hAnsiTheme="minorEastAsia" w:eastAsiaTheme="minorEastAsia" w:cstheme="minorEastAsia"/>
                <w:bCs/>
                <w:color w:val="000000" w:themeColor="text1"/>
                <w:sz w:val="24"/>
                <w:highlight w:val="none"/>
                <w:lang w:eastAsia="zh-CN"/>
              </w:rPr>
              <w:t>数量</w:t>
            </w:r>
          </w:p>
        </w:tc>
        <w:tc>
          <w:tcPr>
            <w:tcW w:w="1370" w:type="dxa"/>
            <w:tcBorders>
              <w:right w:val="single" w:color="auto" w:sz="4" w:space="0"/>
            </w:tcBorders>
            <w:vAlign w:val="center"/>
          </w:tcPr>
          <w:p w14:paraId="3E185E2D">
            <w:pPr>
              <w:pStyle w:val="9"/>
              <w:jc w:val="center"/>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最高</w:t>
            </w:r>
            <w:r>
              <w:rPr>
                <w:rFonts w:hint="eastAsia" w:asciiTheme="minorEastAsia" w:hAnsiTheme="minorEastAsia" w:eastAsiaTheme="minorEastAsia" w:cstheme="minorEastAsia"/>
                <w:color w:val="000000" w:themeColor="text1"/>
                <w:sz w:val="24"/>
                <w:szCs w:val="24"/>
                <w:highlight w:val="none"/>
                <w:lang w:eastAsia="zh-CN"/>
              </w:rPr>
              <w:t>限价</w:t>
            </w:r>
            <w:r>
              <w:rPr>
                <w:rFonts w:hint="eastAsia" w:asciiTheme="minorEastAsia" w:hAnsiTheme="minorEastAsia" w:eastAsiaTheme="minorEastAsia" w:cstheme="minorEastAsia"/>
                <w:color w:val="000000" w:themeColor="text1"/>
                <w:sz w:val="24"/>
                <w:szCs w:val="24"/>
                <w:highlight w:val="none"/>
              </w:rPr>
              <w:t>总价（元）</w:t>
            </w:r>
          </w:p>
        </w:tc>
        <w:tc>
          <w:tcPr>
            <w:tcW w:w="1242" w:type="dxa"/>
            <w:tcBorders>
              <w:left w:val="single" w:color="auto" w:sz="4" w:space="0"/>
            </w:tcBorders>
            <w:vAlign w:val="center"/>
          </w:tcPr>
          <w:p w14:paraId="2DA24248">
            <w:pPr>
              <w:pStyle w:val="9"/>
              <w:jc w:val="center"/>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投标</w:t>
            </w:r>
            <w:r>
              <w:rPr>
                <w:rFonts w:hint="eastAsia" w:asciiTheme="minorEastAsia" w:hAnsiTheme="minorEastAsia" w:eastAsiaTheme="minorEastAsia" w:cstheme="minorEastAsia"/>
                <w:color w:val="000000" w:themeColor="text1"/>
                <w:sz w:val="24"/>
                <w:szCs w:val="24"/>
                <w:highlight w:val="none"/>
              </w:rPr>
              <w:t>保证金（元）</w:t>
            </w:r>
          </w:p>
        </w:tc>
        <w:tc>
          <w:tcPr>
            <w:tcW w:w="1472" w:type="dxa"/>
            <w:vAlign w:val="center"/>
          </w:tcPr>
          <w:p w14:paraId="78A41593">
            <w:pPr>
              <w:spacing w:line="54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技术要求</w:t>
            </w:r>
          </w:p>
        </w:tc>
      </w:tr>
      <w:tr w14:paraId="7D2E8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9" w:hRule="atLeast"/>
          <w:jc w:val="center"/>
        </w:trPr>
        <w:tc>
          <w:tcPr>
            <w:tcW w:w="987" w:type="dxa"/>
            <w:vAlign w:val="center"/>
          </w:tcPr>
          <w:p w14:paraId="51D897CB">
            <w:pPr>
              <w:spacing w:line="54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p>
        </w:tc>
        <w:tc>
          <w:tcPr>
            <w:tcW w:w="902" w:type="dxa"/>
            <w:vAlign w:val="center"/>
          </w:tcPr>
          <w:p w14:paraId="42D0C02D">
            <w:pPr>
              <w:spacing w:line="54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w:t>
            </w:r>
          </w:p>
        </w:tc>
        <w:tc>
          <w:tcPr>
            <w:tcW w:w="2284" w:type="dxa"/>
            <w:vAlign w:val="center"/>
          </w:tcPr>
          <w:p w14:paraId="4D6D23EE">
            <w:pPr>
              <w:spacing w:line="360" w:lineRule="auto"/>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sz w:val="24"/>
                <w:lang w:eastAsia="zh-CN"/>
              </w:rPr>
              <w:t>泉州升华实业有限公司安全生产应急指挥中心采购项目</w:t>
            </w:r>
          </w:p>
        </w:tc>
        <w:tc>
          <w:tcPr>
            <w:tcW w:w="1109" w:type="dxa"/>
            <w:vAlign w:val="center"/>
          </w:tcPr>
          <w:p w14:paraId="208DB383">
            <w:pPr>
              <w:spacing w:line="360" w:lineRule="auto"/>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1批</w:t>
            </w:r>
          </w:p>
        </w:tc>
        <w:tc>
          <w:tcPr>
            <w:tcW w:w="1370" w:type="dxa"/>
            <w:tcBorders>
              <w:right w:val="single" w:color="auto" w:sz="4" w:space="0"/>
            </w:tcBorders>
            <w:vAlign w:val="center"/>
          </w:tcPr>
          <w:p w14:paraId="57E42A3E">
            <w:pPr>
              <w:spacing w:line="360" w:lineRule="auto"/>
              <w:jc w:val="center"/>
              <w:rPr>
                <w:rFonts w:hint="eastAsia" w:asciiTheme="minorEastAsia" w:hAnsiTheme="minorEastAsia" w:eastAsiaTheme="minorEastAsia" w:cstheme="minorEastAsia"/>
                <w:color w:val="000000" w:themeColor="text1"/>
                <w:sz w:val="24"/>
                <w:lang w:val="en-US" w:eastAsia="zh-CN"/>
              </w:rPr>
            </w:pPr>
            <w:r>
              <w:rPr>
                <w:rFonts w:hint="eastAsia" w:asciiTheme="minorEastAsia" w:hAnsiTheme="minorEastAsia" w:eastAsiaTheme="minorEastAsia" w:cstheme="minorEastAsia"/>
                <w:color w:val="000000" w:themeColor="text1"/>
                <w:sz w:val="24"/>
                <w:lang w:eastAsia="zh-CN"/>
              </w:rPr>
              <w:t xml:space="preserve"> </w:t>
            </w:r>
            <w:r>
              <w:rPr>
                <w:rFonts w:hint="eastAsia" w:asciiTheme="minorEastAsia" w:hAnsiTheme="minorEastAsia" w:eastAsiaTheme="minorEastAsia" w:cstheme="minorEastAsia"/>
                <w:color w:val="000000" w:themeColor="text1"/>
                <w:sz w:val="24"/>
                <w:lang w:val="en-US" w:eastAsia="zh-CN"/>
              </w:rPr>
              <w:t>7640000</w:t>
            </w:r>
          </w:p>
        </w:tc>
        <w:tc>
          <w:tcPr>
            <w:tcW w:w="1242" w:type="dxa"/>
            <w:tcBorders>
              <w:left w:val="single" w:color="auto" w:sz="4" w:space="0"/>
            </w:tcBorders>
            <w:vAlign w:val="center"/>
          </w:tcPr>
          <w:p w14:paraId="20B0A824">
            <w:pPr>
              <w:spacing w:line="360" w:lineRule="auto"/>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val="en-US" w:eastAsia="zh-CN"/>
              </w:rPr>
              <w:t>76400</w:t>
            </w:r>
          </w:p>
        </w:tc>
        <w:tc>
          <w:tcPr>
            <w:tcW w:w="1472" w:type="dxa"/>
            <w:vAlign w:val="center"/>
          </w:tcPr>
          <w:p w14:paraId="67010FD8">
            <w:pPr>
              <w:spacing w:line="540" w:lineRule="exact"/>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详见招标文件第五章“招标内容及要求”</w:t>
            </w:r>
          </w:p>
        </w:tc>
      </w:tr>
    </w:tbl>
    <w:p w14:paraId="7480F93E">
      <w:pPr>
        <w:pStyle w:val="13"/>
        <w:rPr>
          <w:rFonts w:hint="eastAsia" w:asciiTheme="minorEastAsia" w:hAnsiTheme="minorEastAsia" w:eastAsiaTheme="minorEastAsia" w:cstheme="minorEastAsia"/>
          <w:color w:val="000000" w:themeColor="text1"/>
          <w:lang w:eastAsia="zh-CN"/>
        </w:rPr>
      </w:pPr>
    </w:p>
    <w:p w14:paraId="3BB0F513">
      <w:pPr>
        <w:spacing w:line="400" w:lineRule="exact"/>
        <w:rPr>
          <w:rFonts w:hint="eastAsia"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注：</w:t>
      </w:r>
    </w:p>
    <w:p w14:paraId="614071EF">
      <w:pPr>
        <w:pStyle w:val="26"/>
        <w:numPr>
          <w:ilvl w:val="0"/>
          <w:numId w:val="3"/>
        </w:numPr>
        <w:spacing w:line="400" w:lineRule="exact"/>
        <w:ind w:left="-2" w:leftChars="-113" w:right="-645" w:rightChars="-307" w:hanging="235" w:hangingChars="98"/>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投标人可按合同包报价，对同一合同包内所有品目号内容响应时必须完整。评审与授标以合同包为单位。</w:t>
      </w:r>
    </w:p>
    <w:p w14:paraId="7BD82CF1">
      <w:pPr>
        <w:spacing w:line="400" w:lineRule="exact"/>
        <w:ind w:left="-3" w:leftChars="-96" w:right="-596" w:rightChars="-284" w:hanging="199" w:hangingChars="8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投标人必须对其投标文件中提供各种资料、说明的真实性负责。在评审过程中，如有发现投标人有为谋取中标而提供虚假资料欺骗招标人和评标委员会的行为，将取消其中标资格，其投标保证金将不予退还。若在中标后和执行合同过程中发现其提供虚假资料的将取消其中标资格，给招标人造成损失的，还必须进行赔偿并负相关责任。评审过程中无论是否有对原件进行核实，投标人都必须对其提供各种资料、说明的真实性负责。</w:t>
      </w:r>
    </w:p>
    <w:p w14:paraId="4BB2044F">
      <w:pPr>
        <w:spacing w:before="73" w:line="219" w:lineRule="auto"/>
        <w:ind w:left="2998"/>
        <w:rPr>
          <w:rFonts w:hint="eastAsia" w:asciiTheme="minorEastAsia" w:hAnsiTheme="minorEastAsia" w:eastAsiaTheme="minorEastAsia" w:cstheme="minorEastAsia"/>
          <w:b/>
          <w:bCs/>
          <w:color w:val="000000" w:themeColor="text1"/>
          <w:spacing w:val="-3"/>
          <w:sz w:val="28"/>
          <w:szCs w:val="28"/>
          <w:lang w:eastAsia="zh-CN"/>
        </w:rPr>
        <w:sectPr>
          <w:footerReference r:id="rId5" w:type="default"/>
          <w:pgSz w:w="11906" w:h="16839"/>
          <w:pgMar w:top="1431" w:right="1277" w:bottom="1260" w:left="1277" w:header="0" w:footer="1013" w:gutter="0"/>
          <w:pgNumType w:fmt="decimal"/>
          <w:cols w:space="720" w:num="1"/>
        </w:sectPr>
      </w:pPr>
    </w:p>
    <w:p w14:paraId="76E4856D">
      <w:pPr>
        <w:spacing w:before="73" w:line="219" w:lineRule="auto"/>
        <w:ind w:left="2998"/>
        <w:outlineLvl w:val="0"/>
        <w:rPr>
          <w:rFonts w:hint="eastAsia" w:asciiTheme="minorEastAsia" w:hAnsiTheme="minorEastAsia" w:eastAsiaTheme="minorEastAsia" w:cstheme="minorEastAsia"/>
          <w:color w:val="000000" w:themeColor="text1"/>
          <w:sz w:val="28"/>
          <w:szCs w:val="28"/>
          <w:lang w:eastAsia="zh-CN"/>
        </w:rPr>
      </w:pPr>
      <w:bookmarkStart w:id="1" w:name="_Toc1036"/>
      <w:r>
        <w:rPr>
          <w:rFonts w:hint="eastAsia" w:asciiTheme="minorEastAsia" w:hAnsiTheme="minorEastAsia" w:eastAsiaTheme="minorEastAsia" w:cstheme="minorEastAsia"/>
          <w:b/>
          <w:bCs/>
          <w:color w:val="000000" w:themeColor="text1"/>
          <w:spacing w:val="-3"/>
          <w:sz w:val="28"/>
          <w:szCs w:val="28"/>
          <w:lang w:eastAsia="zh-CN"/>
        </w:rPr>
        <w:t>第二章</w:t>
      </w:r>
      <w:r>
        <w:rPr>
          <w:rFonts w:hint="eastAsia" w:asciiTheme="minorEastAsia" w:hAnsiTheme="minorEastAsia" w:eastAsiaTheme="minorEastAsia" w:cstheme="minorEastAsia"/>
          <w:color w:val="000000" w:themeColor="text1"/>
          <w:spacing w:val="-3"/>
          <w:sz w:val="28"/>
          <w:szCs w:val="28"/>
          <w:lang w:eastAsia="zh-CN"/>
        </w:rPr>
        <w:t xml:space="preserve">  </w:t>
      </w:r>
      <w:r>
        <w:rPr>
          <w:rFonts w:hint="eastAsia" w:asciiTheme="minorEastAsia" w:hAnsiTheme="minorEastAsia" w:eastAsiaTheme="minorEastAsia" w:cstheme="minorEastAsia"/>
          <w:b/>
          <w:bCs/>
          <w:color w:val="000000" w:themeColor="text1"/>
          <w:spacing w:val="-3"/>
          <w:sz w:val="28"/>
          <w:szCs w:val="28"/>
          <w:lang w:eastAsia="zh-CN"/>
        </w:rPr>
        <w:t>投标人须知前附表</w:t>
      </w:r>
      <w:bookmarkEnd w:id="1"/>
    </w:p>
    <w:p w14:paraId="4120727C">
      <w:pPr>
        <w:spacing w:before="82" w:line="216" w:lineRule="auto"/>
        <w:ind w:left="146"/>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5"/>
          <w:sz w:val="24"/>
          <w:szCs w:val="24"/>
        </w:rPr>
        <w:t>表</w:t>
      </w:r>
      <w:r>
        <w:rPr>
          <w:rFonts w:hint="eastAsia" w:asciiTheme="minorEastAsia" w:hAnsiTheme="minorEastAsia" w:eastAsiaTheme="minorEastAsia" w:cstheme="minorEastAsia"/>
          <w:color w:val="000000" w:themeColor="text1"/>
          <w:spacing w:val="-33"/>
          <w:sz w:val="24"/>
          <w:szCs w:val="24"/>
        </w:rPr>
        <w:t xml:space="preserve"> </w:t>
      </w:r>
      <w:r>
        <w:rPr>
          <w:rFonts w:hint="eastAsia" w:asciiTheme="minorEastAsia" w:hAnsiTheme="minorEastAsia" w:eastAsiaTheme="minorEastAsia" w:cstheme="minorEastAsia"/>
          <w:color w:val="000000" w:themeColor="text1"/>
          <w:spacing w:val="-5"/>
          <w:sz w:val="24"/>
          <w:szCs w:val="24"/>
        </w:rPr>
        <w:t>1</w:t>
      </w:r>
    </w:p>
    <w:p w14:paraId="4A0080EB">
      <w:pPr>
        <w:pStyle w:val="8"/>
        <w:spacing w:line="176" w:lineRule="exact"/>
        <w:rPr>
          <w:rFonts w:hint="eastAsia" w:asciiTheme="minorEastAsia" w:hAnsiTheme="minorEastAsia" w:eastAsiaTheme="minorEastAsia" w:cstheme="minorEastAsia"/>
          <w:color w:val="000000" w:themeColor="text1"/>
          <w:sz w:val="15"/>
        </w:rPr>
      </w:pPr>
    </w:p>
    <w:tbl>
      <w:tblPr>
        <w:tblStyle w:val="16"/>
        <w:tblW w:w="984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1"/>
        <w:gridCol w:w="1302"/>
        <w:gridCol w:w="7760"/>
      </w:tblGrid>
      <w:tr w14:paraId="5206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83" w:type="dxa"/>
            <w:gridSpan w:val="3"/>
            <w:tcMar>
              <w:top w:w="0" w:type="dxa"/>
              <w:left w:w="83" w:type="dxa"/>
              <w:bottom w:w="0" w:type="dxa"/>
              <w:right w:w="83" w:type="dxa"/>
            </w:tcMar>
            <w:vAlign w:val="center"/>
          </w:tcPr>
          <w:p w14:paraId="705E9C42">
            <w:pPr>
              <w:pStyle w:val="15"/>
              <w:spacing w:before="0" w:beforeAutospacing="0" w:after="0" w:afterAutospacing="0"/>
              <w:jc w:val="center"/>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特别提示：本表与招标文件对应章节的内容若不一致，以本表为准。</w:t>
            </w:r>
          </w:p>
        </w:tc>
      </w:tr>
      <w:tr w14:paraId="3941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76BEB139">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项号</w:t>
            </w:r>
          </w:p>
        </w:tc>
        <w:tc>
          <w:tcPr>
            <w:tcW w:w="1272" w:type="dxa"/>
            <w:tcMar>
              <w:top w:w="0" w:type="dxa"/>
              <w:left w:w="83" w:type="dxa"/>
              <w:bottom w:w="0" w:type="dxa"/>
              <w:right w:w="83" w:type="dxa"/>
            </w:tcMar>
            <w:vAlign w:val="center"/>
          </w:tcPr>
          <w:p w14:paraId="3079FD03">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招标文件</w:t>
            </w:r>
          </w:p>
          <w:p w14:paraId="4DBE9D94">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（第三章）</w:t>
            </w:r>
          </w:p>
        </w:tc>
        <w:tc>
          <w:tcPr>
            <w:tcW w:w="7715" w:type="dxa"/>
            <w:tcMar>
              <w:top w:w="0" w:type="dxa"/>
              <w:left w:w="83" w:type="dxa"/>
              <w:bottom w:w="0" w:type="dxa"/>
              <w:right w:w="83" w:type="dxa"/>
            </w:tcMar>
            <w:vAlign w:val="center"/>
          </w:tcPr>
          <w:p w14:paraId="143BD01E">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编列内容</w:t>
            </w:r>
          </w:p>
        </w:tc>
      </w:tr>
      <w:tr w14:paraId="4681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4C481F9E">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1272" w:type="dxa"/>
            <w:tcMar>
              <w:top w:w="0" w:type="dxa"/>
              <w:left w:w="83" w:type="dxa"/>
              <w:bottom w:w="0" w:type="dxa"/>
              <w:right w:w="83" w:type="dxa"/>
            </w:tcMar>
            <w:vAlign w:val="center"/>
          </w:tcPr>
          <w:p w14:paraId="07588123">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6.1</w:t>
            </w:r>
          </w:p>
        </w:tc>
        <w:tc>
          <w:tcPr>
            <w:tcW w:w="7715" w:type="dxa"/>
            <w:tcMar>
              <w:top w:w="0" w:type="dxa"/>
              <w:left w:w="83" w:type="dxa"/>
              <w:bottom w:w="0" w:type="dxa"/>
              <w:right w:w="83" w:type="dxa"/>
            </w:tcMar>
            <w:vAlign w:val="center"/>
          </w:tcPr>
          <w:p w14:paraId="119AB425">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是否组织现场考察或召开开标前答疑会：</w:t>
            </w:r>
            <w:r>
              <w:rPr>
                <w:rFonts w:hint="eastAsia" w:asciiTheme="minorEastAsia" w:hAnsiTheme="minorEastAsia" w:eastAsiaTheme="minorEastAsia" w:cstheme="minorEastAsia"/>
                <w:b/>
                <w:lang w:eastAsia="zh-CN"/>
              </w:rPr>
              <w:t>否</w:t>
            </w:r>
          </w:p>
        </w:tc>
      </w:tr>
      <w:tr w14:paraId="7DB5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260424AD">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1272" w:type="dxa"/>
            <w:tcMar>
              <w:top w:w="0" w:type="dxa"/>
              <w:left w:w="83" w:type="dxa"/>
              <w:bottom w:w="0" w:type="dxa"/>
              <w:right w:w="83" w:type="dxa"/>
            </w:tcMar>
            <w:vAlign w:val="center"/>
          </w:tcPr>
          <w:p w14:paraId="6520C60D">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10.4</w:t>
            </w:r>
          </w:p>
        </w:tc>
        <w:tc>
          <w:tcPr>
            <w:tcW w:w="7715" w:type="dxa"/>
            <w:tcMar>
              <w:top w:w="0" w:type="dxa"/>
              <w:left w:w="83" w:type="dxa"/>
              <w:bottom w:w="0" w:type="dxa"/>
              <w:right w:w="83" w:type="dxa"/>
            </w:tcMar>
            <w:vAlign w:val="center"/>
          </w:tcPr>
          <w:p w14:paraId="5EA380FB">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投标文件的份数：</w:t>
            </w:r>
          </w:p>
          <w:p w14:paraId="6DA7646C">
            <w:pPr>
              <w:pStyle w:val="25"/>
              <w:kinsoku/>
              <w:autoSpaceDE/>
              <w:autoSpaceDN/>
              <w:adjustRightInd/>
              <w:snapToGrid/>
              <w:spacing w:before="74" w:line="420" w:lineRule="exact"/>
              <w:ind w:left="114" w:right="105" w:firstLine="11"/>
              <w:textAlignment w:val="auto"/>
              <w:rPr>
                <w:rFonts w:hint="eastAsia" w:asciiTheme="minorEastAsia" w:hAnsiTheme="minorEastAsia" w:eastAsiaTheme="minorEastAsia" w:cstheme="minorEastAsia"/>
                <w:color w:val="000000" w:themeColor="text1"/>
                <w:spacing w:val="-5"/>
                <w:lang w:eastAsia="zh-CN"/>
              </w:rPr>
            </w:pPr>
            <w:r>
              <w:rPr>
                <w:rFonts w:hint="eastAsia" w:asciiTheme="minorEastAsia" w:hAnsiTheme="minorEastAsia" w:eastAsiaTheme="minorEastAsia" w:cstheme="minorEastAsia"/>
                <w:color w:val="000000" w:themeColor="text1"/>
                <w:spacing w:val="-5"/>
                <w:lang w:eastAsia="zh-CN"/>
              </w:rPr>
              <w:t>（1）投标文件：</w:t>
            </w:r>
            <w:r>
              <w:rPr>
                <w:rFonts w:hint="eastAsia" w:asciiTheme="minorEastAsia" w:hAnsiTheme="minorEastAsia" w:eastAsiaTheme="minorEastAsia" w:cstheme="minorEastAsia"/>
                <w:b/>
                <w:bCs/>
                <w:color w:val="000000" w:themeColor="text1"/>
                <w:spacing w:val="-5"/>
                <w:lang w:eastAsia="zh-CN"/>
              </w:rPr>
              <w:t>正、副本均须胶装装订成册，并加盖骑缝章(或</w:t>
            </w:r>
            <w:r>
              <w:rPr>
                <w:rFonts w:hint="eastAsia" w:asciiTheme="minorEastAsia" w:hAnsiTheme="minorEastAsia" w:eastAsiaTheme="minorEastAsia" w:cstheme="minorEastAsia"/>
                <w:b/>
                <w:bCs/>
                <w:color w:val="000000" w:themeColor="text1"/>
                <w:spacing w:val="-4"/>
                <w:lang w:eastAsia="zh-CN"/>
              </w:rPr>
              <w:t>每页盖章)</w:t>
            </w:r>
            <w:r>
              <w:rPr>
                <w:rFonts w:hint="eastAsia" w:asciiTheme="minorEastAsia" w:hAnsiTheme="minorEastAsia" w:eastAsiaTheme="minorEastAsia" w:cstheme="minorEastAsia"/>
                <w:color w:val="000000" w:themeColor="text1"/>
                <w:spacing w:val="-4"/>
                <w:lang w:eastAsia="zh-CN"/>
              </w:rPr>
              <w:t>。</w:t>
            </w:r>
            <w:r>
              <w:rPr>
                <w:rFonts w:hint="eastAsia" w:asciiTheme="minorEastAsia" w:hAnsiTheme="minorEastAsia" w:eastAsiaTheme="minorEastAsia" w:cstheme="minorEastAsia"/>
                <w:color w:val="000000" w:themeColor="text1"/>
                <w:spacing w:val="-5"/>
                <w:lang w:eastAsia="zh-CN"/>
              </w:rPr>
              <w:t>资格及资信证明部分的正本</w:t>
            </w:r>
            <w:r>
              <w:rPr>
                <w:rFonts w:hint="eastAsia" w:asciiTheme="minorEastAsia" w:hAnsiTheme="minorEastAsia" w:eastAsiaTheme="minorEastAsia" w:cstheme="minorEastAsia"/>
                <w:color w:val="000000" w:themeColor="text1"/>
                <w:spacing w:val="-60"/>
                <w:lang w:eastAsia="zh-CN"/>
              </w:rPr>
              <w:t xml:space="preserve"> </w:t>
            </w:r>
            <w:r>
              <w:rPr>
                <w:rFonts w:hint="eastAsia" w:asciiTheme="minorEastAsia" w:hAnsiTheme="minorEastAsia" w:eastAsiaTheme="minorEastAsia" w:cstheme="minorEastAsia"/>
                <w:color w:val="000000" w:themeColor="text1"/>
                <w:spacing w:val="-93"/>
                <w:u w:val="single"/>
                <w:lang w:eastAsia="zh-CN"/>
              </w:rPr>
              <w:t xml:space="preserve"> </w:t>
            </w:r>
            <w:r>
              <w:rPr>
                <w:rFonts w:hint="eastAsia" w:asciiTheme="minorEastAsia" w:hAnsiTheme="minorEastAsia" w:eastAsiaTheme="minorEastAsia" w:cstheme="minorEastAsia"/>
                <w:color w:val="000000" w:themeColor="text1"/>
                <w:spacing w:val="-5"/>
                <w:u w:val="single"/>
                <w:lang w:eastAsia="zh-CN"/>
              </w:rPr>
              <w:t>1</w:t>
            </w:r>
            <w:r>
              <w:rPr>
                <w:rFonts w:hint="eastAsia" w:asciiTheme="minorEastAsia" w:hAnsiTheme="minorEastAsia" w:eastAsiaTheme="minorEastAsia" w:cstheme="minorEastAsia"/>
                <w:color w:val="000000" w:themeColor="text1"/>
                <w:spacing w:val="-50"/>
                <w:u w:val="single"/>
                <w:lang w:eastAsia="zh-CN"/>
              </w:rPr>
              <w:t xml:space="preserve"> </w:t>
            </w:r>
            <w:r>
              <w:rPr>
                <w:rFonts w:hint="eastAsia" w:asciiTheme="minorEastAsia" w:hAnsiTheme="minorEastAsia" w:eastAsiaTheme="minorEastAsia" w:cstheme="minorEastAsia"/>
                <w:color w:val="000000" w:themeColor="text1"/>
                <w:spacing w:val="-5"/>
                <w:lang w:eastAsia="zh-CN"/>
              </w:rPr>
              <w:t>份、副本</w:t>
            </w:r>
            <w:r>
              <w:rPr>
                <w:rFonts w:hint="eastAsia" w:asciiTheme="minorEastAsia" w:hAnsiTheme="minorEastAsia" w:eastAsiaTheme="minorEastAsia" w:cstheme="minorEastAsia"/>
                <w:color w:val="000000" w:themeColor="text1"/>
                <w:spacing w:val="-52"/>
                <w:lang w:eastAsia="zh-CN"/>
              </w:rPr>
              <w:t xml:space="preserve"> </w:t>
            </w:r>
            <w:r>
              <w:rPr>
                <w:rFonts w:hint="eastAsia" w:asciiTheme="minorEastAsia" w:hAnsiTheme="minorEastAsia" w:eastAsiaTheme="minorEastAsia" w:cstheme="minorEastAsia"/>
                <w:color w:val="000000" w:themeColor="text1"/>
                <w:spacing w:val="-5"/>
                <w:u w:val="single"/>
                <w:lang w:eastAsia="zh-CN"/>
              </w:rPr>
              <w:t>4</w:t>
            </w:r>
            <w:r>
              <w:rPr>
                <w:rFonts w:hint="eastAsia" w:asciiTheme="minorEastAsia" w:hAnsiTheme="minorEastAsia" w:eastAsiaTheme="minorEastAsia" w:cstheme="minorEastAsia"/>
                <w:color w:val="000000" w:themeColor="text1"/>
                <w:spacing w:val="-50"/>
                <w:u w:val="single"/>
                <w:lang w:eastAsia="zh-CN"/>
              </w:rPr>
              <w:t xml:space="preserve"> </w:t>
            </w:r>
            <w:r>
              <w:rPr>
                <w:rFonts w:hint="eastAsia" w:asciiTheme="minorEastAsia" w:hAnsiTheme="minorEastAsia" w:eastAsiaTheme="minorEastAsia" w:cstheme="minorEastAsia"/>
                <w:color w:val="000000" w:themeColor="text1"/>
                <w:spacing w:val="-5"/>
                <w:lang w:eastAsia="zh-CN"/>
              </w:rPr>
              <w:t>份，报价部分的正本</w:t>
            </w:r>
            <w:r>
              <w:rPr>
                <w:rFonts w:hint="eastAsia" w:asciiTheme="minorEastAsia" w:hAnsiTheme="minorEastAsia" w:eastAsiaTheme="minorEastAsia" w:cstheme="minorEastAsia"/>
                <w:color w:val="000000" w:themeColor="text1"/>
                <w:spacing w:val="-61"/>
                <w:lang w:eastAsia="zh-CN"/>
              </w:rPr>
              <w:t xml:space="preserve"> </w:t>
            </w:r>
            <w:r>
              <w:rPr>
                <w:rFonts w:hint="eastAsia" w:asciiTheme="minorEastAsia" w:hAnsiTheme="minorEastAsia" w:eastAsiaTheme="minorEastAsia" w:cstheme="minorEastAsia"/>
                <w:color w:val="000000" w:themeColor="text1"/>
                <w:spacing w:val="-92"/>
                <w:u w:val="single"/>
                <w:lang w:eastAsia="zh-CN"/>
              </w:rPr>
              <w:t xml:space="preserve"> </w:t>
            </w:r>
            <w:r>
              <w:rPr>
                <w:rFonts w:hint="eastAsia" w:asciiTheme="minorEastAsia" w:hAnsiTheme="minorEastAsia" w:eastAsiaTheme="minorEastAsia" w:cstheme="minorEastAsia"/>
                <w:color w:val="000000" w:themeColor="text1"/>
                <w:spacing w:val="-5"/>
                <w:u w:val="single"/>
                <w:lang w:eastAsia="zh-CN"/>
              </w:rPr>
              <w:t>1</w:t>
            </w:r>
            <w:r>
              <w:rPr>
                <w:rFonts w:hint="eastAsia" w:asciiTheme="minorEastAsia" w:hAnsiTheme="minorEastAsia" w:eastAsiaTheme="minorEastAsia" w:cstheme="minorEastAsia"/>
                <w:color w:val="000000" w:themeColor="text1"/>
                <w:spacing w:val="-51"/>
                <w:u w:val="single"/>
                <w:lang w:eastAsia="zh-CN"/>
              </w:rPr>
              <w:t xml:space="preserve"> </w:t>
            </w:r>
            <w:r>
              <w:rPr>
                <w:rFonts w:hint="eastAsia" w:asciiTheme="minorEastAsia" w:hAnsiTheme="minorEastAsia" w:eastAsiaTheme="minorEastAsia" w:cstheme="minorEastAsia"/>
                <w:color w:val="000000" w:themeColor="text1"/>
                <w:spacing w:val="-6"/>
                <w:lang w:eastAsia="zh-CN"/>
              </w:rPr>
              <w:t>份、</w:t>
            </w:r>
            <w:r>
              <w:rPr>
                <w:rFonts w:hint="eastAsia" w:asciiTheme="minorEastAsia" w:hAnsiTheme="minorEastAsia" w:eastAsiaTheme="minorEastAsia" w:cstheme="minorEastAsia"/>
                <w:color w:val="000000" w:themeColor="text1"/>
                <w:lang w:eastAsia="zh-CN"/>
              </w:rPr>
              <w:t xml:space="preserve"> </w:t>
            </w:r>
            <w:r>
              <w:rPr>
                <w:rFonts w:hint="eastAsia" w:asciiTheme="minorEastAsia" w:hAnsiTheme="minorEastAsia" w:eastAsiaTheme="minorEastAsia" w:cstheme="minorEastAsia"/>
                <w:color w:val="000000" w:themeColor="text1"/>
                <w:spacing w:val="-4"/>
                <w:lang w:eastAsia="zh-CN"/>
              </w:rPr>
              <w:t>副本</w:t>
            </w:r>
            <w:r>
              <w:rPr>
                <w:rFonts w:hint="eastAsia" w:asciiTheme="minorEastAsia" w:hAnsiTheme="minorEastAsia" w:eastAsiaTheme="minorEastAsia" w:cstheme="minorEastAsia"/>
                <w:color w:val="000000" w:themeColor="text1"/>
                <w:spacing w:val="-52"/>
                <w:lang w:eastAsia="zh-CN"/>
              </w:rPr>
              <w:t xml:space="preserve"> </w:t>
            </w:r>
            <w:r>
              <w:rPr>
                <w:rFonts w:hint="eastAsia" w:asciiTheme="minorEastAsia" w:hAnsiTheme="minorEastAsia" w:eastAsiaTheme="minorEastAsia" w:cstheme="minorEastAsia"/>
                <w:color w:val="000000" w:themeColor="text1"/>
                <w:spacing w:val="-4"/>
                <w:u w:val="single"/>
                <w:lang w:eastAsia="zh-CN"/>
              </w:rPr>
              <w:t>4</w:t>
            </w:r>
            <w:r>
              <w:rPr>
                <w:rFonts w:hint="eastAsia" w:asciiTheme="minorEastAsia" w:hAnsiTheme="minorEastAsia" w:eastAsiaTheme="minorEastAsia" w:cstheme="minorEastAsia"/>
                <w:color w:val="000000" w:themeColor="text1"/>
                <w:spacing w:val="-50"/>
                <w:u w:val="single"/>
                <w:lang w:eastAsia="zh-CN"/>
              </w:rPr>
              <w:t xml:space="preserve"> </w:t>
            </w:r>
            <w:r>
              <w:rPr>
                <w:rFonts w:hint="eastAsia" w:asciiTheme="minorEastAsia" w:hAnsiTheme="minorEastAsia" w:eastAsiaTheme="minorEastAsia" w:cstheme="minorEastAsia"/>
                <w:color w:val="000000" w:themeColor="text1"/>
                <w:spacing w:val="-4"/>
                <w:lang w:eastAsia="zh-CN"/>
              </w:rPr>
              <w:t>份，技术商务部分的正本</w:t>
            </w:r>
            <w:r>
              <w:rPr>
                <w:rFonts w:hint="eastAsia" w:asciiTheme="minorEastAsia" w:hAnsiTheme="minorEastAsia" w:eastAsiaTheme="minorEastAsia" w:cstheme="minorEastAsia"/>
                <w:color w:val="000000" w:themeColor="text1"/>
                <w:spacing w:val="-33"/>
                <w:u w:val="single"/>
                <w:lang w:eastAsia="zh-CN"/>
              </w:rPr>
              <w:t xml:space="preserve"> </w:t>
            </w:r>
            <w:r>
              <w:rPr>
                <w:rFonts w:hint="eastAsia" w:asciiTheme="minorEastAsia" w:hAnsiTheme="minorEastAsia" w:eastAsiaTheme="minorEastAsia" w:cstheme="minorEastAsia"/>
                <w:color w:val="000000" w:themeColor="text1"/>
                <w:spacing w:val="-4"/>
                <w:u w:val="single"/>
                <w:lang w:eastAsia="zh-CN"/>
              </w:rPr>
              <w:t>1</w:t>
            </w:r>
            <w:r>
              <w:rPr>
                <w:rFonts w:hint="eastAsia" w:asciiTheme="minorEastAsia" w:hAnsiTheme="minorEastAsia" w:eastAsiaTheme="minorEastAsia" w:cstheme="minorEastAsia"/>
                <w:color w:val="000000" w:themeColor="text1"/>
                <w:spacing w:val="-51"/>
                <w:lang w:eastAsia="zh-CN"/>
              </w:rPr>
              <w:t xml:space="preserve"> </w:t>
            </w:r>
            <w:r>
              <w:rPr>
                <w:rFonts w:hint="eastAsia" w:asciiTheme="minorEastAsia" w:hAnsiTheme="minorEastAsia" w:eastAsiaTheme="minorEastAsia" w:cstheme="minorEastAsia"/>
                <w:color w:val="000000" w:themeColor="text1"/>
                <w:spacing w:val="-4"/>
                <w:lang w:eastAsia="zh-CN"/>
              </w:rPr>
              <w:t>份、副本</w:t>
            </w:r>
            <w:r>
              <w:rPr>
                <w:rFonts w:hint="eastAsia" w:asciiTheme="minorEastAsia" w:hAnsiTheme="minorEastAsia" w:eastAsiaTheme="minorEastAsia" w:cstheme="minorEastAsia"/>
                <w:color w:val="000000" w:themeColor="text1"/>
                <w:spacing w:val="-51"/>
                <w:u w:val="single"/>
                <w:lang w:eastAsia="zh-CN"/>
              </w:rPr>
              <w:t xml:space="preserve"> </w:t>
            </w:r>
            <w:r>
              <w:rPr>
                <w:rFonts w:hint="eastAsia" w:asciiTheme="minorEastAsia" w:hAnsiTheme="minorEastAsia" w:eastAsiaTheme="minorEastAsia" w:cstheme="minorEastAsia"/>
                <w:color w:val="000000" w:themeColor="text1"/>
                <w:spacing w:val="-4"/>
                <w:u w:val="single"/>
                <w:lang w:eastAsia="zh-CN"/>
              </w:rPr>
              <w:t>4</w:t>
            </w:r>
            <w:r>
              <w:rPr>
                <w:rFonts w:hint="eastAsia" w:asciiTheme="minorEastAsia" w:hAnsiTheme="minorEastAsia" w:eastAsiaTheme="minorEastAsia" w:cstheme="minorEastAsia"/>
                <w:color w:val="000000" w:themeColor="text1"/>
                <w:spacing w:val="-51"/>
                <w:u w:val="single"/>
                <w:lang w:eastAsia="zh-CN"/>
              </w:rPr>
              <w:t xml:space="preserve"> </w:t>
            </w:r>
            <w:r>
              <w:rPr>
                <w:rFonts w:hint="eastAsia" w:asciiTheme="minorEastAsia" w:hAnsiTheme="minorEastAsia" w:eastAsiaTheme="minorEastAsia" w:cstheme="minorEastAsia"/>
                <w:color w:val="000000" w:themeColor="text1"/>
                <w:spacing w:val="-4"/>
                <w:lang w:eastAsia="zh-CN"/>
              </w:rPr>
              <w:t>份</w:t>
            </w:r>
            <w:r>
              <w:rPr>
                <w:rFonts w:hint="eastAsia" w:asciiTheme="minorEastAsia" w:hAnsiTheme="minorEastAsia" w:eastAsiaTheme="minorEastAsia" w:cstheme="minorEastAsia"/>
                <w:color w:val="000000" w:themeColor="text1"/>
                <w:spacing w:val="-5"/>
                <w:lang w:eastAsia="zh-CN"/>
              </w:rPr>
              <w:t>；电子文本</w:t>
            </w:r>
            <w:r>
              <w:rPr>
                <w:rFonts w:hint="eastAsia" w:asciiTheme="minorEastAsia" w:hAnsiTheme="minorEastAsia" w:eastAsiaTheme="minorEastAsia" w:cstheme="minorEastAsia"/>
                <w:color w:val="000000" w:themeColor="text1"/>
                <w:spacing w:val="-33"/>
                <w:u w:val="single"/>
                <w:lang w:eastAsia="zh-CN"/>
              </w:rPr>
              <w:t xml:space="preserve"> </w:t>
            </w:r>
            <w:r>
              <w:rPr>
                <w:rFonts w:hint="eastAsia" w:asciiTheme="minorEastAsia" w:hAnsiTheme="minorEastAsia" w:eastAsiaTheme="minorEastAsia" w:cstheme="minorEastAsia"/>
                <w:color w:val="000000" w:themeColor="text1"/>
                <w:spacing w:val="-5"/>
                <w:u w:val="single"/>
                <w:lang w:eastAsia="zh-CN"/>
              </w:rPr>
              <w:t>1</w:t>
            </w:r>
            <w:r>
              <w:rPr>
                <w:rFonts w:hint="eastAsia" w:asciiTheme="minorEastAsia" w:hAnsiTheme="minorEastAsia" w:eastAsiaTheme="minorEastAsia" w:cstheme="minorEastAsia"/>
                <w:color w:val="000000" w:themeColor="text1"/>
                <w:spacing w:val="-51"/>
                <w:lang w:eastAsia="zh-CN"/>
              </w:rPr>
              <w:t xml:space="preserve"> </w:t>
            </w:r>
            <w:r>
              <w:rPr>
                <w:rFonts w:hint="eastAsia" w:asciiTheme="minorEastAsia" w:hAnsiTheme="minorEastAsia" w:eastAsiaTheme="minorEastAsia" w:cstheme="minorEastAsia"/>
                <w:color w:val="000000" w:themeColor="text1"/>
                <w:spacing w:val="-5"/>
                <w:lang w:eastAsia="zh-CN"/>
              </w:rPr>
              <w:t>份。</w:t>
            </w:r>
            <w:r>
              <w:rPr>
                <w:rFonts w:hint="eastAsia" w:asciiTheme="minorEastAsia" w:hAnsiTheme="minorEastAsia" w:eastAsiaTheme="minorEastAsia" w:cstheme="minorEastAsia"/>
                <w:color w:val="000000" w:themeColor="text1"/>
                <w:lang w:eastAsia="zh-CN"/>
              </w:rPr>
              <w:t>副本可用正本的完整复印件，并与正本保持一致（若不一致，以正本为准）</w:t>
            </w:r>
            <w:r>
              <w:rPr>
                <w:rFonts w:hint="eastAsia" w:asciiTheme="minorEastAsia" w:hAnsiTheme="minorEastAsia" w:eastAsiaTheme="minorEastAsia" w:cstheme="minorEastAsia"/>
                <w:color w:val="000000" w:themeColor="text1"/>
                <w:spacing w:val="-5"/>
                <w:lang w:eastAsia="zh-CN"/>
              </w:rPr>
              <w:t>。</w:t>
            </w:r>
          </w:p>
          <w:p w14:paraId="5D3D3D51">
            <w:pPr>
              <w:pStyle w:val="15"/>
              <w:kinsoku/>
              <w:autoSpaceDE/>
              <w:autoSpaceDN/>
              <w:adjustRightInd/>
              <w:snapToGrid/>
              <w:spacing w:before="50" w:beforeAutospacing="0" w:after="5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（2）单独的报价一览表：1份。</w:t>
            </w:r>
          </w:p>
          <w:p w14:paraId="006D0719">
            <w:pPr>
              <w:pStyle w:val="25"/>
              <w:kinsoku/>
              <w:autoSpaceDE/>
              <w:autoSpaceDN/>
              <w:adjustRightInd/>
              <w:snapToGrid/>
              <w:spacing w:before="73" w:line="420" w:lineRule="exact"/>
              <w:ind w:right="105"/>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（3）电子文本一份（电子投标文件制作要求：正本的纸质投标文件</w:t>
            </w:r>
            <w:r>
              <w:rPr>
                <w:rFonts w:hint="eastAsia" w:asciiTheme="minorEastAsia" w:hAnsiTheme="minorEastAsia" w:eastAsiaTheme="minorEastAsia" w:cstheme="minorEastAsia"/>
                <w:color w:val="000000" w:themeColor="text1"/>
                <w:spacing w:val="-3"/>
                <w:lang w:eastAsia="zh-CN"/>
              </w:rPr>
              <w:t>应签字、盖章后完整扫描保存为</w:t>
            </w:r>
            <w:r>
              <w:rPr>
                <w:rFonts w:hint="eastAsia" w:asciiTheme="minorEastAsia" w:hAnsiTheme="minorEastAsia" w:eastAsiaTheme="minorEastAsia" w:cstheme="minorEastAsia"/>
                <w:color w:val="000000" w:themeColor="text1"/>
                <w:spacing w:val="-54"/>
                <w:lang w:eastAsia="zh-CN"/>
              </w:rPr>
              <w:t xml:space="preserve"> </w:t>
            </w:r>
            <w:r>
              <w:rPr>
                <w:rFonts w:hint="eastAsia" w:asciiTheme="minorEastAsia" w:hAnsiTheme="minorEastAsia" w:eastAsiaTheme="minorEastAsia" w:cstheme="minorEastAsia"/>
                <w:color w:val="000000" w:themeColor="text1"/>
                <w:spacing w:val="-3"/>
                <w:lang w:eastAsia="zh-CN"/>
              </w:rPr>
              <w:t>PDF</w:t>
            </w:r>
            <w:r>
              <w:rPr>
                <w:rFonts w:hint="eastAsia" w:asciiTheme="minorEastAsia" w:hAnsiTheme="minorEastAsia" w:eastAsiaTheme="minorEastAsia" w:cstheme="minorEastAsia"/>
                <w:color w:val="000000" w:themeColor="text1"/>
                <w:spacing w:val="-51"/>
                <w:lang w:eastAsia="zh-CN"/>
              </w:rPr>
              <w:t xml:space="preserve"> </w:t>
            </w:r>
            <w:r>
              <w:rPr>
                <w:rFonts w:hint="eastAsia" w:asciiTheme="minorEastAsia" w:hAnsiTheme="minorEastAsia" w:eastAsiaTheme="minorEastAsia" w:cstheme="minorEastAsia"/>
                <w:color w:val="000000" w:themeColor="text1"/>
                <w:spacing w:val="-3"/>
                <w:lang w:eastAsia="zh-CN"/>
              </w:rPr>
              <w:t>格式，</w:t>
            </w:r>
            <w:r>
              <w:rPr>
                <w:rFonts w:hint="eastAsia" w:asciiTheme="minorEastAsia" w:hAnsiTheme="minorEastAsia" w:eastAsiaTheme="minorEastAsia" w:cstheme="minorEastAsia"/>
                <w:color w:val="000000" w:themeColor="text1"/>
                <w:spacing w:val="-4"/>
                <w:lang w:eastAsia="zh-CN"/>
              </w:rPr>
              <w:t>电子投标文件用</w:t>
            </w:r>
            <w:r>
              <w:rPr>
                <w:rFonts w:hint="eastAsia" w:asciiTheme="minorEastAsia" w:hAnsiTheme="minorEastAsia" w:eastAsiaTheme="minorEastAsia" w:cstheme="minorEastAsia"/>
                <w:color w:val="000000" w:themeColor="text1"/>
                <w:spacing w:val="-56"/>
                <w:lang w:eastAsia="zh-CN"/>
              </w:rPr>
              <w:t xml:space="preserve"> </w:t>
            </w:r>
            <w:r>
              <w:rPr>
                <w:rFonts w:hint="eastAsia" w:asciiTheme="minorEastAsia" w:hAnsiTheme="minorEastAsia" w:eastAsiaTheme="minorEastAsia" w:cstheme="minorEastAsia"/>
                <w:color w:val="000000" w:themeColor="text1"/>
                <w:spacing w:val="-4"/>
                <w:lang w:eastAsia="zh-CN"/>
              </w:rPr>
              <w:t>U</w:t>
            </w:r>
            <w:r>
              <w:rPr>
                <w:rFonts w:hint="eastAsia" w:asciiTheme="minorEastAsia" w:hAnsiTheme="minorEastAsia" w:eastAsiaTheme="minorEastAsia" w:cstheme="minorEastAsia"/>
                <w:color w:val="000000" w:themeColor="text1"/>
                <w:spacing w:val="-51"/>
                <w:lang w:eastAsia="zh-CN"/>
              </w:rPr>
              <w:t xml:space="preserve"> </w:t>
            </w:r>
            <w:r>
              <w:rPr>
                <w:rFonts w:hint="eastAsia" w:asciiTheme="minorEastAsia" w:hAnsiTheme="minorEastAsia" w:eastAsiaTheme="minorEastAsia" w:cstheme="minorEastAsia"/>
                <w:color w:val="000000" w:themeColor="text1"/>
                <w:spacing w:val="-4"/>
                <w:lang w:eastAsia="zh-CN"/>
              </w:rPr>
              <w:t>盘或光</w:t>
            </w:r>
            <w:r>
              <w:rPr>
                <w:rFonts w:hint="eastAsia" w:asciiTheme="minorEastAsia" w:hAnsiTheme="minorEastAsia" w:eastAsiaTheme="minorEastAsia" w:cstheme="minorEastAsia"/>
                <w:color w:val="000000" w:themeColor="text1"/>
                <w:spacing w:val="-2"/>
                <w:lang w:eastAsia="zh-CN"/>
              </w:rPr>
              <w:t>盘保存，提交后概不退还。</w:t>
            </w:r>
            <w:r>
              <w:rPr>
                <w:rFonts w:hint="eastAsia" w:asciiTheme="minorEastAsia" w:hAnsiTheme="minorEastAsia" w:eastAsiaTheme="minorEastAsia" w:cstheme="minorEastAsia"/>
                <w:color w:val="000000" w:themeColor="text1"/>
                <w:spacing w:val="-12"/>
                <w:lang w:eastAsia="zh-CN"/>
              </w:rPr>
              <w:t>）</w:t>
            </w:r>
            <w:r>
              <w:rPr>
                <w:rFonts w:hint="eastAsia" w:asciiTheme="minorEastAsia" w:hAnsiTheme="minorEastAsia" w:eastAsiaTheme="minorEastAsia" w:cstheme="minorEastAsia"/>
                <w:b/>
                <w:bCs/>
                <w:color w:val="000000" w:themeColor="text1"/>
                <w:spacing w:val="-5"/>
                <w:lang w:eastAsia="zh-CN"/>
              </w:rPr>
              <w:t>※电子文档须为完整有效的正本扫描且格式为</w:t>
            </w:r>
            <w:r>
              <w:rPr>
                <w:rFonts w:hint="eastAsia" w:asciiTheme="minorEastAsia" w:hAnsiTheme="minorEastAsia" w:eastAsiaTheme="minorEastAsia" w:cstheme="minorEastAsia"/>
                <w:color w:val="000000" w:themeColor="text1"/>
                <w:spacing w:val="-51"/>
                <w:lang w:eastAsia="zh-CN"/>
              </w:rPr>
              <w:t xml:space="preserve"> </w:t>
            </w:r>
            <w:r>
              <w:rPr>
                <w:rFonts w:hint="eastAsia" w:asciiTheme="minorEastAsia" w:hAnsiTheme="minorEastAsia" w:eastAsiaTheme="minorEastAsia" w:cstheme="minorEastAsia"/>
                <w:b/>
                <w:bCs/>
                <w:color w:val="000000" w:themeColor="text1"/>
                <w:spacing w:val="-5"/>
                <w:lang w:eastAsia="zh-CN"/>
              </w:rPr>
              <w:t>PDF</w:t>
            </w:r>
            <w:r>
              <w:rPr>
                <w:rFonts w:hint="eastAsia" w:asciiTheme="minorEastAsia" w:hAnsiTheme="minorEastAsia" w:eastAsiaTheme="minorEastAsia" w:cstheme="minorEastAsia"/>
                <w:color w:val="000000" w:themeColor="text1"/>
                <w:spacing w:val="-50"/>
                <w:lang w:eastAsia="zh-CN"/>
              </w:rPr>
              <w:t xml:space="preserve"> </w:t>
            </w:r>
            <w:r>
              <w:rPr>
                <w:rFonts w:hint="eastAsia" w:asciiTheme="minorEastAsia" w:hAnsiTheme="minorEastAsia" w:eastAsiaTheme="minorEastAsia" w:cstheme="minorEastAsia"/>
                <w:b/>
                <w:bCs/>
                <w:color w:val="000000" w:themeColor="text1"/>
                <w:spacing w:val="-5"/>
                <w:lang w:eastAsia="zh-CN"/>
              </w:rPr>
              <w:t>格</w:t>
            </w:r>
            <w:r>
              <w:rPr>
                <w:rFonts w:hint="eastAsia" w:asciiTheme="minorEastAsia" w:hAnsiTheme="minorEastAsia" w:eastAsiaTheme="minorEastAsia" w:cstheme="minorEastAsia"/>
                <w:b/>
                <w:bCs/>
                <w:color w:val="000000" w:themeColor="text1"/>
                <w:spacing w:val="-8"/>
                <w:lang w:eastAsia="zh-CN"/>
              </w:rPr>
              <w:t>式。</w:t>
            </w:r>
          </w:p>
          <w:p w14:paraId="51457FDE">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注：</w:t>
            </w:r>
            <w:r>
              <w:rPr>
                <w:rFonts w:hint="eastAsia" w:asciiTheme="minorEastAsia" w:hAnsiTheme="minorEastAsia" w:eastAsiaTheme="minorEastAsia" w:cstheme="minorEastAsia"/>
                <w:b/>
                <w:bCs/>
                <w:color w:val="000000" w:themeColor="text1"/>
                <w:spacing w:val="-2"/>
                <w:lang w:eastAsia="zh-CN"/>
              </w:rPr>
              <w:t>未按以上规定编制装订者其投标将被视为无效投标。</w:t>
            </w:r>
          </w:p>
        </w:tc>
      </w:tr>
      <w:tr w14:paraId="7567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63272168">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w:t>
            </w:r>
          </w:p>
        </w:tc>
        <w:tc>
          <w:tcPr>
            <w:tcW w:w="1272" w:type="dxa"/>
            <w:tcMar>
              <w:top w:w="0" w:type="dxa"/>
              <w:left w:w="83" w:type="dxa"/>
              <w:bottom w:w="0" w:type="dxa"/>
              <w:right w:w="83" w:type="dxa"/>
            </w:tcMar>
            <w:vAlign w:val="center"/>
          </w:tcPr>
          <w:p w14:paraId="2CBEE016">
            <w:pPr>
              <w:pStyle w:val="15"/>
              <w:spacing w:before="0" w:beforeAutospacing="0" w:after="0" w:afterAutospacing="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10.5-（2）-③</w:t>
            </w:r>
          </w:p>
        </w:tc>
        <w:tc>
          <w:tcPr>
            <w:tcW w:w="7715" w:type="dxa"/>
            <w:tcMar>
              <w:top w:w="0" w:type="dxa"/>
              <w:left w:w="83" w:type="dxa"/>
              <w:bottom w:w="0" w:type="dxa"/>
              <w:right w:w="83" w:type="dxa"/>
            </w:tcMar>
            <w:vAlign w:val="center"/>
          </w:tcPr>
          <w:p w14:paraId="3DDE1B9C">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允许散装或活页装订的内容或材料：</w:t>
            </w:r>
          </w:p>
          <w:p w14:paraId="5ED946AE">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（1）投标文件的补充、修改或撤回；</w:t>
            </w:r>
          </w:p>
          <w:p w14:paraId="5777E19F">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（2）其他内容或材料：</w:t>
            </w:r>
            <w:r>
              <w:rPr>
                <w:rStyle w:val="28"/>
                <w:rFonts w:hint="eastAsia" w:asciiTheme="minorEastAsia" w:hAnsiTheme="minorEastAsia" w:eastAsiaTheme="minorEastAsia" w:cstheme="minorEastAsia"/>
                <w:color w:val="000000" w:themeColor="text1"/>
                <w:lang w:eastAsia="zh-CN"/>
              </w:rPr>
              <w:t>无</w:t>
            </w:r>
          </w:p>
        </w:tc>
      </w:tr>
      <w:tr w14:paraId="13F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633CE2D4">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w:t>
            </w:r>
          </w:p>
        </w:tc>
        <w:tc>
          <w:tcPr>
            <w:tcW w:w="1272" w:type="dxa"/>
            <w:tcMar>
              <w:top w:w="0" w:type="dxa"/>
              <w:left w:w="83" w:type="dxa"/>
              <w:bottom w:w="0" w:type="dxa"/>
              <w:right w:w="83" w:type="dxa"/>
            </w:tcMar>
            <w:vAlign w:val="center"/>
          </w:tcPr>
          <w:p w14:paraId="1A2BE63C">
            <w:pPr>
              <w:pStyle w:val="15"/>
              <w:spacing w:before="0" w:beforeAutospacing="0" w:after="0" w:afterAutospacing="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10.7-（1）</w:t>
            </w:r>
          </w:p>
        </w:tc>
        <w:tc>
          <w:tcPr>
            <w:tcW w:w="7715" w:type="dxa"/>
            <w:tcMar>
              <w:top w:w="0" w:type="dxa"/>
              <w:left w:w="83" w:type="dxa"/>
              <w:bottom w:w="0" w:type="dxa"/>
              <w:right w:w="83" w:type="dxa"/>
            </w:tcMar>
            <w:vAlign w:val="center"/>
          </w:tcPr>
          <w:p w14:paraId="2792FFEF">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是否允许中标人将本项目的非主体、非关键性工作进行分包：</w:t>
            </w:r>
          </w:p>
          <w:p w14:paraId="4E8F2AC7">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不允许。</w:t>
            </w:r>
          </w:p>
        </w:tc>
      </w:tr>
      <w:tr w14:paraId="744C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1AC5E28F">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w:t>
            </w:r>
          </w:p>
        </w:tc>
        <w:tc>
          <w:tcPr>
            <w:tcW w:w="1272" w:type="dxa"/>
            <w:tcMar>
              <w:top w:w="0" w:type="dxa"/>
              <w:left w:w="83" w:type="dxa"/>
              <w:bottom w:w="0" w:type="dxa"/>
              <w:right w:w="83" w:type="dxa"/>
            </w:tcMar>
            <w:vAlign w:val="center"/>
          </w:tcPr>
          <w:p w14:paraId="055FDDE7">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10.8-（1）</w:t>
            </w:r>
          </w:p>
        </w:tc>
        <w:tc>
          <w:tcPr>
            <w:tcW w:w="7715" w:type="dxa"/>
            <w:tcMar>
              <w:top w:w="0" w:type="dxa"/>
              <w:left w:w="83" w:type="dxa"/>
              <w:bottom w:w="0" w:type="dxa"/>
              <w:right w:w="83" w:type="dxa"/>
            </w:tcMar>
            <w:vAlign w:val="center"/>
          </w:tcPr>
          <w:p w14:paraId="767C7A7A">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投标有效期</w:t>
            </w:r>
            <w:r>
              <w:rPr>
                <w:rFonts w:hint="eastAsia" w:asciiTheme="minorEastAsia" w:hAnsiTheme="minorEastAsia" w:eastAsiaTheme="minorEastAsia" w:cstheme="minorEastAsia"/>
                <w:color w:val="000000" w:themeColor="text1"/>
                <w:lang w:eastAsia="zh-CN"/>
              </w:rPr>
              <w:t>：投标截止时间起90个日历日。</w:t>
            </w:r>
          </w:p>
        </w:tc>
      </w:tr>
      <w:tr w14:paraId="1EF2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0824EF0E">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w:t>
            </w:r>
          </w:p>
        </w:tc>
        <w:tc>
          <w:tcPr>
            <w:tcW w:w="1272" w:type="dxa"/>
            <w:tcMar>
              <w:top w:w="0" w:type="dxa"/>
              <w:left w:w="83" w:type="dxa"/>
              <w:bottom w:w="0" w:type="dxa"/>
              <w:right w:w="83" w:type="dxa"/>
            </w:tcMar>
            <w:vAlign w:val="center"/>
          </w:tcPr>
          <w:p w14:paraId="34B6908E">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10.10-（2）</w:t>
            </w:r>
          </w:p>
        </w:tc>
        <w:tc>
          <w:tcPr>
            <w:tcW w:w="7715" w:type="dxa"/>
            <w:tcMar>
              <w:top w:w="0" w:type="dxa"/>
              <w:left w:w="83" w:type="dxa"/>
              <w:bottom w:w="0" w:type="dxa"/>
              <w:right w:w="83" w:type="dxa"/>
            </w:tcMar>
            <w:vAlign w:val="center"/>
          </w:tcPr>
          <w:p w14:paraId="4B8119CB">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密封及其标记的具体形式：</w:t>
            </w:r>
          </w:p>
          <w:p w14:paraId="1059B14B">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（1）全部投标文件（包括正本、副本及可读介质）均应密封，否则</w:t>
            </w:r>
            <w:r>
              <w:rPr>
                <w:rStyle w:val="19"/>
                <w:rFonts w:hint="eastAsia" w:asciiTheme="minorEastAsia" w:hAnsiTheme="minorEastAsia" w:eastAsiaTheme="minorEastAsia" w:cstheme="minorEastAsia"/>
                <w:color w:val="000000" w:themeColor="text1"/>
                <w:lang w:eastAsia="zh-CN"/>
              </w:rPr>
              <w:t>投标将被拒绝。</w:t>
            </w:r>
          </w:p>
          <w:p w14:paraId="668FF38E">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（2）密封的外包装应至少标记“项目名称、招标编号、所投合同包、投标人的全称”等内容，否则造成投标文件误投、遗漏或提前拆封的，</w:t>
            </w:r>
            <w:r>
              <w:rPr>
                <w:rFonts w:hint="eastAsia" w:asciiTheme="minorEastAsia" w:hAnsiTheme="minorEastAsia" w:eastAsiaTheme="minorEastAsia" w:cstheme="minorEastAsia"/>
                <w:color w:val="000000" w:themeColor="text1"/>
                <w:u w:val="single"/>
                <w:lang w:eastAsia="zh-CN"/>
              </w:rPr>
              <w:t>福建三仟招标有限公司</w:t>
            </w:r>
            <w:r>
              <w:rPr>
                <w:rFonts w:hint="eastAsia" w:asciiTheme="minorEastAsia" w:hAnsiTheme="minorEastAsia" w:eastAsiaTheme="minorEastAsia" w:cstheme="minorEastAsia"/>
                <w:color w:val="000000" w:themeColor="text1"/>
                <w:lang w:eastAsia="zh-CN"/>
              </w:rPr>
              <w:t>不承担责任。</w:t>
            </w:r>
          </w:p>
          <w:p w14:paraId="6FFEF61D">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（3）其他：</w:t>
            </w:r>
            <w:r>
              <w:rPr>
                <w:rStyle w:val="28"/>
                <w:rFonts w:hint="eastAsia" w:asciiTheme="minorEastAsia" w:hAnsiTheme="minorEastAsia" w:eastAsiaTheme="minorEastAsia" w:cstheme="minorEastAsia"/>
                <w:color w:val="000000" w:themeColor="text1"/>
              </w:rPr>
              <w:t>无</w:t>
            </w:r>
          </w:p>
        </w:tc>
      </w:tr>
      <w:tr w14:paraId="414E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57DD077C">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w:t>
            </w:r>
          </w:p>
        </w:tc>
        <w:tc>
          <w:tcPr>
            <w:tcW w:w="1272" w:type="dxa"/>
            <w:tcMar>
              <w:top w:w="0" w:type="dxa"/>
              <w:left w:w="83" w:type="dxa"/>
              <w:bottom w:w="0" w:type="dxa"/>
              <w:right w:w="83" w:type="dxa"/>
            </w:tcMar>
            <w:vAlign w:val="center"/>
          </w:tcPr>
          <w:p w14:paraId="457F92D5">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12.1</w:t>
            </w:r>
          </w:p>
        </w:tc>
        <w:tc>
          <w:tcPr>
            <w:tcW w:w="7715" w:type="dxa"/>
            <w:tcMar>
              <w:top w:w="0" w:type="dxa"/>
              <w:left w:w="83" w:type="dxa"/>
              <w:bottom w:w="0" w:type="dxa"/>
              <w:right w:w="83" w:type="dxa"/>
            </w:tcMar>
            <w:vAlign w:val="center"/>
          </w:tcPr>
          <w:p w14:paraId="26C50595">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本项目推荐中标候选人数为1家。</w:t>
            </w:r>
          </w:p>
        </w:tc>
      </w:tr>
      <w:tr w14:paraId="6F1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59" w:type="dxa"/>
              <w:left w:w="118" w:type="dxa"/>
              <w:bottom w:w="59" w:type="dxa"/>
              <w:right w:w="118" w:type="dxa"/>
            </w:tcMar>
            <w:vAlign w:val="center"/>
          </w:tcPr>
          <w:p w14:paraId="2FE31E15">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w:t>
            </w:r>
          </w:p>
        </w:tc>
        <w:tc>
          <w:tcPr>
            <w:tcW w:w="1272" w:type="dxa"/>
            <w:tcMar>
              <w:top w:w="59" w:type="dxa"/>
              <w:left w:w="118" w:type="dxa"/>
              <w:bottom w:w="59" w:type="dxa"/>
              <w:right w:w="118" w:type="dxa"/>
            </w:tcMar>
            <w:vAlign w:val="center"/>
          </w:tcPr>
          <w:p w14:paraId="599AE78E">
            <w:pPr>
              <w:pStyle w:val="15"/>
              <w:spacing w:before="0" w:beforeAutospacing="0" w:after="0" w:afterAutospacing="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w:t>
            </w:r>
          </w:p>
        </w:tc>
        <w:tc>
          <w:tcPr>
            <w:tcW w:w="7715" w:type="dxa"/>
            <w:tcMar>
              <w:top w:w="59" w:type="dxa"/>
              <w:left w:w="118" w:type="dxa"/>
              <w:bottom w:w="59" w:type="dxa"/>
              <w:right w:w="118" w:type="dxa"/>
            </w:tcMar>
            <w:vAlign w:val="center"/>
          </w:tcPr>
          <w:p w14:paraId="3DB55B40">
            <w:pPr>
              <w:pStyle w:val="15"/>
              <w:kinsoku/>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本项目中标人的确定（以合同包为单位）：</w:t>
            </w:r>
          </w:p>
          <w:p w14:paraId="2271E825">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（1）招标人应在招投标管理办法规定的时限内确定中标人。</w:t>
            </w:r>
          </w:p>
          <w:p w14:paraId="5374B594">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（2）若出现中标候选人并列情形，则按照下列方式确定中标人：</w:t>
            </w:r>
          </w:p>
          <w:p w14:paraId="41197282">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①招标文件规定的方式：</w:t>
            </w:r>
          </w:p>
          <w:p w14:paraId="2BF0F5BC">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投标人</w:t>
            </w:r>
            <w:r>
              <w:rPr>
                <w:rFonts w:hint="eastAsia" w:asciiTheme="minorEastAsia" w:hAnsiTheme="minorEastAsia" w:eastAsiaTheme="minorEastAsia" w:cstheme="minorEastAsia"/>
                <w:color w:val="000000" w:themeColor="text1"/>
                <w:spacing w:val="-2"/>
                <w:szCs w:val="24"/>
                <w:lang w:eastAsia="zh-CN"/>
              </w:rPr>
              <w:t>综合得分相同的</w:t>
            </w:r>
            <w:r>
              <w:rPr>
                <w:rFonts w:hint="eastAsia" w:asciiTheme="minorEastAsia" w:hAnsiTheme="minorEastAsia" w:eastAsiaTheme="minorEastAsia" w:cstheme="minorEastAsia"/>
                <w:color w:val="000000" w:themeColor="text1"/>
                <w:spacing w:val="-3"/>
                <w:szCs w:val="24"/>
                <w:lang w:eastAsia="zh-CN"/>
              </w:rPr>
              <w:t>，则按“报价部分</w:t>
            </w:r>
            <w:r>
              <w:rPr>
                <w:rFonts w:hint="eastAsia" w:asciiTheme="minorEastAsia" w:hAnsiTheme="minorEastAsia" w:eastAsiaTheme="minorEastAsia" w:cstheme="minorEastAsia"/>
                <w:color w:val="000000" w:themeColor="text1"/>
                <w:spacing w:val="-88"/>
                <w:szCs w:val="24"/>
                <w:lang w:eastAsia="zh-CN"/>
              </w:rPr>
              <w:t xml:space="preserve"> </w:t>
            </w:r>
            <w:r>
              <w:rPr>
                <w:rFonts w:hint="eastAsia" w:asciiTheme="minorEastAsia" w:hAnsiTheme="minorEastAsia" w:eastAsiaTheme="minorEastAsia" w:cstheme="minorEastAsia"/>
                <w:color w:val="000000" w:themeColor="text1"/>
                <w:spacing w:val="-3"/>
                <w:szCs w:val="24"/>
                <w:lang w:eastAsia="zh-CN"/>
              </w:rPr>
              <w:t>”的得分高低排序；</w:t>
            </w:r>
            <w:r>
              <w:rPr>
                <w:rFonts w:hint="eastAsia" w:asciiTheme="minorEastAsia" w:hAnsiTheme="minorEastAsia" w:eastAsiaTheme="minorEastAsia" w:cstheme="minorEastAsia"/>
                <w:color w:val="000000" w:themeColor="text1"/>
                <w:spacing w:val="-2"/>
                <w:szCs w:val="24"/>
                <w:lang w:eastAsia="zh-CN"/>
              </w:rPr>
              <w:t>综合得分及报价部分均相同的，则按“技术部分</w:t>
            </w:r>
            <w:r>
              <w:rPr>
                <w:rFonts w:hint="eastAsia" w:asciiTheme="minorEastAsia" w:hAnsiTheme="minorEastAsia" w:eastAsiaTheme="minorEastAsia" w:cstheme="minorEastAsia"/>
                <w:color w:val="000000" w:themeColor="text1"/>
                <w:spacing w:val="-88"/>
                <w:szCs w:val="24"/>
                <w:lang w:eastAsia="zh-CN"/>
              </w:rPr>
              <w:t xml:space="preserve"> </w:t>
            </w:r>
            <w:r>
              <w:rPr>
                <w:rFonts w:hint="eastAsia" w:asciiTheme="minorEastAsia" w:hAnsiTheme="minorEastAsia" w:eastAsiaTheme="minorEastAsia" w:cstheme="minorEastAsia"/>
                <w:color w:val="000000" w:themeColor="text1"/>
                <w:spacing w:val="-2"/>
                <w:szCs w:val="24"/>
                <w:lang w:eastAsia="zh-CN"/>
              </w:rPr>
              <w:t>”的得</w:t>
            </w:r>
            <w:r>
              <w:rPr>
                <w:rFonts w:hint="eastAsia" w:asciiTheme="minorEastAsia" w:hAnsiTheme="minorEastAsia" w:eastAsiaTheme="minorEastAsia" w:cstheme="minorEastAsia"/>
                <w:color w:val="000000" w:themeColor="text1"/>
                <w:spacing w:val="-3"/>
                <w:szCs w:val="24"/>
                <w:lang w:eastAsia="zh-CN"/>
              </w:rPr>
              <w:t>分高低排序；若</w:t>
            </w:r>
            <w:r>
              <w:rPr>
                <w:rFonts w:hint="eastAsia" w:asciiTheme="minorEastAsia" w:hAnsiTheme="minorEastAsia" w:eastAsiaTheme="minorEastAsia" w:cstheme="minorEastAsia"/>
                <w:color w:val="000000" w:themeColor="text1"/>
                <w:spacing w:val="-2"/>
                <w:szCs w:val="24"/>
                <w:lang w:eastAsia="zh-CN"/>
              </w:rPr>
              <w:t>综合</w:t>
            </w:r>
            <w:r>
              <w:rPr>
                <w:rFonts w:hint="eastAsia" w:asciiTheme="minorEastAsia" w:hAnsiTheme="minorEastAsia" w:eastAsiaTheme="minorEastAsia" w:cstheme="minorEastAsia"/>
                <w:color w:val="000000" w:themeColor="text1"/>
                <w:spacing w:val="-3"/>
                <w:szCs w:val="24"/>
                <w:lang w:eastAsia="zh-CN"/>
              </w:rPr>
              <w:t>得分相同且价</w:t>
            </w:r>
            <w:r>
              <w:rPr>
                <w:rFonts w:hint="eastAsia" w:asciiTheme="minorEastAsia" w:hAnsiTheme="minorEastAsia" w:eastAsiaTheme="minorEastAsia" w:cstheme="minorEastAsia"/>
                <w:color w:val="000000" w:themeColor="text1"/>
                <w:spacing w:val="-1"/>
                <w:szCs w:val="24"/>
                <w:lang w:eastAsia="zh-CN"/>
              </w:rPr>
              <w:t>格部分与技术部分得分也相同的，则评标委员会在有关监督人员的监督下通过随机抽签的形式，确定排名顺序。</w:t>
            </w:r>
          </w:p>
          <w:p w14:paraId="7D897E28">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②若本款第①点规定方式为“无”，则按照下列方式确定：</w:t>
            </w:r>
          </w:p>
          <w:p w14:paraId="7410C38E">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无</w:t>
            </w:r>
          </w:p>
          <w:p w14:paraId="3A901216">
            <w:pPr>
              <w:pStyle w:val="15"/>
              <w:spacing w:before="0" w:beforeAutospacing="0" w:after="0" w:afterAutospacing="0"/>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eastAsia="zh-CN"/>
              </w:rPr>
              <w:t>③若本款第①、②点规定方式均为“无”，则按照下列方式确定：随机抽取。</w:t>
            </w:r>
          </w:p>
        </w:tc>
      </w:tr>
      <w:tr w14:paraId="1391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590F4B88">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w:t>
            </w:r>
          </w:p>
        </w:tc>
        <w:tc>
          <w:tcPr>
            <w:tcW w:w="1272" w:type="dxa"/>
            <w:tcMar>
              <w:top w:w="0" w:type="dxa"/>
              <w:left w:w="83" w:type="dxa"/>
              <w:bottom w:w="0" w:type="dxa"/>
              <w:right w:w="83" w:type="dxa"/>
            </w:tcMar>
            <w:vAlign w:val="center"/>
          </w:tcPr>
          <w:p w14:paraId="6C81C60E">
            <w:pPr>
              <w:pStyle w:val="15"/>
              <w:spacing w:before="0" w:beforeAutospacing="0" w:after="0" w:afterAutospacing="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15.1-（2）</w:t>
            </w:r>
          </w:p>
        </w:tc>
        <w:tc>
          <w:tcPr>
            <w:tcW w:w="7715" w:type="dxa"/>
            <w:tcMar>
              <w:top w:w="0" w:type="dxa"/>
              <w:left w:w="83" w:type="dxa"/>
              <w:bottom w:w="0" w:type="dxa"/>
              <w:right w:w="83" w:type="dxa"/>
            </w:tcMar>
            <w:vAlign w:val="center"/>
          </w:tcPr>
          <w:p w14:paraId="30BDDBCB">
            <w:pPr>
              <w:pStyle w:val="15"/>
              <w:kinsoku/>
              <w:wordWrap w:val="0"/>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异议函原件应采用下列方式提交：</w:t>
            </w:r>
            <w:r>
              <w:rPr>
                <w:rFonts w:hint="eastAsia" w:asciiTheme="minorEastAsia" w:hAnsiTheme="minorEastAsia" w:eastAsiaTheme="minorEastAsia" w:cstheme="minorEastAsia"/>
                <w:color w:val="000000" w:themeColor="text1"/>
                <w:lang w:eastAsia="zh-CN"/>
              </w:rPr>
              <w:t>书面形式。</w:t>
            </w:r>
          </w:p>
        </w:tc>
      </w:tr>
      <w:tr w14:paraId="7333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4B056B0E">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w:t>
            </w:r>
          </w:p>
        </w:tc>
        <w:tc>
          <w:tcPr>
            <w:tcW w:w="1272" w:type="dxa"/>
            <w:tcMar>
              <w:top w:w="0" w:type="dxa"/>
              <w:left w:w="83" w:type="dxa"/>
              <w:bottom w:w="0" w:type="dxa"/>
              <w:right w:w="83" w:type="dxa"/>
            </w:tcMar>
            <w:vAlign w:val="center"/>
          </w:tcPr>
          <w:p w14:paraId="5A6C629F">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15.4</w:t>
            </w:r>
          </w:p>
        </w:tc>
        <w:tc>
          <w:tcPr>
            <w:tcW w:w="7715" w:type="dxa"/>
            <w:tcMar>
              <w:top w:w="0" w:type="dxa"/>
              <w:left w:w="83" w:type="dxa"/>
              <w:bottom w:w="0" w:type="dxa"/>
              <w:right w:w="83" w:type="dxa"/>
            </w:tcMar>
            <w:vAlign w:val="center"/>
          </w:tcPr>
          <w:p w14:paraId="6DE438FF">
            <w:pPr>
              <w:pStyle w:val="25"/>
              <w:kinsoku/>
              <w:autoSpaceDE/>
              <w:autoSpaceDN/>
              <w:adjustRightInd/>
              <w:snapToGrid/>
              <w:spacing w:before="38" w:line="420" w:lineRule="exact"/>
              <w:ind w:left="115"/>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招标文件的异议</w:t>
            </w:r>
          </w:p>
          <w:p w14:paraId="446CA154">
            <w:pPr>
              <w:pStyle w:val="25"/>
              <w:kinsoku/>
              <w:autoSpaceDE/>
              <w:autoSpaceDN/>
              <w:adjustRightInd/>
              <w:snapToGrid/>
              <w:spacing w:before="26" w:line="420" w:lineRule="exact"/>
              <w:ind w:left="114" w:right="105" w:firstLine="11"/>
              <w:textAlignment w:val="auto"/>
              <w:rPr>
                <w:rFonts w:hint="eastAsia" w:asciiTheme="minorEastAsia" w:hAnsiTheme="minorEastAsia" w:eastAsiaTheme="minorEastAsia" w:cstheme="minorEastAsia"/>
                <w:color w:val="000000" w:themeColor="text1"/>
                <w:spacing w:val="1"/>
                <w:lang w:eastAsia="zh-CN"/>
              </w:rPr>
            </w:pPr>
            <w:r>
              <w:rPr>
                <w:rFonts w:hint="eastAsia" w:asciiTheme="minorEastAsia" w:hAnsiTheme="minorEastAsia" w:eastAsiaTheme="minorEastAsia" w:cstheme="minorEastAsia"/>
                <w:color w:val="000000" w:themeColor="text1"/>
                <w:spacing w:val="1"/>
                <w:lang w:eastAsia="zh-CN"/>
              </w:rPr>
              <w:t>（1）提出异议期限的计算，按《中华人民共和国招标投标法实施条 例》及有关规定执行。</w:t>
            </w:r>
          </w:p>
          <w:p w14:paraId="5E8837AD">
            <w:pPr>
              <w:pStyle w:val="25"/>
              <w:kinsoku/>
              <w:autoSpaceDE/>
              <w:autoSpaceDN/>
              <w:adjustRightInd/>
              <w:snapToGrid/>
              <w:spacing w:before="26" w:line="420" w:lineRule="exact"/>
              <w:ind w:left="114" w:right="105" w:firstLine="11"/>
              <w:textAlignment w:val="auto"/>
              <w:rPr>
                <w:rFonts w:hint="eastAsia" w:asciiTheme="minorEastAsia" w:hAnsiTheme="minorEastAsia" w:eastAsiaTheme="minorEastAsia" w:cstheme="minorEastAsia"/>
                <w:color w:val="000000" w:themeColor="text1"/>
                <w:spacing w:val="1"/>
                <w:lang w:eastAsia="zh-CN"/>
              </w:rPr>
            </w:pPr>
            <w:r>
              <w:rPr>
                <w:rFonts w:hint="eastAsia" w:asciiTheme="minorEastAsia" w:hAnsiTheme="minorEastAsia" w:eastAsiaTheme="minorEastAsia" w:cstheme="minorEastAsia"/>
                <w:color w:val="000000" w:themeColor="text1"/>
                <w:spacing w:val="1"/>
                <w:lang w:eastAsia="zh-CN"/>
              </w:rPr>
              <w:t>（2）异议时效期间：潜在投标人或者其他利害关系人对招标文件有 异议的，应当以书面原件形式在投标截止时间 10 日前提出。</w:t>
            </w:r>
          </w:p>
          <w:p w14:paraId="6AD9A210">
            <w:pPr>
              <w:pStyle w:val="25"/>
              <w:kinsoku/>
              <w:autoSpaceDE/>
              <w:autoSpaceDN/>
              <w:adjustRightInd/>
              <w:snapToGrid/>
              <w:spacing w:before="26" w:line="420" w:lineRule="exact"/>
              <w:ind w:left="114" w:right="105" w:firstLine="11"/>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※除上述规定外，对招标文件提出的异议还应符合招标文件第三章第14.3 条的有关规定。</w:t>
            </w:r>
          </w:p>
        </w:tc>
      </w:tr>
      <w:tr w14:paraId="266A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648681B9">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w:t>
            </w:r>
          </w:p>
        </w:tc>
        <w:tc>
          <w:tcPr>
            <w:tcW w:w="1272" w:type="dxa"/>
            <w:tcMar>
              <w:top w:w="0" w:type="dxa"/>
              <w:left w:w="83" w:type="dxa"/>
              <w:bottom w:w="0" w:type="dxa"/>
              <w:right w:w="83" w:type="dxa"/>
            </w:tcMar>
            <w:vAlign w:val="center"/>
          </w:tcPr>
          <w:p w14:paraId="6C499341">
            <w:pPr>
              <w:pStyle w:val="15"/>
              <w:spacing w:before="0" w:beforeAutospacing="0" w:after="0" w:afterAutospacing="0"/>
              <w:rPr>
                <w:rStyle w:val="19"/>
                <w:rFonts w:hint="eastAsia" w:asciiTheme="minorEastAsia" w:hAnsiTheme="minorEastAsia" w:eastAsiaTheme="minorEastAsia" w:cstheme="minorEastAsia"/>
                <w:color w:val="000000" w:themeColor="text1"/>
              </w:rPr>
            </w:pPr>
          </w:p>
        </w:tc>
        <w:tc>
          <w:tcPr>
            <w:tcW w:w="7715" w:type="dxa"/>
            <w:tcMar>
              <w:top w:w="0" w:type="dxa"/>
              <w:left w:w="83" w:type="dxa"/>
              <w:bottom w:w="0" w:type="dxa"/>
              <w:right w:w="83" w:type="dxa"/>
            </w:tcMar>
            <w:vAlign w:val="center"/>
          </w:tcPr>
          <w:p w14:paraId="297D6550">
            <w:pPr>
              <w:kinsoku/>
              <w:autoSpaceDE/>
              <w:autoSpaceDN/>
              <w:adjustRightInd/>
              <w:snapToGrid/>
              <w:spacing w:line="420" w:lineRule="exact"/>
              <w:textAlignment w:val="auto"/>
              <w:rPr>
                <w:rStyle w:val="19"/>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sz w:val="24"/>
                <w:lang w:eastAsia="zh-CN"/>
              </w:rPr>
              <w:t>监督管理部门：福建省泉州升华实业有限公司监事会办公室。</w:t>
            </w:r>
          </w:p>
        </w:tc>
      </w:tr>
      <w:tr w14:paraId="5246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7B575971">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12</w:t>
            </w:r>
          </w:p>
        </w:tc>
        <w:tc>
          <w:tcPr>
            <w:tcW w:w="1272" w:type="dxa"/>
            <w:tcMar>
              <w:top w:w="0" w:type="dxa"/>
              <w:left w:w="83" w:type="dxa"/>
              <w:bottom w:w="0" w:type="dxa"/>
              <w:right w:w="83" w:type="dxa"/>
            </w:tcMar>
            <w:vAlign w:val="center"/>
          </w:tcPr>
          <w:p w14:paraId="3F9E7D95">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18.1</w:t>
            </w:r>
          </w:p>
        </w:tc>
        <w:tc>
          <w:tcPr>
            <w:tcW w:w="7715" w:type="dxa"/>
            <w:tcMar>
              <w:top w:w="0" w:type="dxa"/>
              <w:left w:w="83" w:type="dxa"/>
              <w:bottom w:w="0" w:type="dxa"/>
              <w:right w:w="83" w:type="dxa"/>
            </w:tcMar>
            <w:vAlign w:val="center"/>
          </w:tcPr>
          <w:p w14:paraId="6A399958">
            <w:pPr>
              <w:pStyle w:val="25"/>
              <w:kinsoku/>
              <w:autoSpaceDE/>
              <w:autoSpaceDN/>
              <w:adjustRightInd/>
              <w:snapToGrid/>
              <w:spacing w:before="34" w:line="420" w:lineRule="exact"/>
              <w:ind w:left="113"/>
              <w:textAlignment w:val="auto"/>
              <w:rPr>
                <w:rFonts w:hint="eastAsia" w:asciiTheme="minorEastAsia" w:hAnsiTheme="minorEastAsia" w:eastAsiaTheme="minorEastAsia" w:cstheme="minorEastAsia"/>
                <w:color w:val="000000" w:themeColor="text1"/>
                <w:spacing w:val="-1"/>
              </w:rPr>
            </w:pPr>
            <w:r>
              <w:rPr>
                <w:rFonts w:hint="eastAsia" w:asciiTheme="minorEastAsia" w:hAnsiTheme="minorEastAsia" w:eastAsiaTheme="minorEastAsia" w:cstheme="minorEastAsia"/>
                <w:color w:val="000000" w:themeColor="text1"/>
                <w:spacing w:val="-1"/>
                <w:lang w:eastAsia="zh-CN"/>
              </w:rPr>
              <w:t>招标</w:t>
            </w:r>
            <w:r>
              <w:rPr>
                <w:rFonts w:hint="eastAsia" w:asciiTheme="minorEastAsia" w:hAnsiTheme="minorEastAsia" w:eastAsiaTheme="minorEastAsia" w:cstheme="minorEastAsia"/>
                <w:color w:val="000000" w:themeColor="text1"/>
                <w:spacing w:val="-1"/>
              </w:rPr>
              <w:t>信息发布媒体：</w:t>
            </w:r>
          </w:p>
          <w:p w14:paraId="4BE76929">
            <w:pPr>
              <w:pStyle w:val="25"/>
              <w:kinsoku/>
              <w:autoSpaceDE/>
              <w:autoSpaceDN/>
              <w:adjustRightInd/>
              <w:snapToGrid/>
              <w:spacing w:before="34" w:line="420" w:lineRule="exact"/>
              <w:ind w:left="113"/>
              <w:textAlignment w:val="auto"/>
              <w:rPr>
                <w:rFonts w:hint="eastAsia" w:asciiTheme="minorEastAsia" w:hAnsiTheme="minorEastAsia" w:eastAsiaTheme="minorEastAsia" w:cstheme="minorEastAsia"/>
                <w:color w:val="000000" w:themeColor="text1"/>
                <w:spacing w:val="-1"/>
              </w:rPr>
            </w:pPr>
            <w:r>
              <w:rPr>
                <w:rFonts w:hint="eastAsia" w:asciiTheme="minorEastAsia" w:hAnsiTheme="minorEastAsia" w:eastAsiaTheme="minorEastAsia" w:cstheme="minorEastAsia"/>
                <w:color w:val="000000" w:themeColor="text1"/>
                <w:spacing w:val="-1"/>
              </w:rPr>
              <w:t>（1）福建省国资平台：https://ygcg.fjcq jy.com/；</w:t>
            </w:r>
          </w:p>
          <w:p w14:paraId="770680DD">
            <w:pPr>
              <w:pStyle w:val="25"/>
              <w:kinsoku/>
              <w:autoSpaceDE/>
              <w:autoSpaceDN/>
              <w:adjustRightInd/>
              <w:snapToGrid/>
              <w:spacing w:before="34" w:line="420" w:lineRule="exact"/>
              <w:ind w:left="113"/>
              <w:textAlignment w:val="auto"/>
              <w:rPr>
                <w:rFonts w:hint="eastAsia" w:asciiTheme="minorEastAsia" w:hAnsiTheme="minorEastAsia" w:eastAsiaTheme="minorEastAsia" w:cstheme="minorEastAsia"/>
                <w:color w:val="000000" w:themeColor="text1"/>
                <w:spacing w:val="-1"/>
                <w:lang w:eastAsia="zh-CN"/>
              </w:rPr>
            </w:pPr>
            <w:r>
              <w:rPr>
                <w:rFonts w:hint="eastAsia" w:asciiTheme="minorEastAsia" w:hAnsiTheme="minorEastAsia" w:eastAsiaTheme="minorEastAsia" w:cstheme="minorEastAsia"/>
                <w:color w:val="000000" w:themeColor="text1"/>
                <w:spacing w:val="-1"/>
                <w:lang w:eastAsia="zh-CN"/>
              </w:rPr>
              <w:t>（2）中国招标投标公共服务平台：</w:t>
            </w:r>
          </w:p>
          <w:p w14:paraId="66078D59">
            <w:pPr>
              <w:pStyle w:val="25"/>
              <w:kinsoku/>
              <w:autoSpaceDE/>
              <w:autoSpaceDN/>
              <w:adjustRightInd/>
              <w:snapToGrid/>
              <w:spacing w:before="34" w:line="420" w:lineRule="exact"/>
              <w:textAlignment w:val="auto"/>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"https://bulletin.cebpubservice.com/"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themeColor="text1"/>
                <w:spacing w:val="-1"/>
              </w:rPr>
              <w:t>https://bulletin.cebpubservice.com/</w:t>
            </w:r>
            <w:r>
              <w:rPr>
                <w:rFonts w:hint="eastAsia" w:asciiTheme="minorEastAsia" w:hAnsiTheme="minorEastAsia" w:eastAsiaTheme="minorEastAsia" w:cstheme="minorEastAsia"/>
                <w:color w:val="000000" w:themeColor="text1"/>
                <w:spacing w:val="-1"/>
              </w:rPr>
              <w:fldChar w:fldCharType="end"/>
            </w:r>
            <w:r>
              <w:rPr>
                <w:rFonts w:hint="eastAsia" w:asciiTheme="minorEastAsia" w:hAnsiTheme="minorEastAsia" w:eastAsiaTheme="minorEastAsia" w:cstheme="minorEastAsia"/>
                <w:color w:val="000000" w:themeColor="text1"/>
                <w:spacing w:val="-1"/>
              </w:rPr>
              <w:t>。</w:t>
            </w:r>
          </w:p>
        </w:tc>
      </w:tr>
      <w:tr w14:paraId="4FA0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40911AF2">
            <w:pPr>
              <w:pStyle w:val="15"/>
              <w:spacing w:before="0" w:beforeAutospacing="0" w:after="0" w:afterAutospacing="0"/>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13</w:t>
            </w:r>
          </w:p>
        </w:tc>
        <w:tc>
          <w:tcPr>
            <w:tcW w:w="1272" w:type="dxa"/>
            <w:tcMar>
              <w:top w:w="0" w:type="dxa"/>
              <w:left w:w="83" w:type="dxa"/>
              <w:bottom w:w="0" w:type="dxa"/>
              <w:right w:w="83" w:type="dxa"/>
            </w:tcMar>
            <w:vAlign w:val="center"/>
          </w:tcPr>
          <w:p w14:paraId="1A04FC7F">
            <w:pPr>
              <w:pStyle w:val="15"/>
              <w:spacing w:before="0" w:beforeAutospacing="0" w:after="0" w:afterAutospacing="0"/>
              <w:jc w:val="center"/>
              <w:rPr>
                <w:rFonts w:hint="eastAsia" w:asciiTheme="minorEastAsia" w:hAnsiTheme="minorEastAsia" w:eastAsiaTheme="minorEastAsia" w:cstheme="minorEastAsia"/>
                <w:color w:val="000000" w:themeColor="text1"/>
              </w:rPr>
            </w:pPr>
          </w:p>
        </w:tc>
        <w:tc>
          <w:tcPr>
            <w:tcW w:w="7715" w:type="dxa"/>
            <w:tcMar>
              <w:top w:w="0" w:type="dxa"/>
              <w:left w:w="83" w:type="dxa"/>
              <w:bottom w:w="0" w:type="dxa"/>
              <w:right w:w="83" w:type="dxa"/>
            </w:tcMar>
            <w:vAlign w:val="center"/>
          </w:tcPr>
          <w:p w14:paraId="56B35FBB">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color w:val="000000" w:themeColor="text1"/>
                <w:lang w:eastAsia="zh-CN"/>
              </w:rPr>
              <w:t>代理服务费：</w:t>
            </w:r>
          </w:p>
          <w:p w14:paraId="33BE5577">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b w:val="0"/>
                <w:color w:val="000000" w:themeColor="text1"/>
                <w:lang w:eastAsia="zh-CN"/>
              </w:rPr>
            </w:pPr>
            <w:r>
              <w:rPr>
                <w:rStyle w:val="19"/>
                <w:rFonts w:hint="eastAsia" w:asciiTheme="minorEastAsia" w:hAnsiTheme="minorEastAsia" w:eastAsiaTheme="minorEastAsia" w:cstheme="minorEastAsia"/>
                <w:b w:val="0"/>
                <w:color w:val="000000" w:themeColor="text1"/>
                <w:lang w:eastAsia="zh-CN"/>
              </w:rPr>
              <w:t>（1）本项目代理服务费由中标人支付。</w:t>
            </w:r>
          </w:p>
          <w:p w14:paraId="37337C9D">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color w:val="000000" w:themeColor="text1"/>
                <w:lang w:eastAsia="zh-CN"/>
              </w:rPr>
            </w:pPr>
            <w:r>
              <w:rPr>
                <w:rStyle w:val="19"/>
                <w:rFonts w:hint="eastAsia" w:asciiTheme="minorEastAsia" w:hAnsiTheme="minorEastAsia" w:eastAsiaTheme="minorEastAsia" w:cstheme="minorEastAsia"/>
                <w:b w:val="0"/>
                <w:color w:val="000000" w:themeColor="text1"/>
                <w:lang w:eastAsia="zh-CN"/>
              </w:rPr>
              <w:t>（2）招标代理服务收费的标准：</w:t>
            </w:r>
            <w:r>
              <w:rPr>
                <w:rStyle w:val="19"/>
                <w:rFonts w:hint="eastAsia" w:asciiTheme="minorEastAsia" w:hAnsiTheme="minorEastAsia" w:eastAsiaTheme="minorEastAsia" w:cstheme="minorEastAsia"/>
                <w:color w:val="000000" w:themeColor="text1"/>
                <w:lang w:eastAsia="zh-CN"/>
              </w:rPr>
              <w:t>①本项目的代理服务费以中标金额为计算基数，以差额定率累进法收取代理费用，标准如下：人民币50万元以下, 收费费率标准：1.00%；人民币50-100万元, 收费费率标准：0.9%；人民币100-500万元, 收费费率标准：0.5%；人民币500-1000万元, 收费费率标准：0.2%。②招标代理服务费的交纳方式：中标人应在领取中标通知书的同时按规定的标准一 次性向代理机构缴清代理服务费。招标代理服务费以银行转账或现金等付款方式收取。</w:t>
            </w:r>
          </w:p>
          <w:p w14:paraId="2F62591A">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b w:val="0"/>
                <w:color w:val="000000" w:themeColor="text1"/>
                <w:lang w:eastAsia="zh-CN"/>
              </w:rPr>
            </w:pPr>
            <w:r>
              <w:rPr>
                <w:rStyle w:val="19"/>
                <w:rFonts w:hint="eastAsia" w:asciiTheme="minorEastAsia" w:hAnsiTheme="minorEastAsia" w:eastAsiaTheme="minorEastAsia" w:cstheme="minorEastAsia"/>
                <w:b w:val="0"/>
                <w:color w:val="000000" w:themeColor="text1"/>
                <w:lang w:eastAsia="zh-CN"/>
              </w:rPr>
              <w:t>（3）招标代理服务费专户：</w:t>
            </w:r>
          </w:p>
          <w:p w14:paraId="768A082D">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b w:val="0"/>
                <w:color w:val="000000" w:themeColor="text1"/>
                <w:lang w:eastAsia="zh-CN"/>
              </w:rPr>
            </w:pPr>
            <w:r>
              <w:rPr>
                <w:rStyle w:val="19"/>
                <w:rFonts w:hint="eastAsia" w:asciiTheme="minorEastAsia" w:hAnsiTheme="minorEastAsia" w:eastAsiaTheme="minorEastAsia" w:cstheme="minorEastAsia"/>
                <w:b w:val="0"/>
                <w:color w:val="000000" w:themeColor="text1"/>
                <w:lang w:eastAsia="zh-CN"/>
              </w:rPr>
              <w:t>开   户   名：福建三仟招标有限公司</w:t>
            </w:r>
          </w:p>
          <w:p w14:paraId="3CC718CA">
            <w:pPr>
              <w:pStyle w:val="15"/>
              <w:kinsoku/>
              <w:wordWrap w:val="0"/>
              <w:autoSpaceDE/>
              <w:autoSpaceDN/>
              <w:adjustRightInd/>
              <w:snapToGrid/>
              <w:spacing w:before="0" w:beforeAutospacing="0" w:after="0" w:afterAutospacing="0" w:line="420" w:lineRule="exact"/>
              <w:textAlignment w:val="auto"/>
              <w:rPr>
                <w:rStyle w:val="19"/>
                <w:rFonts w:hint="eastAsia" w:asciiTheme="minorEastAsia" w:hAnsiTheme="minorEastAsia" w:eastAsiaTheme="minorEastAsia" w:cstheme="minorEastAsia"/>
                <w:b w:val="0"/>
                <w:color w:val="000000" w:themeColor="text1"/>
                <w:lang w:eastAsia="zh-CN"/>
              </w:rPr>
            </w:pPr>
            <w:r>
              <w:rPr>
                <w:rStyle w:val="19"/>
                <w:rFonts w:hint="eastAsia" w:asciiTheme="minorEastAsia" w:hAnsiTheme="minorEastAsia" w:eastAsiaTheme="minorEastAsia" w:cstheme="minorEastAsia"/>
                <w:b w:val="0"/>
                <w:color w:val="000000" w:themeColor="text1"/>
                <w:lang w:eastAsia="zh-CN"/>
              </w:rPr>
              <w:t xml:space="preserve">开   户   行：中信银行股份有限公司福州金融街支行 </w:t>
            </w:r>
          </w:p>
          <w:p w14:paraId="11129171">
            <w:pPr>
              <w:pStyle w:val="15"/>
              <w:kinsoku/>
              <w:wordWrap w:val="0"/>
              <w:autoSpaceDE/>
              <w:autoSpaceDN/>
              <w:adjustRightInd/>
              <w:snapToGrid/>
              <w:spacing w:before="0" w:beforeAutospacing="0" w:after="0" w:afterAutospacing="0" w:line="420" w:lineRule="exact"/>
              <w:textAlignment w:val="auto"/>
              <w:rPr>
                <w:rFonts w:hint="eastAsia" w:asciiTheme="minorEastAsia" w:hAnsiTheme="minorEastAsia" w:eastAsiaTheme="minorEastAsia" w:cstheme="minorEastAsia"/>
                <w:color w:val="000000" w:themeColor="text1"/>
              </w:rPr>
            </w:pPr>
            <w:r>
              <w:rPr>
                <w:rStyle w:val="19"/>
                <w:rFonts w:hint="eastAsia" w:asciiTheme="minorEastAsia" w:hAnsiTheme="minorEastAsia" w:eastAsiaTheme="minorEastAsia" w:cstheme="minorEastAsia"/>
                <w:b w:val="0"/>
                <w:color w:val="000000" w:themeColor="text1"/>
              </w:rPr>
              <w:t>账        号：8111301011600381637。</w:t>
            </w:r>
          </w:p>
        </w:tc>
      </w:tr>
    </w:tbl>
    <w:p w14:paraId="5FBE2712">
      <w:pPr>
        <w:spacing w:line="176" w:lineRule="exact"/>
        <w:rPr>
          <w:rFonts w:hint="eastAsia" w:asciiTheme="minorEastAsia" w:hAnsiTheme="minorEastAsia" w:eastAsiaTheme="minorEastAsia" w:cstheme="minorEastAsia"/>
          <w:color w:val="000000" w:themeColor="text1"/>
          <w:sz w:val="15"/>
          <w:szCs w:val="15"/>
        </w:rPr>
        <w:sectPr>
          <w:pgSz w:w="11906" w:h="16839"/>
          <w:pgMar w:top="1431" w:right="1277" w:bottom="1260" w:left="1277" w:header="0" w:footer="1013" w:gutter="0"/>
          <w:pgNumType w:fmt="decimal"/>
          <w:cols w:space="720" w:num="1"/>
        </w:sectPr>
      </w:pPr>
    </w:p>
    <w:p w14:paraId="4C5A365E">
      <w:pPr>
        <w:spacing w:line="91" w:lineRule="auto"/>
        <w:rPr>
          <w:rFonts w:hint="eastAsia" w:asciiTheme="minorEastAsia" w:hAnsiTheme="minorEastAsia" w:eastAsiaTheme="minorEastAsia" w:cstheme="minorEastAsia"/>
          <w:color w:val="000000" w:themeColor="text1"/>
          <w:sz w:val="2"/>
        </w:rPr>
      </w:pPr>
    </w:p>
    <w:p w14:paraId="7ACBAC9D">
      <w:pPr>
        <w:spacing w:before="73" w:line="414" w:lineRule="exact"/>
        <w:ind w:left="3273"/>
        <w:outlineLvl w:val="0"/>
        <w:rPr>
          <w:rFonts w:hint="eastAsia" w:asciiTheme="minorEastAsia" w:hAnsiTheme="minorEastAsia" w:eastAsiaTheme="minorEastAsia" w:cstheme="minorEastAsia"/>
          <w:color w:val="000000" w:themeColor="text1"/>
          <w:sz w:val="28"/>
          <w:szCs w:val="28"/>
        </w:rPr>
      </w:pPr>
      <w:bookmarkStart w:id="2" w:name="_Toc24190"/>
      <w:r>
        <w:rPr>
          <w:rFonts w:hint="eastAsia" w:asciiTheme="minorEastAsia" w:hAnsiTheme="minorEastAsia" w:eastAsiaTheme="minorEastAsia" w:cstheme="minorEastAsia"/>
          <w:b/>
          <w:bCs/>
          <w:color w:val="000000" w:themeColor="text1"/>
          <w:spacing w:val="-3"/>
          <w:position w:val="9"/>
          <w:sz w:val="28"/>
          <w:szCs w:val="28"/>
        </w:rPr>
        <w:t>第三章</w:t>
      </w:r>
      <w:r>
        <w:rPr>
          <w:rFonts w:hint="eastAsia" w:asciiTheme="minorEastAsia" w:hAnsiTheme="minorEastAsia" w:eastAsiaTheme="minorEastAsia" w:cstheme="minorEastAsia"/>
          <w:color w:val="000000" w:themeColor="text1"/>
          <w:spacing w:val="-3"/>
          <w:position w:val="9"/>
          <w:sz w:val="28"/>
          <w:szCs w:val="28"/>
        </w:rPr>
        <w:t xml:space="preserve">  </w:t>
      </w:r>
      <w:r>
        <w:rPr>
          <w:rFonts w:hint="eastAsia" w:asciiTheme="minorEastAsia" w:hAnsiTheme="minorEastAsia" w:eastAsiaTheme="minorEastAsia" w:cstheme="minorEastAsia"/>
          <w:b/>
          <w:bCs/>
          <w:color w:val="000000" w:themeColor="text1"/>
          <w:spacing w:val="-3"/>
          <w:position w:val="9"/>
          <w:sz w:val="28"/>
          <w:szCs w:val="28"/>
        </w:rPr>
        <w:t>投标人须知</w:t>
      </w:r>
      <w:bookmarkEnd w:id="2"/>
    </w:p>
    <w:p w14:paraId="23D5E3E4">
      <w:pPr>
        <w:spacing w:line="220" w:lineRule="auto"/>
        <w:ind w:left="406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pacing w:val="-6"/>
          <w:sz w:val="24"/>
          <w:szCs w:val="24"/>
        </w:rPr>
        <w:t>一、总则</w:t>
      </w:r>
    </w:p>
    <w:p w14:paraId="5AE9434B">
      <w:pPr>
        <w:spacing w:before="93" w:line="220" w:lineRule="auto"/>
        <w:ind w:left="18"/>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5"/>
          <w:sz w:val="24"/>
          <w:szCs w:val="24"/>
        </w:rPr>
        <w:t>1、适用范围</w:t>
      </w:r>
    </w:p>
    <w:p w14:paraId="57B88C2A">
      <w:pPr>
        <w:spacing w:before="95" w:line="219"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适用于招标文件载明项目的招标活动（以下简称：“本次招标活动</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w:t>
      </w:r>
    </w:p>
    <w:p w14:paraId="64115699">
      <w:pPr>
        <w:spacing w:before="95" w:line="220"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2、定义</w:t>
      </w:r>
    </w:p>
    <w:p w14:paraId="15D48295">
      <w:pPr>
        <w:spacing w:before="92"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2.1“招标标的</w:t>
      </w:r>
      <w:r>
        <w:rPr>
          <w:rFonts w:hint="eastAsia" w:asciiTheme="minorEastAsia" w:hAnsiTheme="minorEastAsia" w:eastAsiaTheme="minorEastAsia" w:cstheme="minorEastAsia"/>
          <w:color w:val="000000" w:themeColor="text1"/>
          <w:spacing w:val="-7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”指招标文件载明的需要招标的货物或服务。</w:t>
      </w:r>
    </w:p>
    <w:p w14:paraId="5E91C075">
      <w:pPr>
        <w:spacing w:before="97" w:line="255" w:lineRule="auto"/>
        <w:ind w:left="1" w:right="152" w:firstLine="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2.2“潜在投标人</w:t>
      </w:r>
      <w:r>
        <w:rPr>
          <w:rFonts w:hint="eastAsia" w:asciiTheme="minorEastAsia" w:hAnsiTheme="minorEastAsia" w:eastAsiaTheme="minorEastAsia" w:cstheme="minorEastAsia"/>
          <w:color w:val="000000" w:themeColor="text1"/>
          <w:spacing w:val="-82"/>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”指按照招标文件第一章第</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7</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条规定进行报名且有意向参加本项目投</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标的投标人。</w:t>
      </w:r>
    </w:p>
    <w:p w14:paraId="40682FEC">
      <w:pPr>
        <w:spacing w:before="96" w:line="256"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2.3“投标人</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”指按照招标文件第一章第</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7</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条规定进行报名并参加本项目投标的投标人。</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2.4“单位负责人</w:t>
      </w:r>
      <w:r>
        <w:rPr>
          <w:rFonts w:hint="eastAsia" w:asciiTheme="minorEastAsia" w:hAnsiTheme="minorEastAsia" w:eastAsiaTheme="minorEastAsia" w:cstheme="minorEastAsia"/>
          <w:color w:val="000000" w:themeColor="text1"/>
          <w:spacing w:val="-77"/>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”指单位法定代表人。</w:t>
      </w:r>
    </w:p>
    <w:p w14:paraId="571C9D78">
      <w:pPr>
        <w:spacing w:before="95" w:line="256" w:lineRule="auto"/>
        <w:ind w:left="1" w:right="152" w:firstLine="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2.5“投标人代表</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”指投标人的单位负责人或“单位负责人授权书</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”中载明的接受授权</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方。</w:t>
      </w:r>
    </w:p>
    <w:p w14:paraId="41BD4D61">
      <w:pPr>
        <w:pStyle w:val="8"/>
        <w:spacing w:line="393" w:lineRule="auto"/>
        <w:rPr>
          <w:rFonts w:hint="eastAsia" w:asciiTheme="minorEastAsia" w:hAnsiTheme="minorEastAsia" w:eastAsiaTheme="minorEastAsia" w:cstheme="minorEastAsia"/>
          <w:color w:val="000000" w:themeColor="text1"/>
          <w:lang w:eastAsia="zh-CN"/>
        </w:rPr>
      </w:pPr>
    </w:p>
    <w:p w14:paraId="7E89A398">
      <w:pPr>
        <w:spacing w:before="78" w:line="220" w:lineRule="auto"/>
        <w:ind w:left="393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二、投标人</w:t>
      </w:r>
    </w:p>
    <w:p w14:paraId="432F0F65">
      <w:pPr>
        <w:spacing w:before="93" w:line="382" w:lineRule="exact"/>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0"/>
          <w:sz w:val="24"/>
          <w:szCs w:val="24"/>
          <w:lang w:eastAsia="zh-CN"/>
        </w:rPr>
        <w:t>3、合格投标人</w:t>
      </w:r>
    </w:p>
    <w:p w14:paraId="240D76FD">
      <w:pPr>
        <w:spacing w:line="220" w:lineRule="auto"/>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3.1</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一般规定</w:t>
      </w:r>
    </w:p>
    <w:p w14:paraId="24C1F57C">
      <w:pPr>
        <w:spacing w:before="93" w:line="379" w:lineRule="exact"/>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（1）投标人应遵守有关法律、法规和规章的强制性规定。</w:t>
      </w:r>
    </w:p>
    <w:p w14:paraId="00DECF79">
      <w:pPr>
        <w:spacing w:before="1" w:line="218"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（2）投标人的资格要求：详见招标文件第一章。</w:t>
      </w:r>
    </w:p>
    <w:p w14:paraId="123E4617">
      <w:pPr>
        <w:spacing w:before="97" w:line="256" w:lineRule="auto"/>
        <w:ind w:right="5892" w:firstLine="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3.2</w:t>
      </w:r>
      <w:r>
        <w:rPr>
          <w:rFonts w:hint="eastAsia" w:asciiTheme="minorEastAsia" w:hAnsiTheme="minorEastAsia" w:eastAsiaTheme="minorEastAsia" w:cstheme="minorEastAsia"/>
          <w:color w:val="000000" w:themeColor="text1"/>
          <w:spacing w:val="-40"/>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本项目不接受联合体投标。</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4、投标费用</w:t>
      </w:r>
    </w:p>
    <w:p w14:paraId="0753CC89">
      <w:pPr>
        <w:spacing w:before="93"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4.1</w:t>
      </w:r>
      <w:r>
        <w:rPr>
          <w:rFonts w:hint="eastAsia" w:asciiTheme="minorEastAsia" w:hAnsiTheme="minorEastAsia" w:eastAsiaTheme="minorEastAsia" w:cstheme="minorEastAsia"/>
          <w:color w:val="000000" w:themeColor="text1"/>
          <w:spacing w:val="-3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除招标文件另有规定外，投标人应自行承担其参加本项目投标所涉及的一切费用。</w:t>
      </w:r>
    </w:p>
    <w:p w14:paraId="343484C2">
      <w:pPr>
        <w:pStyle w:val="8"/>
        <w:spacing w:line="396" w:lineRule="auto"/>
        <w:rPr>
          <w:rFonts w:hint="eastAsia" w:asciiTheme="minorEastAsia" w:hAnsiTheme="minorEastAsia" w:eastAsiaTheme="minorEastAsia" w:cstheme="minorEastAsia"/>
          <w:color w:val="000000" w:themeColor="text1"/>
          <w:lang w:eastAsia="zh-CN"/>
        </w:rPr>
      </w:pPr>
    </w:p>
    <w:p w14:paraId="743934C1">
      <w:pPr>
        <w:spacing w:before="78" w:line="220" w:lineRule="auto"/>
        <w:ind w:left="405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三、招标</w:t>
      </w:r>
    </w:p>
    <w:p w14:paraId="3741755A">
      <w:pPr>
        <w:spacing w:before="94" w:line="219" w:lineRule="auto"/>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5、招标文件</w:t>
      </w:r>
    </w:p>
    <w:p w14:paraId="377E2F21">
      <w:pPr>
        <w:spacing w:before="96" w:line="379" w:lineRule="exact"/>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5.1</w:t>
      </w:r>
      <w:r>
        <w:rPr>
          <w:rFonts w:hint="eastAsia" w:asciiTheme="minorEastAsia" w:hAnsiTheme="minorEastAsia" w:eastAsiaTheme="minorEastAsia" w:cstheme="minorEastAsia"/>
          <w:color w:val="000000" w:themeColor="text1"/>
          <w:spacing w:val="-46"/>
          <w:position w:val="10"/>
          <w:sz w:val="24"/>
          <w:szCs w:val="24"/>
          <w:lang w:eastAsia="zh-CN"/>
        </w:rPr>
        <w:t xml:space="preserve"> </w:t>
      </w:r>
      <w:r>
        <w:rPr>
          <w:rFonts w:hint="eastAsia" w:asciiTheme="minorEastAsia" w:hAnsiTheme="minorEastAsia" w:eastAsiaTheme="minorEastAsia" w:cstheme="minorEastAsia"/>
          <w:color w:val="000000" w:themeColor="text1"/>
          <w:spacing w:val="-2"/>
          <w:position w:val="10"/>
          <w:sz w:val="24"/>
          <w:szCs w:val="24"/>
          <w:lang w:eastAsia="zh-CN"/>
        </w:rPr>
        <w:t>招标文件由下述部分组成：</w:t>
      </w:r>
    </w:p>
    <w:p w14:paraId="59EA84EA">
      <w:pPr>
        <w:spacing w:line="220"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（1）投标邀请</w:t>
      </w:r>
    </w:p>
    <w:p w14:paraId="52CD54F7">
      <w:pPr>
        <w:spacing w:before="93"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（2）投标人须知前附表（表</w:t>
      </w:r>
      <w:r>
        <w:rPr>
          <w:rFonts w:hint="eastAsia" w:asciiTheme="minorEastAsia" w:hAnsiTheme="minorEastAsia" w:eastAsiaTheme="minorEastAsia" w:cstheme="minorEastAsia"/>
          <w:color w:val="000000" w:themeColor="text1"/>
          <w:spacing w:val="-22"/>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1）</w:t>
      </w:r>
    </w:p>
    <w:p w14:paraId="0D28180B">
      <w:pPr>
        <w:spacing w:before="97" w:line="220"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（3）投标人须知</w:t>
      </w:r>
    </w:p>
    <w:p w14:paraId="3F44DDBD">
      <w:pPr>
        <w:spacing w:before="94" w:line="379" w:lineRule="exact"/>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0"/>
          <w:sz w:val="24"/>
          <w:szCs w:val="24"/>
          <w:lang w:eastAsia="zh-CN"/>
        </w:rPr>
        <w:t>（4）资格审查与评标</w:t>
      </w:r>
    </w:p>
    <w:p w14:paraId="1DFBD371">
      <w:pPr>
        <w:spacing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（5）招标内容及要求</w:t>
      </w:r>
    </w:p>
    <w:p w14:paraId="3A98880C">
      <w:pPr>
        <w:spacing w:before="97" w:line="379" w:lineRule="exact"/>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（6）采购合同（参考文本）</w:t>
      </w:r>
    </w:p>
    <w:p w14:paraId="60F193EF">
      <w:pPr>
        <w:spacing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（7）投标文件格式</w:t>
      </w:r>
    </w:p>
    <w:p w14:paraId="57172C1F">
      <w:pPr>
        <w:spacing w:before="95"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（8）按照招标文件规定作为招标文件组成部分的其他内容（若有）</w:t>
      </w:r>
    </w:p>
    <w:p w14:paraId="0823C120">
      <w:pPr>
        <w:spacing w:before="97" w:line="219" w:lineRule="auto"/>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5.2</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招标文件的澄清或修改</w:t>
      </w:r>
    </w:p>
    <w:p w14:paraId="78E78DD2">
      <w:pPr>
        <w:spacing w:before="94" w:line="255" w:lineRule="auto"/>
        <w:ind w:left="3" w:right="152" w:firstLine="48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可对已发出的招标文件进行必要的澄清</w:t>
      </w:r>
      <w:r>
        <w:rPr>
          <w:rFonts w:hint="eastAsia" w:asciiTheme="minorEastAsia" w:hAnsiTheme="minorEastAsia" w:eastAsiaTheme="minorEastAsia" w:cstheme="minorEastAsia"/>
          <w:color w:val="000000" w:themeColor="text1"/>
          <w:sz w:val="24"/>
          <w:szCs w:val="24"/>
          <w:lang w:eastAsia="zh-CN"/>
        </w:rPr>
        <w:t>或修改，但不得对招标文件载明的标的</w:t>
      </w:r>
      <w:r>
        <w:rPr>
          <w:rFonts w:hint="eastAsia" w:asciiTheme="minorEastAsia" w:hAnsiTheme="minorEastAsia" w:eastAsiaTheme="minorEastAsia" w:cstheme="minorEastAsia"/>
          <w:color w:val="000000" w:themeColor="text1"/>
          <w:spacing w:val="-1"/>
          <w:sz w:val="24"/>
          <w:szCs w:val="24"/>
          <w:lang w:eastAsia="zh-CN"/>
        </w:rPr>
        <w:t>和投标人的资格要求进行改变。</w:t>
      </w:r>
    </w:p>
    <w:p w14:paraId="44DD2025">
      <w:pPr>
        <w:spacing w:line="255" w:lineRule="auto"/>
        <w:rPr>
          <w:rFonts w:hint="eastAsia" w:asciiTheme="minorEastAsia" w:hAnsiTheme="minorEastAsia" w:eastAsiaTheme="minorEastAsia" w:cstheme="minorEastAsia"/>
          <w:color w:val="000000" w:themeColor="text1"/>
          <w:sz w:val="24"/>
          <w:szCs w:val="24"/>
          <w:lang w:eastAsia="zh-CN"/>
        </w:rPr>
        <w:sectPr>
          <w:footerReference r:id="rId6" w:type="default"/>
          <w:pgSz w:w="11906" w:h="16839"/>
          <w:pgMar w:top="1431" w:right="1337" w:bottom="1260" w:left="1424" w:header="0" w:footer="1013" w:gutter="0"/>
          <w:pgNumType w:fmt="decimal"/>
          <w:cols w:space="720" w:num="1"/>
        </w:sectPr>
      </w:pPr>
    </w:p>
    <w:p w14:paraId="6A5EB8F1">
      <w:pPr>
        <w:spacing w:before="107" w:line="256" w:lineRule="auto"/>
        <w:ind w:left="2" w:right="61" w:firstLine="48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（2）除本章第</w:t>
      </w:r>
      <w:r>
        <w:rPr>
          <w:rFonts w:hint="eastAsia" w:asciiTheme="minorEastAsia" w:hAnsiTheme="minorEastAsia" w:eastAsiaTheme="minorEastAsia" w:cstheme="minorEastAsia"/>
          <w:color w:val="000000" w:themeColor="text1"/>
          <w:spacing w:val="-2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5.2</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条第（3）款规定情形外，澄清或修改的内容可能影响投标文件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编制的，</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将在投标截止时</w:t>
      </w:r>
      <w:r>
        <w:rPr>
          <w:rFonts w:hint="eastAsia" w:asciiTheme="minorEastAsia" w:hAnsiTheme="minorEastAsia" w:eastAsiaTheme="minorEastAsia" w:cstheme="minorEastAsia"/>
          <w:color w:val="000000" w:themeColor="text1"/>
          <w:spacing w:val="-2"/>
          <w:sz w:val="24"/>
          <w:szCs w:val="24"/>
          <w:lang w:eastAsia="zh-CN"/>
        </w:rPr>
        <w:t>间至少</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15</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个日历日前，</w:t>
      </w:r>
      <w:r>
        <w:rPr>
          <w:rFonts w:hint="eastAsia" w:asciiTheme="minorEastAsia" w:hAnsiTheme="minorEastAsia" w:eastAsiaTheme="minorEastAsia" w:cstheme="minorEastAsia"/>
          <w:color w:val="000000" w:themeColor="text1"/>
          <w:spacing w:val="-1"/>
          <w:sz w:val="24"/>
          <w:szCs w:val="24"/>
          <w:lang w:eastAsia="zh-CN"/>
        </w:rPr>
        <w:t>在招标文件载明的公告媒体以更正公告的形式发布澄清或修改的内容</w:t>
      </w:r>
      <w:r>
        <w:rPr>
          <w:rFonts w:hint="eastAsia" w:asciiTheme="minorEastAsia" w:hAnsiTheme="minorEastAsia" w:eastAsiaTheme="minorEastAsia" w:cstheme="minorEastAsia"/>
          <w:color w:val="000000" w:themeColor="text1"/>
          <w:spacing w:val="-2"/>
          <w:sz w:val="24"/>
          <w:szCs w:val="24"/>
          <w:lang w:eastAsia="zh-CN"/>
        </w:rPr>
        <w:t>。不足</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15</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个日历</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日的，</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将顺延投标截止时间及开标时间，</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和投标人受原投标截止时间及开标时间制约的所有权利和  义务均延长至新的投标截止时间及开标时间。</w:t>
      </w:r>
    </w:p>
    <w:p w14:paraId="09EDB878">
      <w:pPr>
        <w:spacing w:before="97" w:line="267" w:lineRule="auto"/>
        <w:ind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（3）澄清或修改的内容可能改变招标文件</w:t>
      </w:r>
      <w:r>
        <w:rPr>
          <w:rFonts w:hint="eastAsia" w:asciiTheme="minorEastAsia" w:hAnsiTheme="minorEastAsia" w:eastAsiaTheme="minorEastAsia" w:cstheme="minorEastAsia"/>
          <w:color w:val="000000" w:themeColor="text1"/>
          <w:spacing w:val="-4"/>
          <w:sz w:val="24"/>
          <w:szCs w:val="24"/>
          <w:lang w:eastAsia="zh-CN"/>
        </w:rPr>
        <w:t>载明的标的和投标人的资格要求的，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本次招标活动结束，</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将依法组织后续招标活动（包</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括但不限于：重新招标、采用其他方式招标等）。</w:t>
      </w:r>
    </w:p>
    <w:p w14:paraId="3520C05C">
      <w:pPr>
        <w:spacing w:before="96"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6、现场考察或开标前答疑会</w:t>
      </w:r>
    </w:p>
    <w:p w14:paraId="37E72360">
      <w:pPr>
        <w:spacing w:before="94" w:line="255" w:lineRule="auto"/>
        <w:ind w:left="5" w:right="2033" w:hanging="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6.1</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是否组织现场考察或召开开标前答疑会：详见招标文件</w:t>
      </w:r>
      <w:r>
        <w:rPr>
          <w:rFonts w:hint="eastAsia" w:asciiTheme="minorEastAsia" w:hAnsiTheme="minorEastAsia" w:eastAsiaTheme="minorEastAsia" w:cstheme="minorEastAsia"/>
          <w:color w:val="000000" w:themeColor="text1"/>
          <w:spacing w:val="-3"/>
          <w:sz w:val="24"/>
          <w:szCs w:val="24"/>
          <w:lang w:eastAsia="zh-CN"/>
        </w:rPr>
        <w:t>第二章。</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7、更正公告</w:t>
      </w:r>
    </w:p>
    <w:p w14:paraId="3C7ED5DC">
      <w:pPr>
        <w:spacing w:before="97" w:line="268" w:lineRule="auto"/>
        <w:ind w:left="1" w:right="34" w:firstLine="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7.1</w:t>
      </w:r>
      <w:r>
        <w:rPr>
          <w:rFonts w:hint="eastAsia" w:asciiTheme="minorEastAsia" w:hAnsiTheme="minorEastAsia" w:eastAsiaTheme="minorEastAsia" w:cstheme="minorEastAsia"/>
          <w:color w:val="000000" w:themeColor="text1"/>
          <w:spacing w:val="-3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若</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发布更正公告，则更正公告及其所发布的内容或信息（包括但不限于：招标文件的澄清或修改、现场考察或答疑会的有关事宜等）</w:t>
      </w:r>
      <w:r>
        <w:rPr>
          <w:rFonts w:hint="eastAsia" w:asciiTheme="minorEastAsia" w:hAnsiTheme="minorEastAsia" w:eastAsiaTheme="minorEastAsia" w:cstheme="minorEastAsia"/>
          <w:color w:val="000000" w:themeColor="text1"/>
          <w:spacing w:val="5"/>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作为招标文件组成部分</w:t>
      </w:r>
      <w:r>
        <w:rPr>
          <w:rFonts w:hint="eastAsia" w:asciiTheme="minorEastAsia" w:hAnsiTheme="minorEastAsia" w:eastAsiaTheme="minorEastAsia" w:cstheme="minorEastAsia"/>
          <w:color w:val="000000" w:themeColor="text1"/>
          <w:spacing w:val="-2"/>
          <w:sz w:val="24"/>
          <w:szCs w:val="24"/>
          <w:lang w:eastAsia="zh-CN"/>
        </w:rPr>
        <w:t>，对投标人具有约束力。</w:t>
      </w:r>
    </w:p>
    <w:p w14:paraId="61D48D13">
      <w:pPr>
        <w:spacing w:before="97" w:line="256" w:lineRule="auto"/>
        <w:ind w:left="5" w:right="31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7.2</w:t>
      </w:r>
      <w:r>
        <w:rPr>
          <w:rFonts w:hint="eastAsia" w:asciiTheme="minorEastAsia" w:hAnsiTheme="minorEastAsia" w:eastAsiaTheme="minorEastAsia" w:cstheme="minorEastAsia"/>
          <w:color w:val="000000" w:themeColor="text1"/>
          <w:spacing w:val="-3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更正公告作为</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通知所有潜在投标人的书面形</w:t>
      </w:r>
      <w:r>
        <w:rPr>
          <w:rFonts w:hint="eastAsia" w:asciiTheme="minorEastAsia" w:hAnsiTheme="minorEastAsia" w:eastAsiaTheme="minorEastAsia" w:cstheme="minorEastAsia"/>
          <w:color w:val="000000" w:themeColor="text1"/>
          <w:spacing w:val="-8"/>
          <w:sz w:val="24"/>
          <w:szCs w:val="24"/>
          <w:lang w:eastAsia="zh-CN"/>
        </w:rPr>
        <w:t>式。</w:t>
      </w:r>
    </w:p>
    <w:p w14:paraId="66A581AC">
      <w:pPr>
        <w:spacing w:before="92" w:line="218"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8、终止公告</w:t>
      </w:r>
    </w:p>
    <w:p w14:paraId="6D6C18F3">
      <w:pPr>
        <w:spacing w:before="98" w:line="255" w:lineRule="auto"/>
        <w:ind w:left="3" w:right="73" w:hanging="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8.1</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若出现因重大变故导致招标任务取消情形，</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福建三仟招标有限公司可</w:t>
      </w:r>
      <w:r>
        <w:rPr>
          <w:rFonts w:hint="eastAsia" w:asciiTheme="minorEastAsia" w:hAnsiTheme="minorEastAsia" w:eastAsiaTheme="minorEastAsia" w:cstheme="minorEastAsia"/>
          <w:color w:val="000000" w:themeColor="text1"/>
          <w:spacing w:val="1"/>
          <w:sz w:val="24"/>
          <w:szCs w:val="24"/>
          <w:u w:val="single"/>
          <w:lang w:eastAsia="zh-CN"/>
        </w:rPr>
        <w:t>终止招标并发布终止公告。</w:t>
      </w:r>
    </w:p>
    <w:p w14:paraId="62E57842">
      <w:pPr>
        <w:spacing w:before="96" w:line="257" w:lineRule="auto"/>
        <w:ind w:left="4" w:right="313" w:hanging="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u w:val="single"/>
          <w:lang w:eastAsia="zh-CN"/>
        </w:rPr>
        <w:t>8.2</w:t>
      </w:r>
      <w:r>
        <w:rPr>
          <w:rFonts w:hint="eastAsia" w:asciiTheme="minorEastAsia" w:hAnsiTheme="minorEastAsia" w:eastAsiaTheme="minorEastAsia" w:cstheme="minorEastAsia"/>
          <w:color w:val="000000" w:themeColor="text1"/>
          <w:spacing w:val="-34"/>
          <w:sz w:val="24"/>
          <w:szCs w:val="24"/>
          <w:u w:val="single"/>
          <w:lang w:eastAsia="zh-CN"/>
        </w:rPr>
        <w:t xml:space="preserve"> </w:t>
      </w:r>
      <w:r>
        <w:rPr>
          <w:rFonts w:hint="eastAsia" w:asciiTheme="minorEastAsia" w:hAnsiTheme="minorEastAsia" w:eastAsiaTheme="minorEastAsia" w:cstheme="minorEastAsia"/>
          <w:color w:val="000000" w:themeColor="text1"/>
          <w:spacing w:val="-1"/>
          <w:sz w:val="24"/>
          <w:szCs w:val="24"/>
          <w:u w:val="single"/>
          <w:lang w:eastAsia="zh-CN"/>
        </w:rPr>
        <w:t>终止公告作为福建三仟招标有限公司</w:t>
      </w:r>
      <w:r>
        <w:rPr>
          <w:rFonts w:hint="eastAsia" w:asciiTheme="minorEastAsia" w:hAnsiTheme="minorEastAsia" w:eastAsiaTheme="minorEastAsia" w:cstheme="minorEastAsia"/>
          <w:color w:val="000000" w:themeColor="text1"/>
          <w:spacing w:val="-1"/>
          <w:sz w:val="24"/>
          <w:szCs w:val="24"/>
          <w:lang w:eastAsia="zh-CN"/>
        </w:rPr>
        <w:t>通知所有潜在投标人的书面形</w:t>
      </w:r>
      <w:r>
        <w:rPr>
          <w:rFonts w:hint="eastAsia" w:asciiTheme="minorEastAsia" w:hAnsiTheme="minorEastAsia" w:eastAsiaTheme="minorEastAsia" w:cstheme="minorEastAsia"/>
          <w:color w:val="000000" w:themeColor="text1"/>
          <w:spacing w:val="-8"/>
          <w:sz w:val="24"/>
          <w:szCs w:val="24"/>
          <w:lang w:eastAsia="zh-CN"/>
        </w:rPr>
        <w:t>式。</w:t>
      </w:r>
    </w:p>
    <w:p w14:paraId="3E55776D">
      <w:pPr>
        <w:pStyle w:val="8"/>
        <w:spacing w:line="391" w:lineRule="auto"/>
        <w:rPr>
          <w:rFonts w:hint="eastAsia" w:asciiTheme="minorEastAsia" w:hAnsiTheme="minorEastAsia" w:eastAsiaTheme="minorEastAsia" w:cstheme="minorEastAsia"/>
          <w:color w:val="000000" w:themeColor="text1"/>
          <w:lang w:eastAsia="zh-CN"/>
        </w:rPr>
      </w:pPr>
    </w:p>
    <w:p w14:paraId="3F7EB79E">
      <w:pPr>
        <w:spacing w:before="78" w:line="220" w:lineRule="auto"/>
        <w:ind w:left="40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0"/>
          <w:sz w:val="24"/>
          <w:szCs w:val="24"/>
          <w:lang w:eastAsia="zh-CN"/>
        </w:rPr>
        <w:t>四、投标</w:t>
      </w:r>
    </w:p>
    <w:p w14:paraId="70357978">
      <w:pPr>
        <w:spacing w:before="96" w:line="220"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9、投标</w:t>
      </w:r>
    </w:p>
    <w:p w14:paraId="731FA12D">
      <w:pPr>
        <w:spacing w:before="92" w:line="219"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9.1</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投标人可对招标文件载明的全部或部分合同包进行投标。</w:t>
      </w:r>
    </w:p>
    <w:p w14:paraId="3F1F89F9">
      <w:pPr>
        <w:spacing w:before="95" w:line="219"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9.2</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投标人应对合同包内的所有内容进行完整投标，否则</w:t>
      </w:r>
      <w:r>
        <w:rPr>
          <w:rFonts w:hint="eastAsia" w:asciiTheme="minorEastAsia" w:hAnsiTheme="minorEastAsia" w:eastAsiaTheme="minorEastAsia" w:cstheme="minorEastAsia"/>
          <w:b/>
          <w:bCs/>
          <w:color w:val="000000" w:themeColor="text1"/>
          <w:spacing w:val="-1"/>
          <w:sz w:val="24"/>
          <w:szCs w:val="24"/>
          <w:lang w:eastAsia="zh-CN"/>
        </w:rPr>
        <w:t>投标无效</w:t>
      </w:r>
      <w:r>
        <w:rPr>
          <w:rFonts w:hint="eastAsia" w:asciiTheme="minorEastAsia" w:hAnsiTheme="minorEastAsia" w:eastAsiaTheme="minorEastAsia" w:cstheme="minorEastAsia"/>
          <w:color w:val="000000" w:themeColor="text1"/>
          <w:spacing w:val="-1"/>
          <w:sz w:val="24"/>
          <w:szCs w:val="24"/>
          <w:lang w:eastAsia="zh-CN"/>
        </w:rPr>
        <w:t>。</w:t>
      </w:r>
    </w:p>
    <w:p w14:paraId="6977492A">
      <w:pPr>
        <w:spacing w:before="97" w:line="256" w:lineRule="auto"/>
        <w:ind w:left="2" w:right="68" w:hanging="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9.3</w:t>
      </w:r>
      <w:r>
        <w:rPr>
          <w:rFonts w:hint="eastAsia" w:asciiTheme="minorEastAsia" w:hAnsiTheme="minorEastAsia" w:eastAsiaTheme="minorEastAsia" w:cstheme="minorEastAsia"/>
          <w:color w:val="000000" w:themeColor="text1"/>
          <w:spacing w:val="-3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投标人代表只能接受一个投标人的授权参加投标，否则</w:t>
      </w:r>
      <w:r>
        <w:rPr>
          <w:rFonts w:hint="eastAsia" w:asciiTheme="minorEastAsia" w:hAnsiTheme="minorEastAsia" w:eastAsiaTheme="minorEastAsia" w:cstheme="minorEastAsia"/>
          <w:b/>
          <w:bCs/>
          <w:color w:val="000000" w:themeColor="text1"/>
          <w:spacing w:val="-1"/>
          <w:sz w:val="24"/>
          <w:szCs w:val="24"/>
          <w:lang w:eastAsia="zh-CN"/>
        </w:rPr>
        <w:t>投标无效</w:t>
      </w:r>
      <w:r>
        <w:rPr>
          <w:rFonts w:hint="eastAsia" w:asciiTheme="minorEastAsia" w:hAnsiTheme="minorEastAsia" w:eastAsiaTheme="minorEastAsia" w:cstheme="minorEastAsia"/>
          <w:color w:val="000000" w:themeColor="text1"/>
          <w:spacing w:val="-1"/>
          <w:sz w:val="24"/>
          <w:szCs w:val="24"/>
          <w:lang w:eastAsia="zh-CN"/>
        </w:rPr>
        <w:t>。同一合同项下的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投标，否则</w:t>
      </w:r>
      <w:r>
        <w:rPr>
          <w:rFonts w:hint="eastAsia" w:asciiTheme="minorEastAsia" w:hAnsiTheme="minorEastAsia" w:eastAsiaTheme="minorEastAsia" w:cstheme="minorEastAsia"/>
          <w:b/>
          <w:bCs/>
          <w:color w:val="000000" w:themeColor="text1"/>
          <w:spacing w:val="-2"/>
          <w:sz w:val="24"/>
          <w:szCs w:val="24"/>
          <w:lang w:eastAsia="zh-CN"/>
        </w:rPr>
        <w:t>投标无效</w:t>
      </w:r>
      <w:r>
        <w:rPr>
          <w:rFonts w:hint="eastAsia" w:asciiTheme="minorEastAsia" w:hAnsiTheme="minorEastAsia" w:eastAsiaTheme="minorEastAsia" w:cstheme="minorEastAsia"/>
          <w:color w:val="000000" w:themeColor="text1"/>
          <w:spacing w:val="-2"/>
          <w:sz w:val="24"/>
          <w:szCs w:val="24"/>
          <w:lang w:eastAsia="zh-CN"/>
        </w:rPr>
        <w:t>。</w:t>
      </w:r>
    </w:p>
    <w:p w14:paraId="55C14D18">
      <w:pPr>
        <w:spacing w:before="93" w:line="219"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9.4</w:t>
      </w:r>
      <w:r>
        <w:rPr>
          <w:rFonts w:hint="eastAsia" w:asciiTheme="minorEastAsia" w:hAnsiTheme="minorEastAsia" w:eastAsiaTheme="minorEastAsia" w:cstheme="minorEastAsia"/>
          <w:color w:val="000000" w:themeColor="text1"/>
          <w:spacing w:val="-3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单位负责人为同一人或存在直接控股、管理关系的不同投标人，不得同时参加</w:t>
      </w:r>
    </w:p>
    <w:p w14:paraId="6D662879">
      <w:pPr>
        <w:spacing w:before="97" w:line="255" w:lineRule="auto"/>
        <w:ind w:left="1" w:right="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9.5</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列入失信被执行人、重大税收违法案件当事人名单、严重违法失信行为记录名单及</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其他不符合法律规定条件的投标人，不得参加投标，否则</w:t>
      </w:r>
      <w:r>
        <w:rPr>
          <w:rFonts w:hint="eastAsia" w:asciiTheme="minorEastAsia" w:hAnsiTheme="minorEastAsia" w:eastAsiaTheme="minorEastAsia" w:cstheme="minorEastAsia"/>
          <w:b/>
          <w:bCs/>
          <w:color w:val="000000" w:themeColor="text1"/>
          <w:spacing w:val="-1"/>
          <w:sz w:val="24"/>
          <w:szCs w:val="24"/>
          <w:lang w:eastAsia="zh-CN"/>
        </w:rPr>
        <w:t>投标无效</w:t>
      </w:r>
      <w:r>
        <w:rPr>
          <w:rFonts w:hint="eastAsia" w:asciiTheme="minorEastAsia" w:hAnsiTheme="minorEastAsia" w:eastAsiaTheme="minorEastAsia" w:cstheme="minorEastAsia"/>
          <w:color w:val="000000" w:themeColor="text1"/>
          <w:spacing w:val="-1"/>
          <w:sz w:val="24"/>
          <w:szCs w:val="24"/>
          <w:lang w:eastAsia="zh-CN"/>
        </w:rPr>
        <w:t>。</w:t>
      </w:r>
    </w:p>
    <w:p w14:paraId="3B5E9B2A">
      <w:pPr>
        <w:spacing w:before="97" w:line="268" w:lineRule="auto"/>
        <w:ind w:left="1" w:right="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9.6</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为本项目提供整体设计、规范编制或项目管理、监理、检测等服务的投标人，不得</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参加本项目除整体设计、规范编制和项目管理、监理、检测等服务外的招标活动，否则</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投标无效。</w:t>
      </w:r>
    </w:p>
    <w:p w14:paraId="53354DAE">
      <w:pPr>
        <w:spacing w:before="93" w:line="220"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9.7</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有下列情形之一的，视为投标人串通投标，</w:t>
      </w:r>
      <w:r>
        <w:rPr>
          <w:rFonts w:hint="eastAsia" w:asciiTheme="minorEastAsia" w:hAnsiTheme="minorEastAsia" w:eastAsiaTheme="minorEastAsia" w:cstheme="minorEastAsia"/>
          <w:b/>
          <w:bCs/>
          <w:color w:val="000000" w:themeColor="text1"/>
          <w:spacing w:val="-1"/>
          <w:sz w:val="24"/>
          <w:szCs w:val="24"/>
          <w:lang w:eastAsia="zh-CN"/>
        </w:rPr>
        <w:t>其投</w:t>
      </w:r>
      <w:r>
        <w:rPr>
          <w:rFonts w:hint="eastAsia" w:asciiTheme="minorEastAsia" w:hAnsiTheme="minorEastAsia" w:eastAsiaTheme="minorEastAsia" w:cstheme="minorEastAsia"/>
          <w:b/>
          <w:bCs/>
          <w:color w:val="000000" w:themeColor="text1"/>
          <w:spacing w:val="-2"/>
          <w:sz w:val="24"/>
          <w:szCs w:val="24"/>
          <w:lang w:eastAsia="zh-CN"/>
        </w:rPr>
        <w:t>标无效：</w:t>
      </w:r>
    </w:p>
    <w:p w14:paraId="00CE0523">
      <w:pPr>
        <w:spacing w:line="220" w:lineRule="auto"/>
        <w:rPr>
          <w:rFonts w:hint="eastAsia" w:asciiTheme="minorEastAsia" w:hAnsiTheme="minorEastAsia" w:eastAsiaTheme="minorEastAsia" w:cstheme="minorEastAsia"/>
          <w:color w:val="000000" w:themeColor="text1"/>
          <w:sz w:val="24"/>
          <w:szCs w:val="24"/>
          <w:lang w:eastAsia="zh-CN"/>
        </w:rPr>
        <w:sectPr>
          <w:footerReference r:id="rId7" w:type="default"/>
          <w:pgSz w:w="11906" w:h="16839"/>
          <w:pgMar w:top="1431" w:right="1356" w:bottom="1260" w:left="1424" w:header="0" w:footer="1013" w:gutter="0"/>
          <w:pgNumType w:fmt="decimal"/>
          <w:cols w:space="720" w:num="1"/>
        </w:sectPr>
      </w:pPr>
    </w:p>
    <w:p w14:paraId="47D6E2DE">
      <w:pPr>
        <w:spacing w:before="108" w:line="379" w:lineRule="exact"/>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（1）不同投标人的投标文件由同一单位或个人编制；</w:t>
      </w:r>
    </w:p>
    <w:p w14:paraId="6081C11D">
      <w:pPr>
        <w:spacing w:line="219" w:lineRule="auto"/>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（2）不同投标人委托同一单位或个人办理投标事宜；</w:t>
      </w:r>
    </w:p>
    <w:p w14:paraId="768B4F80">
      <w:pPr>
        <w:spacing w:before="93" w:line="256" w:lineRule="auto"/>
        <w:ind w:left="490" w:right="10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（3）不同投标人的投标文件载明的项目管理成员或联系人员为同一人；</w:t>
      </w:r>
      <w:r>
        <w:rPr>
          <w:rFonts w:hint="eastAsia" w:asciiTheme="minorEastAsia" w:hAnsiTheme="minorEastAsia" w:eastAsiaTheme="minorEastAsia" w:cstheme="minorEastAsia"/>
          <w:color w:val="000000" w:themeColor="text1"/>
          <w:spacing w:val="1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（4）不同投标人的投标文件异常一致或投标报价呈规律性差异；</w:t>
      </w:r>
    </w:p>
    <w:p w14:paraId="52D410FB">
      <w:pPr>
        <w:spacing w:before="96" w:line="219" w:lineRule="auto"/>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（5）不同投标人的投标文件相互混装；</w:t>
      </w:r>
    </w:p>
    <w:p w14:paraId="126533B1">
      <w:pPr>
        <w:spacing w:before="94" w:line="219" w:lineRule="auto"/>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（6）不同投标人的投标保证金从同一单位或个人的账户转出；</w:t>
      </w:r>
    </w:p>
    <w:p w14:paraId="691B0AA6">
      <w:pPr>
        <w:spacing w:before="95" w:line="256" w:lineRule="auto"/>
        <w:ind w:left="16" w:right="1551" w:firstLine="4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（7）有关法律、法规和规章及招标文件规定的其他串通投标情</w:t>
      </w:r>
      <w:r>
        <w:rPr>
          <w:rFonts w:hint="eastAsia" w:asciiTheme="minorEastAsia" w:hAnsiTheme="minorEastAsia" w:eastAsiaTheme="minorEastAsia" w:cstheme="minorEastAsia"/>
          <w:color w:val="000000" w:themeColor="text1"/>
          <w:spacing w:val="-3"/>
          <w:sz w:val="24"/>
          <w:szCs w:val="24"/>
          <w:lang w:eastAsia="zh-CN"/>
        </w:rPr>
        <w:t>形。</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10、投标文件</w:t>
      </w:r>
    </w:p>
    <w:p w14:paraId="4ABFC636">
      <w:pPr>
        <w:spacing w:before="94"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10.1</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投标文件的编制</w:t>
      </w:r>
    </w:p>
    <w:p w14:paraId="65960BFA">
      <w:pPr>
        <w:spacing w:before="97" w:line="255" w:lineRule="auto"/>
        <w:ind w:left="490" w:right="5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（1）投标人应先仔细阅读招标文件的全部内容后，再进行投标文件的编制。</w:t>
      </w:r>
      <w:r>
        <w:rPr>
          <w:rFonts w:hint="eastAsia" w:asciiTheme="minorEastAsia" w:hAnsiTheme="minorEastAsia" w:eastAsiaTheme="minorEastAsia" w:cstheme="minorEastAsia"/>
          <w:color w:val="000000" w:themeColor="text1"/>
          <w:spacing w:val="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（2）投标文件应按照本章第</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10.2</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条规定编制其</w:t>
      </w:r>
      <w:r>
        <w:rPr>
          <w:rFonts w:hint="eastAsia" w:asciiTheme="minorEastAsia" w:hAnsiTheme="minorEastAsia" w:eastAsiaTheme="minorEastAsia" w:cstheme="minorEastAsia"/>
          <w:color w:val="000000" w:themeColor="text1"/>
          <w:spacing w:val="-3"/>
          <w:sz w:val="24"/>
          <w:szCs w:val="24"/>
          <w:lang w:eastAsia="zh-CN"/>
        </w:rPr>
        <w:t>组成部分。</w:t>
      </w:r>
    </w:p>
    <w:p w14:paraId="2721D2E1">
      <w:pPr>
        <w:spacing w:before="96" w:line="268" w:lineRule="auto"/>
        <w:ind w:left="9" w:firstLine="481"/>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（3）投标文件应满足招标文件提出的实质性要求和条件，并保证其所提交的全部</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资料是不可割离且真实、有效、准确、完整和不具有任何误导性的，否则造成不利后果</w:t>
      </w:r>
      <w:r>
        <w:rPr>
          <w:rFonts w:hint="eastAsia" w:asciiTheme="minorEastAsia" w:hAnsiTheme="minorEastAsia" w:eastAsiaTheme="minorEastAsia" w:cstheme="minorEastAsia"/>
          <w:color w:val="000000" w:themeColor="text1"/>
          <w:spacing w:val="7"/>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由投标人承担责任。</w:t>
      </w:r>
    </w:p>
    <w:p w14:paraId="7F0F48C8">
      <w:pPr>
        <w:spacing w:before="96" w:line="267" w:lineRule="auto"/>
        <w:ind w:left="477" w:right="5712" w:hanging="4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10.2</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投标文件由下述部分组成：</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（1）资格及资信证明部分</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①投标函</w:t>
      </w:r>
    </w:p>
    <w:p w14:paraId="081C317C">
      <w:pPr>
        <w:spacing w:before="97" w:line="217" w:lineRule="auto"/>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②投标人的资格及资信证明文件</w:t>
      </w:r>
    </w:p>
    <w:p w14:paraId="467A3665">
      <w:pPr>
        <w:spacing w:before="99" w:line="380" w:lineRule="exact"/>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③投标保证金</w:t>
      </w:r>
    </w:p>
    <w:p w14:paraId="777727A6">
      <w:pPr>
        <w:spacing w:before="1" w:line="217" w:lineRule="auto"/>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（2）报价部分</w:t>
      </w:r>
    </w:p>
    <w:p w14:paraId="5FCE6039">
      <w:pPr>
        <w:spacing w:before="96" w:line="217"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①开标一览表</w:t>
      </w:r>
    </w:p>
    <w:p w14:paraId="21096382">
      <w:pPr>
        <w:spacing w:before="100" w:line="219" w:lineRule="auto"/>
        <w:ind w:left="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（3）技术商务部分</w:t>
      </w:r>
    </w:p>
    <w:p w14:paraId="3523A46D">
      <w:pPr>
        <w:spacing w:before="94" w:line="217"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①标的说明一览表</w:t>
      </w:r>
    </w:p>
    <w:p w14:paraId="00CF8247">
      <w:pPr>
        <w:spacing w:before="97" w:line="217" w:lineRule="auto"/>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②技术和服务要求响应表</w:t>
      </w:r>
    </w:p>
    <w:p w14:paraId="6BBA397E">
      <w:pPr>
        <w:spacing w:before="99" w:line="217" w:lineRule="auto"/>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③商务条件响应表</w:t>
      </w:r>
    </w:p>
    <w:p w14:paraId="340BB314">
      <w:pPr>
        <w:spacing w:before="98" w:line="217" w:lineRule="auto"/>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④投标人提交的其他资料（若有）</w:t>
      </w:r>
    </w:p>
    <w:p w14:paraId="14FAD919">
      <w:pPr>
        <w:spacing w:before="97" w:line="217" w:lineRule="auto"/>
        <w:ind w:left="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⑤招标文件规定作为投标文件组成部分的其他内容（若有）</w:t>
      </w:r>
    </w:p>
    <w:p w14:paraId="32E524B9">
      <w:pPr>
        <w:spacing w:before="99"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10.3</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投标文件的语言</w:t>
      </w:r>
    </w:p>
    <w:p w14:paraId="6EB23BF1">
      <w:pPr>
        <w:spacing w:before="95" w:line="255" w:lineRule="auto"/>
        <w:ind w:right="72" w:firstLine="48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（1）除招标文件另有规定外，投标文件应使用中文文本，若有不同文本，以中文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文本为准。</w:t>
      </w:r>
    </w:p>
    <w:p w14:paraId="3ABE183A">
      <w:pPr>
        <w:spacing w:before="97" w:line="274" w:lineRule="auto"/>
        <w:ind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（2）投标文件提供的全部资料中，若原件属于非中文描述，应提供具有翻译资质</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的机构翻译的中文译本。前述翻译机构应为中国翻译协会成员单位，翻译的中文译本应</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由翻译人员签名并加盖翻译机构公章，同时提供翻译人员翻译资格证书。中文译本、翻</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译机构的成员单位证书及翻译人员的资格证书可为复印件。</w:t>
      </w:r>
    </w:p>
    <w:p w14:paraId="69D6257E">
      <w:pPr>
        <w:spacing w:before="94"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10.4</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投标文件的份数：详见招标文件第二章。</w:t>
      </w:r>
    </w:p>
    <w:p w14:paraId="53204E22">
      <w:pPr>
        <w:spacing w:before="96"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10.5</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投标文件的格式</w:t>
      </w:r>
    </w:p>
    <w:p w14:paraId="202D6E6A">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8" w:type="default"/>
          <w:pgSz w:w="11906" w:h="16839"/>
          <w:pgMar w:top="1431" w:right="1417" w:bottom="1260" w:left="1426" w:header="0" w:footer="1013" w:gutter="0"/>
          <w:pgNumType w:fmt="decimal"/>
          <w:cols w:space="720" w:num="1"/>
        </w:sectPr>
      </w:pPr>
    </w:p>
    <w:p w14:paraId="07F83E81">
      <w:pPr>
        <w:spacing w:before="107" w:line="219"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（1）除招标文件另有规定外，投标文件应使用招标文件第七章规定的格式。</w:t>
      </w:r>
    </w:p>
    <w:p w14:paraId="080F73A9">
      <w:pPr>
        <w:spacing w:before="95" w:line="255" w:lineRule="auto"/>
        <w:ind w:right="133"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（2）除招标文件另有规定外，投标文件的正本和全部副本均应使用不能擦去的墨</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料或墨水打印、书写或复印，其中：</w:t>
      </w:r>
    </w:p>
    <w:p w14:paraId="2DB5A387">
      <w:pPr>
        <w:spacing w:before="96" w:line="256" w:lineRule="auto"/>
        <w:ind w:left="5" w:right="173" w:firstLine="4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①正本应用</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A4</w:t>
      </w:r>
      <w:r>
        <w:rPr>
          <w:rFonts w:hint="eastAsia" w:asciiTheme="minorEastAsia" w:hAnsiTheme="minorEastAsia" w:eastAsiaTheme="minorEastAsia" w:cstheme="minorEastAsia"/>
          <w:color w:val="000000" w:themeColor="text1"/>
          <w:spacing w:val="-4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幅面纸张打印装订，编制封面（封面标明“正本</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”字样）、索引、</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页码，并用胶装装订成册。</w:t>
      </w:r>
    </w:p>
    <w:p w14:paraId="454E2909">
      <w:pPr>
        <w:spacing w:before="93" w:line="268" w:lineRule="auto"/>
        <w:ind w:left="5" w:firstLine="47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②副本应用</w:t>
      </w:r>
      <w:r>
        <w:rPr>
          <w:rFonts w:hint="eastAsia" w:asciiTheme="minorEastAsia" w:hAnsiTheme="minorEastAsia" w:eastAsiaTheme="minorEastAsia" w:cstheme="minorEastAsia"/>
          <w:color w:val="000000" w:themeColor="text1"/>
          <w:spacing w:val="-5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A4</w:t>
      </w:r>
      <w:r>
        <w:rPr>
          <w:rFonts w:hint="eastAsia" w:asciiTheme="minorEastAsia" w:hAnsiTheme="minorEastAsia" w:eastAsiaTheme="minorEastAsia" w:cstheme="minorEastAsia"/>
          <w:color w:val="000000" w:themeColor="text1"/>
          <w:spacing w:val="-4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幅面纸张打印装订，编制封面（封面标明“副本</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”字样）、索引、</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页码，并用胶装装订成册；副本可用正本的完整复印件，并与正本保</w:t>
      </w:r>
      <w:r>
        <w:rPr>
          <w:rFonts w:hint="eastAsia" w:asciiTheme="minorEastAsia" w:hAnsiTheme="minorEastAsia" w:eastAsiaTheme="minorEastAsia" w:cstheme="minorEastAsia"/>
          <w:color w:val="000000" w:themeColor="text1"/>
          <w:spacing w:val="-7"/>
          <w:sz w:val="24"/>
          <w:szCs w:val="24"/>
          <w:lang w:eastAsia="zh-CN"/>
        </w:rPr>
        <w:t>持一致（若不一致，</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以正本为准）。</w:t>
      </w:r>
    </w:p>
    <w:p w14:paraId="444D92AF">
      <w:pPr>
        <w:spacing w:before="95" w:line="217"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③允许散装或活页装订的内容或材料：详见招标文件第二章。</w:t>
      </w:r>
    </w:p>
    <w:p w14:paraId="3E4BD7F0">
      <w:pPr>
        <w:spacing w:before="99" w:line="256" w:lineRule="auto"/>
        <w:ind w:left="2" w:right="61" w:firstLine="4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6"/>
          <w:sz w:val="24"/>
          <w:szCs w:val="24"/>
          <w:lang w:eastAsia="zh-CN"/>
        </w:rPr>
        <w:t>※除本章第</w:t>
      </w:r>
      <w:r>
        <w:rPr>
          <w:rFonts w:hint="eastAsia" w:asciiTheme="minorEastAsia" w:hAnsiTheme="minorEastAsia" w:eastAsiaTheme="minorEastAsia" w:cstheme="minorEastAsia"/>
          <w:color w:val="000000" w:themeColor="text1"/>
          <w:spacing w:val="-19"/>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10.5</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条第（2）款第③点规定情形外，投标文件散装或活页装订将导致</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投标无效。</w:t>
      </w:r>
    </w:p>
    <w:p w14:paraId="13D0DC5E">
      <w:pPr>
        <w:spacing w:before="93" w:line="256" w:lineRule="auto"/>
        <w:ind w:left="491" w:right="13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（3）除招标文件另有规定外，投标文件应使用人民币作为计量货币。</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（4）除招标文件另有规定外，签署、盖章应遵守下列规定：</w:t>
      </w:r>
    </w:p>
    <w:p w14:paraId="1967B1FF">
      <w:pPr>
        <w:spacing w:before="96" w:line="255" w:lineRule="auto"/>
        <w:ind w:left="8" w:right="61" w:firstLine="47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①投标文件应由投标人代表签字并加盖投标人的单位公章。若投标人代表为单位负</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责人授权的委托代理人，应提供“单位负责人授权书</w:t>
      </w:r>
      <w:r>
        <w:rPr>
          <w:rFonts w:hint="eastAsia" w:asciiTheme="minorEastAsia" w:hAnsiTheme="minorEastAsia" w:eastAsiaTheme="minorEastAsia" w:cstheme="minorEastAsia"/>
          <w:color w:val="000000" w:themeColor="text1"/>
          <w:spacing w:val="-8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w:t>
      </w:r>
    </w:p>
    <w:p w14:paraId="63DD7795">
      <w:pPr>
        <w:spacing w:before="95" w:line="268" w:lineRule="auto"/>
        <w:ind w:left="8" w:right="61" w:firstLine="46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②投标文件应没有涂改或行间插字，除非这些改动是根据</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的指示进行的，或是为改正投标人造成的应修改的错误而进行的。若有前述</w:t>
      </w:r>
      <w:r>
        <w:rPr>
          <w:rFonts w:hint="eastAsia" w:asciiTheme="minorEastAsia" w:hAnsiTheme="minorEastAsia" w:eastAsiaTheme="minorEastAsia" w:cstheme="minorEastAsia"/>
          <w:color w:val="000000" w:themeColor="text1"/>
          <w:spacing w:val="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改动，应按照下列规定之一对改动处进行处理：</w:t>
      </w:r>
    </w:p>
    <w:p w14:paraId="078F4FC2">
      <w:pPr>
        <w:spacing w:before="97" w:line="219"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a.投标人代表签字确认；</w:t>
      </w:r>
    </w:p>
    <w:p w14:paraId="323841EA">
      <w:pPr>
        <w:spacing w:before="94" w:line="219" w:lineRule="auto"/>
        <w:ind w:left="4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b.加盖投标人的单位公章或校正章。</w:t>
      </w:r>
    </w:p>
    <w:p w14:paraId="63BBD21E">
      <w:pPr>
        <w:spacing w:before="95" w:line="218"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10.6</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投标报价</w:t>
      </w:r>
    </w:p>
    <w:p w14:paraId="592F979A">
      <w:pPr>
        <w:spacing w:before="98" w:line="218"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（1）投标报价超出最高限价将导致</w:t>
      </w:r>
      <w:r>
        <w:rPr>
          <w:rFonts w:hint="eastAsia" w:asciiTheme="minorEastAsia" w:hAnsiTheme="minorEastAsia" w:eastAsiaTheme="minorEastAsia" w:cstheme="minorEastAsia"/>
          <w:b/>
          <w:bCs/>
          <w:color w:val="000000" w:themeColor="text1"/>
          <w:spacing w:val="-2"/>
          <w:sz w:val="24"/>
          <w:szCs w:val="24"/>
          <w:lang w:eastAsia="zh-CN"/>
        </w:rPr>
        <w:t>投标无效。</w:t>
      </w:r>
    </w:p>
    <w:p w14:paraId="06C92DA8">
      <w:pPr>
        <w:spacing w:before="95" w:line="255" w:lineRule="auto"/>
        <w:ind w:right="133"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（2）本项目各合同包的最高单价详见《招标项目一览表》，投标人品目号单价报</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价或品目号总价报价或合同包总价报价超出对应最高</w:t>
      </w:r>
      <w:r>
        <w:rPr>
          <w:rFonts w:hint="eastAsia" w:asciiTheme="minorEastAsia" w:hAnsiTheme="minorEastAsia" w:eastAsiaTheme="minorEastAsia" w:cstheme="minorEastAsia"/>
          <w:color w:val="000000" w:themeColor="text1"/>
          <w:spacing w:val="-1"/>
          <w:sz w:val="24"/>
          <w:szCs w:val="24"/>
          <w:lang w:eastAsia="zh-CN"/>
        </w:rPr>
        <w:t>限价的，按无效投标处理。</w:t>
      </w:r>
    </w:p>
    <w:p w14:paraId="02BA5650">
      <w:pPr>
        <w:spacing w:before="98" w:line="268" w:lineRule="auto"/>
        <w:ind w:right="61"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（3）除招标文件另有规定外，投标文件不能出现任何选择性的投标报价，即每一</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个合同包和品目号的标的都只能有一个投标报价。任何选择性的投标报价将导致</w:t>
      </w:r>
      <w:r>
        <w:rPr>
          <w:rFonts w:hint="eastAsia" w:asciiTheme="minorEastAsia" w:hAnsiTheme="minorEastAsia" w:eastAsiaTheme="minorEastAsia" w:cstheme="minorEastAsia"/>
          <w:b/>
          <w:bCs/>
          <w:color w:val="000000" w:themeColor="text1"/>
          <w:spacing w:val="-2"/>
          <w:sz w:val="24"/>
          <w:szCs w:val="24"/>
          <w:lang w:eastAsia="zh-CN"/>
        </w:rPr>
        <w:t>投</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标无效。</w:t>
      </w:r>
    </w:p>
    <w:p w14:paraId="34485571">
      <w:pPr>
        <w:spacing w:before="96" w:line="220"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10.7</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分包</w:t>
      </w:r>
    </w:p>
    <w:p w14:paraId="028FBE7C">
      <w:pPr>
        <w:spacing w:before="93" w:line="255" w:lineRule="auto"/>
        <w:ind w:left="3" w:right="133" w:firstLine="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（1）是否允许中标人将本项目的非主体、非关键性工作进行分包：详见招标文件第</w:t>
      </w:r>
      <w:r>
        <w:rPr>
          <w:rFonts w:hint="eastAsia" w:asciiTheme="minorEastAsia" w:hAnsiTheme="minorEastAsia" w:eastAsiaTheme="minorEastAsia" w:cstheme="minorEastAsia"/>
          <w:color w:val="000000" w:themeColor="text1"/>
          <w:spacing w:val="7"/>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二章。</w:t>
      </w:r>
    </w:p>
    <w:p w14:paraId="18A05428">
      <w:pPr>
        <w:spacing w:before="96" w:line="268" w:lineRule="auto"/>
        <w:ind w:right="61"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（2）若允许中标人将本项目的非主体、非关键性工作进行分包且投标人拟在中标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后进行分包，则投标人应在投标文件中载明分包承担主体，分包承担主体应具备相应资</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质条件（若有）且不得再次分包。</w:t>
      </w:r>
    </w:p>
    <w:p w14:paraId="6769A8A7">
      <w:pPr>
        <w:spacing w:before="95" w:line="256" w:lineRule="auto"/>
        <w:ind w:left="1" w:right="133" w:firstLine="48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（3）招标文件允许中标人将非主体、非关键性工作进行分包的项目，有下列情形</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之一的，中标人不得分包：</w:t>
      </w:r>
    </w:p>
    <w:p w14:paraId="4162DD88">
      <w:pPr>
        <w:spacing w:before="94" w:line="217" w:lineRule="auto"/>
        <w:ind w:left="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①投标文件中未载明分包承担主体；</w:t>
      </w:r>
    </w:p>
    <w:p w14:paraId="299F4959">
      <w:pPr>
        <w:spacing w:line="217" w:lineRule="auto"/>
        <w:rPr>
          <w:rFonts w:hint="eastAsia" w:asciiTheme="minorEastAsia" w:hAnsiTheme="minorEastAsia" w:eastAsiaTheme="minorEastAsia" w:cstheme="minorEastAsia"/>
          <w:color w:val="000000" w:themeColor="text1"/>
          <w:sz w:val="24"/>
          <w:szCs w:val="24"/>
          <w:lang w:eastAsia="zh-CN"/>
        </w:rPr>
        <w:sectPr>
          <w:footerReference r:id="rId9" w:type="default"/>
          <w:pgSz w:w="11906" w:h="16839"/>
          <w:pgMar w:top="1431" w:right="1356" w:bottom="1260" w:left="1425" w:header="0" w:footer="1013" w:gutter="0"/>
          <w:pgNumType w:fmt="decimal"/>
          <w:cols w:space="720" w:num="1"/>
        </w:sectPr>
      </w:pPr>
    </w:p>
    <w:p w14:paraId="7918079D">
      <w:pPr>
        <w:spacing w:before="108" w:line="379" w:lineRule="exact"/>
        <w:ind w:left="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②投标文件载明的分包承担主体不具备相应资质条件；</w:t>
      </w:r>
    </w:p>
    <w:p w14:paraId="731E293C">
      <w:pPr>
        <w:spacing w:line="217" w:lineRule="auto"/>
        <w:ind w:left="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③投标文件载明的分包承担主体拟再次分包。</w:t>
      </w:r>
    </w:p>
    <w:p w14:paraId="3B446DA8">
      <w:pPr>
        <w:spacing w:before="96" w:line="220"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10.8</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投标有效期</w:t>
      </w:r>
    </w:p>
    <w:p w14:paraId="21C0BDB6">
      <w:pPr>
        <w:spacing w:before="95"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（1）招标文件载明的投标有效期：详见招标文件第二章。</w:t>
      </w:r>
    </w:p>
    <w:p w14:paraId="604847A7">
      <w:pPr>
        <w:spacing w:before="94" w:line="256" w:lineRule="auto"/>
        <w:ind w:left="2" w:right="80" w:firstLine="48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（2）投标文件承诺的投标有效期不得少于招标文件载明的投标有效期，否则</w:t>
      </w:r>
      <w:r>
        <w:rPr>
          <w:rFonts w:hint="eastAsia" w:asciiTheme="minorEastAsia" w:hAnsiTheme="minorEastAsia" w:eastAsiaTheme="minorEastAsia" w:cstheme="minorEastAsia"/>
          <w:b/>
          <w:bCs/>
          <w:color w:val="000000" w:themeColor="text1"/>
          <w:spacing w:val="-1"/>
          <w:sz w:val="24"/>
          <w:szCs w:val="24"/>
          <w:lang w:eastAsia="zh-CN"/>
        </w:rPr>
        <w:t>投标</w:t>
      </w:r>
      <w:r>
        <w:rPr>
          <w:rFonts w:hint="eastAsia" w:asciiTheme="minorEastAsia" w:hAnsiTheme="minorEastAsia" w:eastAsiaTheme="minorEastAsia" w:cstheme="minorEastAsia"/>
          <w:color w:val="000000" w:themeColor="text1"/>
          <w:spacing w:val="9"/>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无效</w:t>
      </w:r>
      <w:r>
        <w:rPr>
          <w:rFonts w:hint="eastAsia" w:asciiTheme="minorEastAsia" w:hAnsiTheme="minorEastAsia" w:eastAsiaTheme="minorEastAsia" w:cstheme="minorEastAsia"/>
          <w:color w:val="000000" w:themeColor="text1"/>
          <w:spacing w:val="-6"/>
          <w:sz w:val="24"/>
          <w:szCs w:val="24"/>
          <w:lang w:eastAsia="zh-CN"/>
        </w:rPr>
        <w:t>。</w:t>
      </w:r>
    </w:p>
    <w:p w14:paraId="2C68DFAB">
      <w:pPr>
        <w:spacing w:before="93" w:line="278" w:lineRule="auto"/>
        <w:ind w:right="8" w:firstLine="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（3）根据本次招标活动的需要，</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可于投标有</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效期届满之前书面要求投标人延长投标有效期，投标人应在</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规定的期限内以书面形式予以答复。对于延长投标有效期的要求，投标人可以</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拒绝也可以接受，投标人答复不明确或逾期未答复的，均视为拒绝该要求。对于接受延</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长投标有效期的投标人，既不要求也不允许修改投标文件。</w:t>
      </w:r>
    </w:p>
    <w:p w14:paraId="1C61AA04">
      <w:pPr>
        <w:spacing w:before="94" w:line="220"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10.9</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投标保证金</w:t>
      </w:r>
    </w:p>
    <w:p w14:paraId="4F057B6C">
      <w:pPr>
        <w:spacing w:before="95" w:line="256" w:lineRule="auto"/>
        <w:ind w:left="1" w:right="80"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（1）投标保证金作为投标人按照招标文件规定履行相应投标责任、义务的约束及</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担保。</w:t>
      </w:r>
    </w:p>
    <w:p w14:paraId="6B43B14A">
      <w:pPr>
        <w:spacing w:before="93" w:line="257" w:lineRule="auto"/>
        <w:ind w:left="6" w:right="77" w:firstLine="48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（2）投标保证金的有效期应与投标文件承诺的投标有效期保持一致，否则</w:t>
      </w:r>
      <w:r>
        <w:rPr>
          <w:rFonts w:hint="eastAsia" w:asciiTheme="minorEastAsia" w:hAnsiTheme="minorEastAsia" w:eastAsiaTheme="minorEastAsia" w:cstheme="minorEastAsia"/>
          <w:b/>
          <w:bCs/>
          <w:color w:val="000000" w:themeColor="text1"/>
          <w:spacing w:val="-1"/>
          <w:sz w:val="24"/>
          <w:szCs w:val="24"/>
          <w:lang w:eastAsia="zh-CN"/>
        </w:rPr>
        <w:t>投标无</w:t>
      </w:r>
      <w:r>
        <w:rPr>
          <w:rFonts w:hint="eastAsia" w:asciiTheme="minorEastAsia" w:hAnsiTheme="minorEastAsia" w:eastAsiaTheme="minorEastAsia" w:cstheme="minorEastAsia"/>
          <w:color w:val="000000" w:themeColor="text1"/>
          <w:spacing w:val="8"/>
          <w:sz w:val="24"/>
          <w:szCs w:val="24"/>
          <w:lang w:eastAsia="zh-CN"/>
        </w:rPr>
        <w:t xml:space="preserve"> </w:t>
      </w:r>
      <w:r>
        <w:rPr>
          <w:rFonts w:hint="eastAsia" w:asciiTheme="minorEastAsia" w:hAnsiTheme="minorEastAsia" w:eastAsiaTheme="minorEastAsia" w:cstheme="minorEastAsia"/>
          <w:b/>
          <w:bCs/>
          <w:color w:val="000000" w:themeColor="text1"/>
          <w:spacing w:val="-9"/>
          <w:sz w:val="24"/>
          <w:szCs w:val="24"/>
          <w:lang w:eastAsia="zh-CN"/>
        </w:rPr>
        <w:t>效</w:t>
      </w:r>
      <w:r>
        <w:rPr>
          <w:rFonts w:hint="eastAsia" w:asciiTheme="minorEastAsia" w:hAnsiTheme="minorEastAsia" w:eastAsiaTheme="minorEastAsia" w:cstheme="minorEastAsia"/>
          <w:color w:val="000000" w:themeColor="text1"/>
          <w:spacing w:val="-9"/>
          <w:sz w:val="24"/>
          <w:szCs w:val="24"/>
          <w:lang w:eastAsia="zh-CN"/>
        </w:rPr>
        <w:t>。</w:t>
      </w:r>
    </w:p>
    <w:p w14:paraId="0B3BD8DA">
      <w:pPr>
        <w:spacing w:before="93" w:line="220"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（3）提交</w:t>
      </w:r>
    </w:p>
    <w:p w14:paraId="3E42849C">
      <w:pPr>
        <w:spacing w:before="93" w:line="256" w:lineRule="auto"/>
        <w:ind w:right="8" w:firstLine="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①投标人应从其银行账户按照下列方式：</w:t>
      </w:r>
      <w:r>
        <w:rPr>
          <w:rFonts w:hint="eastAsia" w:asciiTheme="minorEastAsia" w:hAnsiTheme="minorEastAsia" w:eastAsiaTheme="minorEastAsia" w:cstheme="minorEastAsia"/>
          <w:b/>
          <w:bCs/>
          <w:color w:val="000000" w:themeColor="text1"/>
          <w:spacing w:val="-2"/>
          <w:sz w:val="24"/>
          <w:szCs w:val="24"/>
          <w:lang w:eastAsia="zh-CN"/>
        </w:rPr>
        <w:t>公对公转账方式</w:t>
      </w:r>
      <w:r>
        <w:rPr>
          <w:rFonts w:hint="eastAsia" w:asciiTheme="minorEastAsia" w:hAnsiTheme="minorEastAsia" w:eastAsiaTheme="minorEastAsia" w:cstheme="minorEastAsia"/>
          <w:color w:val="000000" w:themeColor="text1"/>
          <w:spacing w:val="-2"/>
          <w:sz w:val="24"/>
          <w:szCs w:val="24"/>
          <w:lang w:eastAsia="zh-CN"/>
        </w:rPr>
        <w:t>向招标文件载明</w:t>
      </w:r>
      <w:r>
        <w:rPr>
          <w:rFonts w:hint="eastAsia" w:asciiTheme="minorEastAsia" w:hAnsiTheme="minorEastAsia" w:eastAsiaTheme="minorEastAsia" w:cstheme="minorEastAsia"/>
          <w:color w:val="000000" w:themeColor="text1"/>
          <w:spacing w:val="-3"/>
          <w:sz w:val="24"/>
          <w:szCs w:val="24"/>
          <w:lang w:eastAsia="zh-CN"/>
        </w:rPr>
        <w:t>的投标保</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证金账户提交投标保证金，具体金额详见招标文件第一章。</w:t>
      </w:r>
    </w:p>
    <w:p w14:paraId="1C251D09">
      <w:pPr>
        <w:spacing w:before="97" w:line="268" w:lineRule="auto"/>
        <w:ind w:left="3" w:right="8" w:firstLine="4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②投标保证金应于投标截止时间前到达招标文件载明的投标保证金账户，否则视为</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投标保证金未提交；是否到达按照下列方式认定：</w:t>
      </w:r>
      <w:r>
        <w:rPr>
          <w:rFonts w:hint="eastAsia" w:asciiTheme="minorEastAsia" w:hAnsiTheme="minorEastAsia" w:eastAsiaTheme="minorEastAsia" w:cstheme="minorEastAsia"/>
          <w:b/>
          <w:bCs/>
          <w:color w:val="000000" w:themeColor="text1"/>
          <w:spacing w:val="-3"/>
          <w:sz w:val="24"/>
          <w:szCs w:val="24"/>
          <w:lang w:eastAsia="zh-CN"/>
        </w:rPr>
        <w:t>以福建三仟招标有限公司投标保证金账户银行系统记载的到账时间为准。</w:t>
      </w:r>
    </w:p>
    <w:p w14:paraId="1EEC356F">
      <w:pPr>
        <w:spacing w:before="92" w:line="256" w:lineRule="auto"/>
        <w:ind w:right="169" w:firstLine="5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※除招标文件另有规定外，未按照上述规定提交投标保证金将导致资格审查不合</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b/>
          <w:bCs/>
          <w:color w:val="000000" w:themeColor="text1"/>
          <w:spacing w:val="-8"/>
          <w:sz w:val="24"/>
          <w:szCs w:val="24"/>
          <w:lang w:eastAsia="zh-CN"/>
        </w:rPr>
        <w:t>格。</w:t>
      </w:r>
    </w:p>
    <w:p w14:paraId="337566A1">
      <w:pPr>
        <w:spacing w:before="96" w:line="227"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（4）退还</w:t>
      </w:r>
    </w:p>
    <w:p w14:paraId="63D64505">
      <w:pPr>
        <w:spacing w:before="85" w:line="255" w:lineRule="auto"/>
        <w:ind w:left="1" w:firstLine="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①在投标截止时间前撤回已提交的投标文件的投标人，其投标保证金将在</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收到投标人书面撤回通知之日起</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5</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个工作日内退回原账户。</w:t>
      </w:r>
    </w:p>
    <w:p w14:paraId="0D5C7E81">
      <w:pPr>
        <w:spacing w:before="98" w:line="219" w:lineRule="auto"/>
        <w:ind w:left="1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（投标人应向招标代理公司提交《退还投标保证金的函》）</w:t>
      </w:r>
    </w:p>
    <w:p w14:paraId="6A834D80">
      <w:pPr>
        <w:spacing w:before="92" w:line="256" w:lineRule="auto"/>
        <w:ind w:left="23" w:right="8" w:firstLine="4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②未中标人的投标保证金将在中标通知书发出之日起</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5个工作</w:t>
      </w:r>
      <w:r>
        <w:rPr>
          <w:rFonts w:hint="eastAsia" w:asciiTheme="minorEastAsia" w:hAnsiTheme="minorEastAsia" w:eastAsiaTheme="minorEastAsia" w:cstheme="minorEastAsia"/>
          <w:color w:val="000000" w:themeColor="text1"/>
          <w:spacing w:val="-7"/>
          <w:sz w:val="24"/>
          <w:szCs w:val="24"/>
          <w:lang w:eastAsia="zh-CN"/>
        </w:rPr>
        <w:t>日内退回原账户。</w:t>
      </w:r>
      <w:r>
        <w:rPr>
          <w:rFonts w:hint="eastAsia" w:asciiTheme="minorEastAsia" w:hAnsiTheme="minorEastAsia" w:eastAsiaTheme="minorEastAsia" w:cstheme="minorEastAsia"/>
          <w:b/>
          <w:bCs/>
          <w:color w:val="000000" w:themeColor="text1"/>
          <w:spacing w:val="-7"/>
          <w:sz w:val="24"/>
          <w:szCs w:val="24"/>
          <w:lang w:eastAsia="zh-CN"/>
        </w:rPr>
        <w:t>（未</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中标人应向招标代理公司提交《退还投标保证金的函》）</w:t>
      </w:r>
    </w:p>
    <w:p w14:paraId="638A046B">
      <w:pPr>
        <w:spacing w:before="96" w:line="268" w:lineRule="auto"/>
        <w:ind w:left="1" w:right="8" w:firstLine="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③中标人的投标保证金将在合同签订之日</w:t>
      </w:r>
      <w:r>
        <w:rPr>
          <w:rFonts w:hint="eastAsia" w:asciiTheme="minorEastAsia" w:hAnsiTheme="minorEastAsia" w:eastAsiaTheme="minorEastAsia" w:cstheme="minorEastAsia"/>
          <w:color w:val="000000" w:themeColor="text1"/>
          <w:spacing w:val="-3"/>
          <w:sz w:val="24"/>
          <w:szCs w:val="24"/>
          <w:lang w:eastAsia="zh-CN"/>
        </w:rPr>
        <w:t>起</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5</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个工作日内退回原账户。</w:t>
      </w:r>
      <w:r>
        <w:rPr>
          <w:rFonts w:hint="eastAsia" w:asciiTheme="minorEastAsia" w:hAnsiTheme="minorEastAsia" w:eastAsiaTheme="minorEastAsia" w:cstheme="minorEastAsia"/>
          <w:b/>
          <w:bCs/>
          <w:color w:val="000000" w:themeColor="text1"/>
          <w:spacing w:val="-3"/>
          <w:sz w:val="24"/>
          <w:szCs w:val="24"/>
          <w:lang w:eastAsia="zh-CN"/>
        </w:rPr>
        <w:t>（中标</w:t>
      </w:r>
      <w:r>
        <w:rPr>
          <w:rFonts w:hint="eastAsia" w:asciiTheme="minorEastAsia" w:hAnsiTheme="minorEastAsia" w:eastAsiaTheme="minorEastAsia" w:cstheme="minorEastAsia"/>
          <w:b/>
          <w:bCs/>
          <w:color w:val="000000" w:themeColor="text1"/>
          <w:spacing w:val="-4"/>
          <w:sz w:val="24"/>
          <w:szCs w:val="24"/>
          <w:lang w:eastAsia="zh-CN"/>
        </w:rPr>
        <w:t>人应支付所有招标服务费并签订合同，向招标代理公司提交合同及《</w:t>
      </w:r>
      <w:r>
        <w:rPr>
          <w:rFonts w:hint="eastAsia" w:asciiTheme="minorEastAsia" w:hAnsiTheme="minorEastAsia" w:eastAsiaTheme="minorEastAsia" w:cstheme="minorEastAsia"/>
          <w:b/>
          <w:bCs/>
          <w:color w:val="000000" w:themeColor="text1"/>
          <w:spacing w:val="-5"/>
          <w:sz w:val="24"/>
          <w:szCs w:val="24"/>
          <w:lang w:eastAsia="zh-CN"/>
        </w:rPr>
        <w:t>退还投标</w:t>
      </w:r>
      <w:r>
        <w:rPr>
          <w:rFonts w:hint="eastAsia" w:asciiTheme="minorEastAsia" w:hAnsiTheme="minorEastAsia" w:eastAsiaTheme="minorEastAsia" w:cstheme="minorEastAsia"/>
          <w:b/>
          <w:bCs/>
          <w:color w:val="000000" w:themeColor="text1"/>
          <w:spacing w:val="-4"/>
          <w:sz w:val="24"/>
          <w:szCs w:val="24"/>
          <w:lang w:eastAsia="zh-CN"/>
        </w:rPr>
        <w:t>保证金的函》）</w:t>
      </w:r>
    </w:p>
    <w:p w14:paraId="4B11ABD4">
      <w:pPr>
        <w:spacing w:before="95" w:line="268" w:lineRule="auto"/>
        <w:ind w:left="1" w:right="8" w:firstLine="477"/>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④终止招标的，</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将在终止公</w:t>
      </w:r>
      <w:r>
        <w:rPr>
          <w:rFonts w:hint="eastAsia" w:asciiTheme="minorEastAsia" w:hAnsiTheme="minorEastAsia" w:eastAsiaTheme="minorEastAsia" w:cstheme="minorEastAsia"/>
          <w:color w:val="000000" w:themeColor="text1"/>
          <w:spacing w:val="-3"/>
          <w:sz w:val="24"/>
          <w:szCs w:val="24"/>
          <w:lang w:eastAsia="zh-CN"/>
        </w:rPr>
        <w:t>告发布之日起</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5</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个</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工作日内退回已收取的投标保证金及其在银行产生的孳</w:t>
      </w:r>
      <w:r>
        <w:rPr>
          <w:rFonts w:hint="eastAsia" w:asciiTheme="minorEastAsia" w:hAnsiTheme="minorEastAsia" w:eastAsiaTheme="minorEastAsia" w:cstheme="minorEastAsia"/>
          <w:color w:val="000000" w:themeColor="text1"/>
          <w:spacing w:val="-3"/>
          <w:sz w:val="24"/>
          <w:szCs w:val="24"/>
          <w:lang w:eastAsia="zh-CN"/>
        </w:rPr>
        <w:t>息。</w:t>
      </w:r>
      <w:r>
        <w:rPr>
          <w:rFonts w:hint="eastAsia" w:asciiTheme="minorEastAsia" w:hAnsiTheme="minorEastAsia" w:eastAsiaTheme="minorEastAsia" w:cstheme="minorEastAsia"/>
          <w:b/>
          <w:bCs/>
          <w:color w:val="000000" w:themeColor="text1"/>
          <w:spacing w:val="-3"/>
          <w:sz w:val="24"/>
          <w:szCs w:val="24"/>
          <w:lang w:eastAsia="zh-CN"/>
        </w:rPr>
        <w:t>（投标人应向招标代理公司提交《退还投标保证金的函》）</w:t>
      </w:r>
    </w:p>
    <w:p w14:paraId="379A2641">
      <w:pPr>
        <w:spacing w:line="268" w:lineRule="auto"/>
        <w:rPr>
          <w:rFonts w:hint="eastAsia" w:asciiTheme="minorEastAsia" w:hAnsiTheme="minorEastAsia" w:eastAsiaTheme="minorEastAsia" w:cstheme="minorEastAsia"/>
          <w:color w:val="000000" w:themeColor="text1"/>
          <w:sz w:val="24"/>
          <w:szCs w:val="24"/>
          <w:lang w:eastAsia="zh-CN"/>
        </w:rPr>
        <w:sectPr>
          <w:footerReference r:id="rId10" w:type="default"/>
          <w:pgSz w:w="11906" w:h="16839"/>
          <w:pgMar w:top="1431" w:right="1409" w:bottom="1260" w:left="1424" w:header="0" w:footer="1013" w:gutter="0"/>
          <w:pgNumType w:fmt="decimal"/>
          <w:cols w:space="720" w:num="1"/>
        </w:sectPr>
      </w:pPr>
    </w:p>
    <w:p w14:paraId="2438024A">
      <w:pPr>
        <w:spacing w:before="107" w:line="268" w:lineRule="auto"/>
        <w:ind w:left="2" w:firstLine="477"/>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⑤除招标文件另有规定外，异议或投诉涉及的投标人，若投标保证金尚未退还，则</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待异议或投诉处理完毕后不计利息原额退还。</w:t>
      </w:r>
      <w:r>
        <w:rPr>
          <w:rFonts w:hint="eastAsia" w:asciiTheme="minorEastAsia" w:hAnsiTheme="minorEastAsia" w:eastAsiaTheme="minorEastAsia" w:cstheme="minorEastAsia"/>
          <w:b/>
          <w:bCs/>
          <w:color w:val="000000" w:themeColor="text1"/>
          <w:spacing w:val="-3"/>
          <w:sz w:val="24"/>
          <w:szCs w:val="24"/>
          <w:lang w:eastAsia="zh-CN"/>
        </w:rPr>
        <w:t>（投标人应向招标代理公司提交《退还投</w:t>
      </w:r>
      <w:r>
        <w:rPr>
          <w:rFonts w:hint="eastAsia" w:asciiTheme="minorEastAsia" w:hAnsiTheme="minorEastAsia" w:eastAsiaTheme="minorEastAsia" w:cstheme="minorEastAsia"/>
          <w:color w:val="000000" w:themeColor="text1"/>
          <w:spacing w:val="9"/>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标保证金的函》）</w:t>
      </w:r>
    </w:p>
    <w:p w14:paraId="50C091BD">
      <w:pPr>
        <w:spacing w:before="94" w:line="256" w:lineRule="auto"/>
        <w:ind w:left="2" w:firstLine="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6"/>
          <w:sz w:val="24"/>
          <w:szCs w:val="24"/>
          <w:lang w:eastAsia="zh-CN"/>
        </w:rPr>
        <w:t>※本章第</w:t>
      </w:r>
      <w:r>
        <w:rPr>
          <w:rFonts w:hint="eastAsia" w:asciiTheme="minorEastAsia" w:hAnsiTheme="minorEastAsia" w:eastAsiaTheme="minorEastAsia" w:cstheme="minorEastAsia"/>
          <w:color w:val="000000" w:themeColor="text1"/>
          <w:spacing w:val="-19"/>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10.9</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条第（4）款第①、②、③点规定的投标保证金退还时限不包括因投</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标人自身原因导致无法及时退还而增加的时间。</w:t>
      </w:r>
    </w:p>
    <w:p w14:paraId="53DA7720">
      <w:pPr>
        <w:spacing w:before="94" w:line="268" w:lineRule="auto"/>
        <w:ind w:left="3" w:firstLine="489"/>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（5）若出现本章第</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10.8</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条第（3）款规定情形，对于拒绝延长投标有效期的投标</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人，投标保证金仍可退还。对于接受延长投标有效期的投标人，相应延长投标保证金有</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效期，招标文件关于退还和不予退还投标保证金的规定继续适用。</w:t>
      </w:r>
    </w:p>
    <w:p w14:paraId="502649E6">
      <w:pPr>
        <w:spacing w:before="94" w:line="381" w:lineRule="exact"/>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（6）有下列情形之一的，投标保证金将不予退还：</w:t>
      </w:r>
    </w:p>
    <w:p w14:paraId="24CCBBE8">
      <w:pPr>
        <w:spacing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①投标人串通投标；</w:t>
      </w:r>
    </w:p>
    <w:p w14:paraId="2CEC7FD4">
      <w:pPr>
        <w:spacing w:before="97"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②投标人提供虚假材料；</w:t>
      </w:r>
    </w:p>
    <w:p w14:paraId="6D9E2314">
      <w:pPr>
        <w:spacing w:before="97"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③投标人采取不正当手段诋毁、排挤其他投标人；</w:t>
      </w:r>
    </w:p>
    <w:p w14:paraId="1CD8F10F">
      <w:pPr>
        <w:spacing w:before="100"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④投标截止时间后，投标人在投标有效期内撤销投标文件；</w:t>
      </w:r>
    </w:p>
    <w:p w14:paraId="336F826D">
      <w:pPr>
        <w:spacing w:before="98" w:line="254" w:lineRule="auto"/>
        <w:ind w:left="480" w:righ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⑤投标人不接受评标委员会按照招标文件规定对投标报价错误之处进行修</w:t>
      </w:r>
      <w:r>
        <w:rPr>
          <w:rFonts w:hint="eastAsia" w:asciiTheme="minorEastAsia" w:hAnsiTheme="minorEastAsia" w:eastAsiaTheme="minorEastAsia" w:cstheme="minorEastAsia"/>
          <w:color w:val="000000" w:themeColor="text1"/>
          <w:spacing w:val="-3"/>
          <w:sz w:val="24"/>
          <w:szCs w:val="24"/>
          <w:lang w:eastAsia="zh-CN"/>
        </w:rPr>
        <w:t>正；</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⑥投标人违反招标文件第三章第</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9.4、9.5、9.6、9.7</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条规定之一；</w:t>
      </w:r>
    </w:p>
    <w:p w14:paraId="478FBFD2">
      <w:pPr>
        <w:spacing w:before="99" w:line="379" w:lineRule="exact"/>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⑦招标文件规定的其他不予退还情形；</w:t>
      </w:r>
    </w:p>
    <w:p w14:paraId="008301CB">
      <w:pPr>
        <w:spacing w:before="1"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⑧中标人有下列情形之一的：</w:t>
      </w:r>
    </w:p>
    <w:p w14:paraId="5E62FED4">
      <w:pPr>
        <w:spacing w:before="96" w:line="257" w:lineRule="auto"/>
        <w:ind w:firstLine="48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a.除不可抗力外，因中标人自身原因未在中标通知书要求的期限内与招标人签订采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购合同；</w:t>
      </w:r>
    </w:p>
    <w:p w14:paraId="19FBED60">
      <w:pPr>
        <w:spacing w:before="92" w:line="256" w:lineRule="auto"/>
        <w:ind w:left="486" w:right="1191" w:hanging="8"/>
        <w:rPr>
          <w:rFonts w:hint="eastAsia" w:asciiTheme="minorEastAsia" w:hAnsiTheme="minorEastAsia" w:eastAsiaTheme="minorEastAsia" w:cstheme="minorEastAsia"/>
          <w:color w:val="000000" w:themeColor="text1"/>
          <w:spacing w:val="17"/>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b.未按照招标文件、投标文件的约定签订合同或提交履约保证金。</w:t>
      </w:r>
      <w:r>
        <w:rPr>
          <w:rFonts w:hint="eastAsia" w:asciiTheme="minorEastAsia" w:hAnsiTheme="minorEastAsia" w:eastAsiaTheme="minorEastAsia" w:cstheme="minorEastAsia"/>
          <w:color w:val="000000" w:themeColor="text1"/>
          <w:spacing w:val="17"/>
          <w:sz w:val="24"/>
          <w:szCs w:val="24"/>
          <w:lang w:eastAsia="zh-CN"/>
        </w:rPr>
        <w:t xml:space="preserve"> </w:t>
      </w:r>
    </w:p>
    <w:p w14:paraId="26E1DD7C">
      <w:pPr>
        <w:spacing w:before="92" w:line="256" w:lineRule="auto"/>
        <w:ind w:left="486" w:right="1191" w:hanging="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c.中标人无正当理由放弃中标。</w:t>
      </w:r>
    </w:p>
    <w:p w14:paraId="647F0B20">
      <w:pPr>
        <w:spacing w:before="95" w:line="256" w:lineRule="auto"/>
        <w:ind w:left="2" w:firstLine="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※若上述投标保证金不予退还情形给招标人（包括招标代理机构）造成损失，则投</w:t>
      </w:r>
      <w:r>
        <w:rPr>
          <w:rFonts w:hint="eastAsia" w:asciiTheme="minorEastAsia" w:hAnsiTheme="minorEastAsia" w:eastAsiaTheme="minorEastAsia" w:cstheme="minorEastAsia"/>
          <w:color w:val="000000" w:themeColor="text1"/>
          <w:spacing w:val="10"/>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标人还要承担相应的赔偿责任。</w:t>
      </w:r>
    </w:p>
    <w:p w14:paraId="0F24702E">
      <w:pPr>
        <w:spacing w:before="94"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10.10</w:t>
      </w:r>
      <w:r>
        <w:rPr>
          <w:rFonts w:hint="eastAsia" w:asciiTheme="minorEastAsia" w:hAnsiTheme="minorEastAsia" w:eastAsiaTheme="minorEastAsia" w:cstheme="minorEastAsia"/>
          <w:color w:val="000000" w:themeColor="text1"/>
          <w:spacing w:val="-4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投标文件的提交</w:t>
      </w:r>
    </w:p>
    <w:p w14:paraId="496949A1">
      <w:pPr>
        <w:spacing w:before="97" w:line="255" w:lineRule="auto"/>
        <w:ind w:left="493" w:right="11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（1）一个投标人只能提交一个投标文件，并按照招标文件第一章规定将其送达。</w:t>
      </w:r>
      <w:r>
        <w:rPr>
          <w:rFonts w:hint="eastAsia" w:asciiTheme="minorEastAsia" w:hAnsiTheme="minorEastAsia" w:eastAsiaTheme="minorEastAsia" w:cstheme="minorEastAsia"/>
          <w:color w:val="000000" w:themeColor="text1"/>
          <w:spacing w:val="1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（2）密封及其标记的具体形式：详见招标文件第二章。</w:t>
      </w:r>
    </w:p>
    <w:p w14:paraId="2CD1FF83">
      <w:pPr>
        <w:spacing w:before="96"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10.11</w:t>
      </w:r>
      <w:r>
        <w:rPr>
          <w:rFonts w:hint="eastAsia" w:asciiTheme="minorEastAsia" w:hAnsiTheme="minorEastAsia" w:eastAsiaTheme="minorEastAsia" w:cstheme="minorEastAsia"/>
          <w:color w:val="000000" w:themeColor="text1"/>
          <w:spacing w:val="-3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投标文件的补充、修改或撤回</w:t>
      </w:r>
    </w:p>
    <w:p w14:paraId="30C21374">
      <w:pPr>
        <w:spacing w:before="97" w:line="255" w:lineRule="auto"/>
        <w:ind w:left="6" w:right="72" w:firstLine="48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（1）投标截止时间前，投标人可对所提交的投标文件进行补充、修改或撤回，并</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书面通知</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w:t>
      </w:r>
    </w:p>
    <w:p w14:paraId="011242C1">
      <w:pPr>
        <w:spacing w:before="95" w:line="256" w:lineRule="auto"/>
        <w:ind w:left="3" w:right="72" w:firstLine="48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（2）补充、修改的内容应按照本章第</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10.5</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条第（4）款规定进行签署、盖章，并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按照本章第</w:t>
      </w:r>
      <w:r>
        <w:rPr>
          <w:rFonts w:hint="eastAsia" w:asciiTheme="minorEastAsia" w:hAnsiTheme="minorEastAsia" w:eastAsiaTheme="minorEastAsia" w:cstheme="minorEastAsia"/>
          <w:color w:val="000000" w:themeColor="text1"/>
          <w:spacing w:val="-2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10.10</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条规定提交，</w:t>
      </w:r>
      <w:r>
        <w:rPr>
          <w:rFonts w:hint="eastAsia" w:asciiTheme="minorEastAsia" w:hAnsiTheme="minorEastAsia" w:eastAsiaTheme="minorEastAsia" w:cstheme="minorEastAsia"/>
          <w:b/>
          <w:bCs/>
          <w:color w:val="000000" w:themeColor="text1"/>
          <w:spacing w:val="-3"/>
          <w:sz w:val="24"/>
          <w:szCs w:val="24"/>
          <w:lang w:eastAsia="zh-CN"/>
        </w:rPr>
        <w:t>否则将被拒收。</w:t>
      </w:r>
    </w:p>
    <w:p w14:paraId="69A44FA5">
      <w:pPr>
        <w:spacing w:before="95" w:line="379" w:lineRule="exact"/>
        <w:ind w:left="50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position w:val="10"/>
          <w:sz w:val="24"/>
          <w:szCs w:val="24"/>
          <w:lang w:eastAsia="zh-CN"/>
        </w:rPr>
        <w:t>※按照上述规定提交的补充、修改内容作为投标文件组成部分。</w:t>
      </w:r>
    </w:p>
    <w:p w14:paraId="5ED353C3">
      <w:pPr>
        <w:spacing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10.12</w:t>
      </w:r>
      <w:r>
        <w:rPr>
          <w:rFonts w:hint="eastAsia" w:asciiTheme="minorEastAsia" w:hAnsiTheme="minorEastAsia" w:eastAsiaTheme="minorEastAsia" w:cstheme="minorEastAsia"/>
          <w:color w:val="000000" w:themeColor="text1"/>
          <w:spacing w:val="-3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除招标文件另有规定外，有下列情形之一的，</w:t>
      </w:r>
      <w:r>
        <w:rPr>
          <w:rFonts w:hint="eastAsia" w:asciiTheme="minorEastAsia" w:hAnsiTheme="minorEastAsia" w:eastAsiaTheme="minorEastAsia" w:cstheme="minorEastAsia"/>
          <w:b/>
          <w:bCs/>
          <w:color w:val="000000" w:themeColor="text1"/>
          <w:spacing w:val="-2"/>
          <w:sz w:val="24"/>
          <w:szCs w:val="24"/>
          <w:lang w:eastAsia="zh-CN"/>
        </w:rPr>
        <w:t>投标无效</w:t>
      </w:r>
      <w:r>
        <w:rPr>
          <w:rFonts w:hint="eastAsia" w:asciiTheme="minorEastAsia" w:hAnsiTheme="minorEastAsia" w:eastAsiaTheme="minorEastAsia" w:cstheme="minorEastAsia"/>
          <w:color w:val="000000" w:themeColor="text1"/>
          <w:spacing w:val="-2"/>
          <w:sz w:val="24"/>
          <w:szCs w:val="24"/>
          <w:lang w:eastAsia="zh-CN"/>
        </w:rPr>
        <w:t>：</w:t>
      </w:r>
    </w:p>
    <w:p w14:paraId="5FE4CEEF">
      <w:pPr>
        <w:spacing w:before="96"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（1）投标文件未按照招标文件要求签署、盖章；</w:t>
      </w:r>
    </w:p>
    <w:p w14:paraId="7BA1CD6C">
      <w:pPr>
        <w:spacing w:before="95" w:line="380" w:lineRule="exact"/>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（2）不符合招标文件中规定的资格要求；</w:t>
      </w:r>
    </w:p>
    <w:p w14:paraId="2EF984DF">
      <w:pPr>
        <w:spacing w:before="1" w:line="217"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（3）投标报价未按招标文件中规定的；</w:t>
      </w:r>
    </w:p>
    <w:p w14:paraId="052F0B36">
      <w:pPr>
        <w:spacing w:line="217" w:lineRule="auto"/>
        <w:rPr>
          <w:rFonts w:hint="eastAsia" w:asciiTheme="minorEastAsia" w:hAnsiTheme="minorEastAsia" w:eastAsiaTheme="minorEastAsia" w:cstheme="minorEastAsia"/>
          <w:color w:val="000000" w:themeColor="text1"/>
          <w:sz w:val="24"/>
          <w:szCs w:val="24"/>
          <w:lang w:eastAsia="zh-CN"/>
        </w:rPr>
        <w:sectPr>
          <w:footerReference r:id="rId11" w:type="default"/>
          <w:pgSz w:w="11906" w:h="16839"/>
          <w:pgMar w:top="1431" w:right="1417" w:bottom="1260" w:left="1423" w:header="0" w:footer="1013" w:gutter="0"/>
          <w:pgNumType w:fmt="decimal"/>
          <w:cols w:space="720" w:num="1"/>
        </w:sectPr>
      </w:pPr>
    </w:p>
    <w:p w14:paraId="5DBC2DBA">
      <w:pPr>
        <w:spacing w:before="107"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（4）投标文件含有招标人不能接受的附加条件；</w:t>
      </w:r>
    </w:p>
    <w:p w14:paraId="136D6E40">
      <w:pPr>
        <w:spacing w:before="94"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（5）有关法律、法规和规章及招标文件规定的其他无效情形。</w:t>
      </w:r>
    </w:p>
    <w:p w14:paraId="3F83BB6F">
      <w:pPr>
        <w:pStyle w:val="8"/>
        <w:spacing w:line="396" w:lineRule="auto"/>
        <w:rPr>
          <w:rFonts w:hint="eastAsia" w:asciiTheme="minorEastAsia" w:hAnsiTheme="minorEastAsia" w:eastAsiaTheme="minorEastAsia" w:cstheme="minorEastAsia"/>
          <w:color w:val="000000" w:themeColor="text1"/>
          <w:lang w:eastAsia="zh-CN"/>
        </w:rPr>
      </w:pPr>
    </w:p>
    <w:p w14:paraId="255CAED1">
      <w:pPr>
        <w:spacing w:before="78" w:line="220" w:lineRule="auto"/>
        <w:ind w:left="40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6"/>
          <w:sz w:val="24"/>
          <w:szCs w:val="24"/>
          <w:lang w:eastAsia="zh-CN"/>
        </w:rPr>
        <w:t>五、开标</w:t>
      </w:r>
    </w:p>
    <w:p w14:paraId="12144F27">
      <w:pPr>
        <w:spacing w:before="93" w:line="220"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11、开标</w:t>
      </w:r>
    </w:p>
    <w:p w14:paraId="4C3E7255">
      <w:pPr>
        <w:spacing w:before="93" w:line="256" w:lineRule="auto"/>
        <w:ind w:left="4" w:right="330" w:firstLine="49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11.1</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将在招标文件载明的开标时间及地点主</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持召开开标会，并邀请投标人参加。</w:t>
      </w:r>
    </w:p>
    <w:p w14:paraId="72890279">
      <w:pPr>
        <w:spacing w:before="93" w:line="256" w:lineRule="auto"/>
        <w:ind w:left="5" w:right="199" w:firstLine="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11.2</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开标会的主持人、唱标人、记录人及其他工作人员（若有）均由</w:t>
      </w:r>
      <w:r>
        <w:rPr>
          <w:rFonts w:hint="eastAsia" w:asciiTheme="minorEastAsia" w:hAnsiTheme="minorEastAsia" w:eastAsiaTheme="minorEastAsia" w:cstheme="minorEastAsia"/>
          <w:color w:val="000000" w:themeColor="text1"/>
          <w:spacing w:val="-4"/>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派出，现场监督人员（若有）可由有关方面派出。</w:t>
      </w:r>
    </w:p>
    <w:p w14:paraId="15C15A91">
      <w:pPr>
        <w:spacing w:before="96" w:line="219" w:lineRule="auto"/>
        <w:ind w:left="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11.3</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参加开标会的投标人应签到，非投标人不参加开标会。</w:t>
      </w:r>
    </w:p>
    <w:p w14:paraId="7F582256">
      <w:pPr>
        <w:spacing w:before="95" w:line="219" w:lineRule="auto"/>
        <w:ind w:left="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11.4</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开标会应遵守下列规定：</w:t>
      </w:r>
    </w:p>
    <w:p w14:paraId="602076F0">
      <w:pPr>
        <w:spacing w:before="96" w:line="256" w:lineRule="auto"/>
        <w:ind w:left="5" w:right="270" w:firstLine="48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（1）首先由主持人宣布开标会须知，然后由投标人代表对投标文件的密封情况进</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行检查，经确认无误后，由工作人员对密封的投标文件当众拆封。</w:t>
      </w:r>
    </w:p>
    <w:p w14:paraId="2461F479">
      <w:pPr>
        <w:spacing w:before="94" w:line="268" w:lineRule="auto"/>
        <w:ind w:left="1" w:right="118"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（2）唱标时，唱标人将依次宣布“投标人名称</w:t>
      </w:r>
      <w:r>
        <w:rPr>
          <w:rFonts w:hint="eastAsia" w:asciiTheme="minorEastAsia" w:hAnsiTheme="minorEastAsia" w:eastAsiaTheme="minorEastAsia" w:cstheme="minorEastAsia"/>
          <w:color w:val="000000" w:themeColor="text1"/>
          <w:spacing w:val="-82"/>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”、“各投标人关于投标文件补充、</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修改或撤回的书面通知（若有）”、“各投标人的投标报价</w:t>
      </w:r>
      <w:r>
        <w:rPr>
          <w:rFonts w:hint="eastAsia" w:asciiTheme="minorEastAsia" w:hAnsiTheme="minorEastAsia" w:eastAsiaTheme="minorEastAsia" w:cstheme="minorEastAsia"/>
          <w:color w:val="000000" w:themeColor="text1"/>
          <w:spacing w:val="-8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 xml:space="preserve">”和招标文件规定的需要宣 </w:t>
      </w:r>
      <w:r>
        <w:rPr>
          <w:rFonts w:hint="eastAsia" w:asciiTheme="minorEastAsia" w:hAnsiTheme="minorEastAsia" w:eastAsiaTheme="minorEastAsia" w:cstheme="minorEastAsia"/>
          <w:color w:val="000000" w:themeColor="text1"/>
          <w:spacing w:val="-6"/>
          <w:sz w:val="24"/>
          <w:szCs w:val="24"/>
          <w:lang w:eastAsia="zh-CN"/>
        </w:rPr>
        <w:t>布的其他内容（包括但不限于：开标一览表中的内容、唱标人认为需要宣布的内容等）。</w:t>
      </w:r>
    </w:p>
    <w:p w14:paraId="6E326CA7">
      <w:pPr>
        <w:spacing w:before="94"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（3）记录人对唱标人宣布的内容作开标记录。</w:t>
      </w:r>
    </w:p>
    <w:p w14:paraId="7639D05B">
      <w:pPr>
        <w:spacing w:before="97" w:line="268" w:lineRule="auto"/>
        <w:ind w:left="1" w:right="199"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（4）唱标结束后，投标人代表应对开标记录进行签字确认。投标人代表的签字确</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认，视为投标人对开标过程和开标记录予以认可。投标人代表拒绝签字确认且无合法理</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由，亦视为投标人对开标过程和开标记录予以认可。</w:t>
      </w:r>
    </w:p>
    <w:p w14:paraId="06E0B5FB">
      <w:pPr>
        <w:spacing w:before="95" w:line="268" w:lineRule="auto"/>
        <w:ind w:left="1" w:right="99"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（5）投标人代表对开标过程和开标记录有疑</w:t>
      </w:r>
      <w:r>
        <w:rPr>
          <w:rFonts w:hint="eastAsia" w:asciiTheme="minorEastAsia" w:hAnsiTheme="minorEastAsia" w:eastAsiaTheme="minorEastAsia" w:cstheme="minorEastAsia"/>
          <w:color w:val="000000" w:themeColor="text1"/>
          <w:spacing w:val="-3"/>
          <w:sz w:val="24"/>
          <w:szCs w:val="24"/>
          <w:lang w:eastAsia="zh-CN"/>
        </w:rPr>
        <w:t>义，以及认为招标人（招标代理机构）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 xml:space="preserve">相关工作人员有需要回避情形的，应当场提出询问或回避申请。否则，视为投标人对开 </w:t>
      </w:r>
      <w:r>
        <w:rPr>
          <w:rFonts w:hint="eastAsia" w:asciiTheme="minorEastAsia" w:hAnsiTheme="minorEastAsia" w:eastAsiaTheme="minorEastAsia" w:cstheme="minorEastAsia"/>
          <w:color w:val="000000" w:themeColor="text1"/>
          <w:spacing w:val="-1"/>
          <w:sz w:val="24"/>
          <w:szCs w:val="24"/>
          <w:lang w:eastAsia="zh-CN"/>
        </w:rPr>
        <w:t>标过程和开标记录予以认可。</w:t>
      </w:r>
    </w:p>
    <w:p w14:paraId="5E001447">
      <w:pPr>
        <w:spacing w:before="92" w:line="257" w:lineRule="auto"/>
        <w:ind w:right="137" w:firstLine="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（6）若投标人未参加开标会（包括但不限于投标人派出的人员不是投标人代表</w:t>
      </w:r>
      <w:r>
        <w:rPr>
          <w:rFonts w:hint="eastAsia" w:asciiTheme="minorEastAsia" w:hAnsiTheme="minorEastAsia" w:eastAsiaTheme="minorEastAsia" w:cstheme="minorEastAsia"/>
          <w:color w:val="000000" w:themeColor="text1"/>
          <w:spacing w:val="-30"/>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视同其对开标过程和开标记录予以认可。</w:t>
      </w:r>
    </w:p>
    <w:p w14:paraId="786B5DAD">
      <w:pPr>
        <w:spacing w:before="94" w:line="274" w:lineRule="auto"/>
        <w:ind w:left="2" w:firstLine="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7"/>
          <w:sz w:val="24"/>
          <w:szCs w:val="24"/>
          <w:lang w:eastAsia="zh-CN"/>
        </w:rPr>
        <w:t>※若出现本章第</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11.4</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条第（4）、（5）、（6）款规定情形之一</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b/>
          <w:bCs/>
          <w:color w:val="000000" w:themeColor="text1"/>
          <w:spacing w:val="-7"/>
          <w:sz w:val="24"/>
          <w:szCs w:val="24"/>
          <w:lang w:eastAsia="zh-CN"/>
        </w:rPr>
        <w:t>则投标人不得在</w:t>
      </w:r>
      <w:r>
        <w:rPr>
          <w:rFonts w:hint="eastAsia" w:asciiTheme="minorEastAsia" w:hAnsiTheme="minorEastAsia" w:eastAsiaTheme="minorEastAsia" w:cstheme="minorEastAsia"/>
          <w:color w:val="000000" w:themeColor="text1"/>
          <w:spacing w:val="-7"/>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开标会后就开标过程和开标记录涉及或可能涉及的有关事由（包括但不限于：</w:t>
      </w:r>
      <w:r>
        <w:rPr>
          <w:rFonts w:hint="eastAsia" w:asciiTheme="minorEastAsia" w:hAnsiTheme="minorEastAsia" w:eastAsiaTheme="minorEastAsia" w:cstheme="minorEastAsia"/>
          <w:b/>
          <w:bCs/>
          <w:color w:val="000000" w:themeColor="text1"/>
          <w:spacing w:val="-5"/>
          <w:sz w:val="24"/>
          <w:szCs w:val="24"/>
          <w:lang w:eastAsia="zh-CN"/>
        </w:rPr>
        <w:t>“投标报</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价</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”、“投标文件的格式</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”、“投标文件的提交</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”、“投标文</w:t>
      </w:r>
      <w:r>
        <w:rPr>
          <w:rFonts w:hint="eastAsia" w:asciiTheme="minorEastAsia" w:hAnsiTheme="minorEastAsia" w:eastAsiaTheme="minorEastAsia" w:cstheme="minorEastAsia"/>
          <w:b/>
          <w:bCs/>
          <w:color w:val="000000" w:themeColor="text1"/>
          <w:spacing w:val="-3"/>
          <w:sz w:val="24"/>
          <w:szCs w:val="24"/>
          <w:lang w:eastAsia="zh-CN"/>
        </w:rPr>
        <w:t>件的补充、修改或撤回</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1"/>
          <w:sz w:val="24"/>
          <w:szCs w:val="24"/>
          <w:lang w:eastAsia="zh-CN"/>
        </w:rPr>
        <w:t>等）向</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b/>
          <w:bCs/>
          <w:color w:val="000000" w:themeColor="text1"/>
          <w:spacing w:val="-1"/>
          <w:sz w:val="24"/>
          <w:szCs w:val="24"/>
          <w:lang w:eastAsia="zh-CN"/>
        </w:rPr>
        <w:t>提出任何疑义</w:t>
      </w:r>
      <w:r>
        <w:rPr>
          <w:rFonts w:hint="eastAsia" w:asciiTheme="minorEastAsia" w:hAnsiTheme="minorEastAsia" w:eastAsiaTheme="minorEastAsia" w:cstheme="minorEastAsia"/>
          <w:b/>
          <w:bCs/>
          <w:color w:val="000000" w:themeColor="text1"/>
          <w:spacing w:val="-2"/>
          <w:sz w:val="24"/>
          <w:szCs w:val="24"/>
          <w:lang w:eastAsia="zh-CN"/>
        </w:rPr>
        <w:t>或要求（包括异议）。</w:t>
      </w:r>
    </w:p>
    <w:p w14:paraId="6285657B">
      <w:pPr>
        <w:spacing w:before="95" w:line="256" w:lineRule="auto"/>
        <w:ind w:right="199" w:firstLine="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11.5</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投标截止时间后，参加投标的投标人不足三家的，不进行开标。同时，本次采</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购活动结束。</w:t>
      </w:r>
    </w:p>
    <w:p w14:paraId="3245AC47">
      <w:pPr>
        <w:pStyle w:val="8"/>
        <w:spacing w:line="392" w:lineRule="auto"/>
        <w:rPr>
          <w:rFonts w:hint="eastAsia" w:asciiTheme="minorEastAsia" w:hAnsiTheme="minorEastAsia" w:eastAsiaTheme="minorEastAsia" w:cstheme="minorEastAsia"/>
          <w:color w:val="000000" w:themeColor="text1"/>
          <w:lang w:eastAsia="zh-CN"/>
        </w:rPr>
      </w:pPr>
    </w:p>
    <w:p w14:paraId="39A2C135">
      <w:pPr>
        <w:spacing w:before="78" w:line="219" w:lineRule="auto"/>
        <w:ind w:left="345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六、中标与采购合同</w:t>
      </w:r>
    </w:p>
    <w:p w14:paraId="29FFFB51">
      <w:pPr>
        <w:spacing w:before="98" w:line="220"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12、中标</w:t>
      </w:r>
    </w:p>
    <w:p w14:paraId="51A4B511">
      <w:pPr>
        <w:spacing w:before="93"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12.1</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本项目推荐的中标候选人家数：详见招标文件第二章。</w:t>
      </w:r>
    </w:p>
    <w:p w14:paraId="2717A289">
      <w:pPr>
        <w:spacing w:before="94"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12.2</w:t>
      </w:r>
      <w:r>
        <w:rPr>
          <w:rFonts w:hint="eastAsia" w:asciiTheme="minorEastAsia" w:hAnsiTheme="minorEastAsia" w:eastAsiaTheme="minorEastAsia" w:cstheme="minorEastAsia"/>
          <w:color w:val="000000" w:themeColor="text1"/>
          <w:spacing w:val="-4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本项目中标人的确定：详见招标文件第二章。</w:t>
      </w:r>
    </w:p>
    <w:p w14:paraId="251DFB6A">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12" w:type="default"/>
          <w:pgSz w:w="11906" w:h="16839"/>
          <w:pgMar w:top="1431" w:right="1219" w:bottom="1260" w:left="1423" w:header="0" w:footer="1013" w:gutter="0"/>
          <w:pgNumType w:fmt="decimal"/>
          <w:cols w:space="720" w:num="1"/>
        </w:sectPr>
      </w:pPr>
    </w:p>
    <w:p w14:paraId="0A85CA2E">
      <w:pPr>
        <w:spacing w:before="108" w:line="218"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8"/>
          <w:sz w:val="24"/>
          <w:szCs w:val="24"/>
          <w:lang w:eastAsia="zh-CN"/>
        </w:rPr>
        <w:t>12.3</w:t>
      </w:r>
      <w:r>
        <w:rPr>
          <w:rFonts w:hint="eastAsia" w:asciiTheme="minorEastAsia" w:hAnsiTheme="minorEastAsia" w:eastAsiaTheme="minorEastAsia" w:cstheme="minorEastAsia"/>
          <w:color w:val="000000" w:themeColor="text1"/>
          <w:spacing w:val="-25"/>
          <w:sz w:val="24"/>
          <w:szCs w:val="24"/>
          <w:lang w:eastAsia="zh-CN"/>
        </w:rPr>
        <w:t xml:space="preserve"> </w:t>
      </w:r>
      <w:r>
        <w:rPr>
          <w:rFonts w:hint="eastAsia" w:asciiTheme="minorEastAsia" w:hAnsiTheme="minorEastAsia" w:eastAsiaTheme="minorEastAsia" w:cstheme="minorEastAsia"/>
          <w:color w:val="000000" w:themeColor="text1"/>
          <w:spacing w:val="-8"/>
          <w:sz w:val="24"/>
          <w:szCs w:val="24"/>
          <w:lang w:eastAsia="zh-CN"/>
        </w:rPr>
        <w:t>中标公告</w:t>
      </w:r>
    </w:p>
    <w:p w14:paraId="473F6477">
      <w:pPr>
        <w:spacing w:before="96" w:line="268" w:lineRule="auto"/>
        <w:ind w:left="1"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（1）招标人应当自收到评标报告之日起</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3 日内公示中标候选人，公示期不得</w:t>
      </w:r>
      <w:r>
        <w:rPr>
          <w:rFonts w:hint="eastAsia" w:asciiTheme="minorEastAsia" w:hAnsiTheme="minorEastAsia" w:eastAsiaTheme="minorEastAsia" w:cstheme="minorEastAsia"/>
          <w:color w:val="000000" w:themeColor="text1"/>
          <w:spacing w:val="-7"/>
          <w:sz w:val="24"/>
          <w:szCs w:val="24"/>
          <w:lang w:eastAsia="zh-CN"/>
        </w:rPr>
        <w:t>少于</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 xml:space="preserve">3 </w:t>
      </w:r>
      <w:r>
        <w:rPr>
          <w:rFonts w:hint="eastAsia" w:asciiTheme="minorEastAsia" w:hAnsiTheme="minorEastAsia" w:eastAsiaTheme="minorEastAsia" w:cstheme="minorEastAsia"/>
          <w:color w:val="000000" w:themeColor="text1"/>
          <w:spacing w:val="-6"/>
          <w:sz w:val="24"/>
          <w:szCs w:val="24"/>
          <w:lang w:eastAsia="zh-CN"/>
        </w:rPr>
        <w:t>日。投标人或者其他利害关系人对评标结果有异议的，应当在中标候选人公示期间提出。</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招标人应当自收到异议之日起</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3 日内作出答复；作出答复前，应当暂</w:t>
      </w:r>
      <w:r>
        <w:rPr>
          <w:rFonts w:hint="eastAsia" w:asciiTheme="minorEastAsia" w:hAnsiTheme="minorEastAsia" w:eastAsiaTheme="minorEastAsia" w:cstheme="minorEastAsia"/>
          <w:color w:val="000000" w:themeColor="text1"/>
          <w:spacing w:val="-3"/>
          <w:sz w:val="24"/>
          <w:szCs w:val="24"/>
          <w:lang w:eastAsia="zh-CN"/>
        </w:rPr>
        <w:t>停招标投标活动。</w:t>
      </w:r>
    </w:p>
    <w:p w14:paraId="0A15DF39">
      <w:pPr>
        <w:spacing w:before="94" w:line="219"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（2）招标人自确定中标人之日起</w:t>
      </w:r>
      <w:r>
        <w:rPr>
          <w:rFonts w:hint="eastAsia" w:asciiTheme="minorEastAsia" w:hAnsiTheme="minorEastAsia" w:eastAsiaTheme="minorEastAsia" w:cstheme="minorEastAsia"/>
          <w:color w:val="000000" w:themeColor="text1"/>
          <w:spacing w:val="-39"/>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3 日内公示中标结果，公示期不得少于</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10 日。</w:t>
      </w:r>
    </w:p>
    <w:p w14:paraId="784CBD0A">
      <w:pPr>
        <w:spacing w:before="94" w:line="256" w:lineRule="auto"/>
        <w:ind w:left="1" w:right="152"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（3）公示中标候选人、中标结果将在原信息发布的媒体上发布。公示期内，有关</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监督部门接到投诉的，可以视具体情况书面通知招</w:t>
      </w:r>
      <w:r>
        <w:rPr>
          <w:rFonts w:hint="eastAsia" w:asciiTheme="minorEastAsia" w:hAnsiTheme="minorEastAsia" w:eastAsiaTheme="minorEastAsia" w:cstheme="minorEastAsia"/>
          <w:color w:val="000000" w:themeColor="text1"/>
          <w:spacing w:val="-1"/>
          <w:sz w:val="24"/>
          <w:szCs w:val="24"/>
          <w:lang w:eastAsia="zh-CN"/>
        </w:rPr>
        <w:t>标人暂停签订合同等活动。</w:t>
      </w:r>
    </w:p>
    <w:p w14:paraId="06136AC9">
      <w:pPr>
        <w:spacing w:before="94" w:line="219"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12.4</w:t>
      </w:r>
      <w:r>
        <w:rPr>
          <w:rFonts w:hint="eastAsia" w:asciiTheme="minorEastAsia" w:hAnsiTheme="minorEastAsia" w:eastAsiaTheme="minorEastAsia" w:cstheme="minorEastAsia"/>
          <w:color w:val="000000" w:themeColor="text1"/>
          <w:spacing w:val="-26"/>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中标通知书</w:t>
      </w:r>
    </w:p>
    <w:p w14:paraId="2668D265">
      <w:pPr>
        <w:spacing w:before="95" w:line="256" w:lineRule="auto"/>
        <w:ind w:left="23" w:right="152" w:firstLine="46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（1）中标结果发布的同时，</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将向中标人发出</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中标通知书。</w:t>
      </w:r>
    </w:p>
    <w:p w14:paraId="47F75739">
      <w:pPr>
        <w:spacing w:before="94" w:line="256" w:lineRule="auto"/>
        <w:ind w:right="152"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（2）中标通知书发出后，招标人不得违法改变中标结果，中标人无正当理由不得</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放弃中标。</w:t>
      </w:r>
    </w:p>
    <w:p w14:paraId="51255988">
      <w:pPr>
        <w:spacing w:before="96" w:line="219"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13、采购合同</w:t>
      </w:r>
    </w:p>
    <w:p w14:paraId="00DA5766">
      <w:pPr>
        <w:spacing w:before="95" w:line="255" w:lineRule="auto"/>
        <w:ind w:left="1" w:right="12" w:firstLine="49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13.1</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签订采购合同不得对招标文件确定的事项和中标人的投标文件作实质性修</w:t>
      </w:r>
      <w:r>
        <w:rPr>
          <w:rFonts w:hint="eastAsia" w:asciiTheme="minorEastAsia" w:hAnsiTheme="minorEastAsia" w:eastAsiaTheme="minorEastAsia" w:cstheme="minorEastAsia"/>
          <w:color w:val="000000" w:themeColor="text1"/>
          <w:spacing w:val="-3"/>
          <w:sz w:val="24"/>
          <w:szCs w:val="24"/>
          <w:lang w:eastAsia="zh-CN"/>
        </w:rPr>
        <w:t>改。</w:t>
      </w:r>
      <w:r>
        <w:rPr>
          <w:rFonts w:hint="eastAsia" w:asciiTheme="minorEastAsia" w:hAnsiTheme="minorEastAsia" w:eastAsiaTheme="minorEastAsia" w:cstheme="minorEastAsia"/>
          <w:color w:val="000000" w:themeColor="text1"/>
          <w:sz w:val="24"/>
          <w:szCs w:val="24"/>
          <w:lang w:eastAsia="zh-CN"/>
        </w:rPr>
        <w:t xml:space="preserve"> 招标人不得向中标人提出任何不合理的要求</w:t>
      </w:r>
      <w:r>
        <w:rPr>
          <w:rFonts w:hint="eastAsia" w:asciiTheme="minorEastAsia" w:hAnsiTheme="minorEastAsia" w:eastAsiaTheme="minorEastAsia" w:cstheme="minorEastAsia"/>
          <w:color w:val="000000" w:themeColor="text1"/>
          <w:spacing w:val="-1"/>
          <w:sz w:val="24"/>
          <w:szCs w:val="24"/>
          <w:lang w:eastAsia="zh-CN"/>
        </w:rPr>
        <w:t>作为采购合同的签订条件。</w:t>
      </w:r>
    </w:p>
    <w:p w14:paraId="3242340E">
      <w:pPr>
        <w:spacing w:before="97" w:line="219"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13.2</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签订时限：</w:t>
      </w:r>
      <w:r>
        <w:rPr>
          <w:rFonts w:hint="eastAsia" w:asciiTheme="minorEastAsia" w:hAnsiTheme="minorEastAsia" w:eastAsiaTheme="minorEastAsia" w:cstheme="minorEastAsia"/>
          <w:color w:val="000000" w:themeColor="text1"/>
          <w:spacing w:val="-71"/>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自中标通知书发出之日</w:t>
      </w:r>
      <w:r>
        <w:rPr>
          <w:rFonts w:hint="eastAsia" w:asciiTheme="minorEastAsia" w:hAnsiTheme="minorEastAsia" w:eastAsiaTheme="minorEastAsia" w:cstheme="minorEastAsia"/>
          <w:b/>
          <w:bCs/>
          <w:color w:val="000000" w:themeColor="text1"/>
          <w:spacing w:val="-8"/>
          <w:sz w:val="24"/>
          <w:szCs w:val="24"/>
          <w:lang w:eastAsia="zh-CN"/>
        </w:rPr>
        <w:t>起</w:t>
      </w:r>
      <w:r>
        <w:rPr>
          <w:rFonts w:hint="eastAsia" w:asciiTheme="minorEastAsia" w:hAnsiTheme="minorEastAsia" w:eastAsiaTheme="minorEastAsia" w:cstheme="minorEastAsia"/>
          <w:color w:val="000000" w:themeColor="text1"/>
          <w:spacing w:val="-43"/>
          <w:sz w:val="24"/>
          <w:szCs w:val="24"/>
          <w:lang w:eastAsia="zh-CN"/>
        </w:rPr>
        <w:t xml:space="preserve"> </w:t>
      </w:r>
      <w:r>
        <w:rPr>
          <w:rFonts w:hint="eastAsia" w:asciiTheme="minorEastAsia" w:hAnsiTheme="minorEastAsia" w:eastAsiaTheme="minorEastAsia" w:cstheme="minorEastAsia"/>
          <w:b/>
          <w:bCs/>
          <w:color w:val="000000" w:themeColor="text1"/>
          <w:spacing w:val="-8"/>
          <w:sz w:val="24"/>
          <w:szCs w:val="24"/>
          <w:lang w:eastAsia="zh-CN"/>
        </w:rPr>
        <w:t>30</w:t>
      </w:r>
      <w:r>
        <w:rPr>
          <w:rFonts w:hint="eastAsia" w:asciiTheme="minorEastAsia" w:hAnsiTheme="minorEastAsia" w:eastAsiaTheme="minorEastAsia" w:cstheme="minorEastAsia"/>
          <w:color w:val="000000" w:themeColor="text1"/>
          <w:spacing w:val="-8"/>
          <w:sz w:val="24"/>
          <w:szCs w:val="24"/>
          <w:lang w:eastAsia="zh-CN"/>
        </w:rPr>
        <w:t xml:space="preserve"> </w:t>
      </w:r>
      <w:r>
        <w:rPr>
          <w:rFonts w:hint="eastAsia" w:asciiTheme="minorEastAsia" w:hAnsiTheme="minorEastAsia" w:eastAsiaTheme="minorEastAsia" w:cstheme="minorEastAsia"/>
          <w:b/>
          <w:bCs/>
          <w:color w:val="000000" w:themeColor="text1"/>
          <w:spacing w:val="-8"/>
          <w:sz w:val="24"/>
          <w:szCs w:val="24"/>
          <w:lang w:eastAsia="zh-CN"/>
        </w:rPr>
        <w:t>日内</w:t>
      </w:r>
      <w:r>
        <w:rPr>
          <w:rFonts w:hint="eastAsia" w:asciiTheme="minorEastAsia" w:hAnsiTheme="minorEastAsia" w:eastAsiaTheme="minorEastAsia" w:cstheme="minorEastAsia"/>
          <w:color w:val="000000" w:themeColor="text1"/>
          <w:spacing w:val="-8"/>
          <w:sz w:val="24"/>
          <w:szCs w:val="24"/>
          <w:lang w:eastAsia="zh-CN"/>
        </w:rPr>
        <w:t>。</w:t>
      </w:r>
    </w:p>
    <w:p w14:paraId="056C2180">
      <w:pPr>
        <w:spacing w:before="94" w:line="219"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13.3</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采购合同的履行、违约责任和解决争议的方法等</w:t>
      </w:r>
      <w:r>
        <w:rPr>
          <w:rFonts w:hint="eastAsia" w:asciiTheme="minorEastAsia" w:hAnsiTheme="minorEastAsia" w:eastAsiaTheme="minorEastAsia" w:cstheme="minorEastAsia"/>
          <w:color w:val="000000" w:themeColor="text1"/>
          <w:spacing w:val="-2"/>
          <w:sz w:val="24"/>
          <w:szCs w:val="24"/>
          <w:lang w:eastAsia="zh-CN"/>
        </w:rPr>
        <w:t>适用合同法。</w:t>
      </w:r>
    </w:p>
    <w:p w14:paraId="1AB63203">
      <w:pPr>
        <w:spacing w:before="95" w:line="219"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13.4</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招标人与中标人应根据采购合同的约定</w:t>
      </w:r>
      <w:r>
        <w:rPr>
          <w:rFonts w:hint="eastAsia" w:asciiTheme="minorEastAsia" w:hAnsiTheme="minorEastAsia" w:eastAsiaTheme="minorEastAsia" w:cstheme="minorEastAsia"/>
          <w:color w:val="000000" w:themeColor="text1"/>
          <w:spacing w:val="-2"/>
          <w:sz w:val="24"/>
          <w:szCs w:val="24"/>
          <w:lang w:eastAsia="zh-CN"/>
        </w:rPr>
        <w:t>依法履行合同义务。</w:t>
      </w:r>
    </w:p>
    <w:p w14:paraId="163B7B04">
      <w:pPr>
        <w:spacing w:before="97" w:line="219"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13.5</w:t>
      </w:r>
      <w:r>
        <w:rPr>
          <w:rFonts w:hint="eastAsia" w:asciiTheme="minorEastAsia" w:hAnsiTheme="minorEastAsia" w:eastAsiaTheme="minorEastAsia" w:cstheme="minorEastAsia"/>
          <w:color w:val="000000" w:themeColor="text1"/>
          <w:spacing w:val="-2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中标人在采购合同履行过程中应遵守有</w:t>
      </w:r>
      <w:r>
        <w:rPr>
          <w:rFonts w:hint="eastAsia" w:asciiTheme="minorEastAsia" w:hAnsiTheme="minorEastAsia" w:eastAsiaTheme="minorEastAsia" w:cstheme="minorEastAsia"/>
          <w:color w:val="000000" w:themeColor="text1"/>
          <w:spacing w:val="-5"/>
          <w:sz w:val="24"/>
          <w:szCs w:val="24"/>
          <w:lang w:eastAsia="zh-CN"/>
        </w:rPr>
        <w:t>关法律、法规和规章的强制性规定（即</w:t>
      </w:r>
    </w:p>
    <w:p w14:paraId="5943C8A1">
      <w:pPr>
        <w:spacing w:before="95" w:line="219"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使前述强制性规定有可能在招标文件中未予列明）。</w:t>
      </w:r>
    </w:p>
    <w:p w14:paraId="7046EB69">
      <w:pPr>
        <w:pStyle w:val="8"/>
        <w:spacing w:line="409" w:lineRule="auto"/>
        <w:rPr>
          <w:rFonts w:hint="eastAsia" w:asciiTheme="minorEastAsia" w:hAnsiTheme="minorEastAsia" w:eastAsiaTheme="minorEastAsia" w:cstheme="minorEastAsia"/>
          <w:color w:val="000000" w:themeColor="text1"/>
          <w:lang w:eastAsia="zh-CN"/>
        </w:rPr>
      </w:pPr>
    </w:p>
    <w:p w14:paraId="242BF38B">
      <w:pPr>
        <w:spacing w:before="79" w:line="219" w:lineRule="auto"/>
        <w:ind w:left="390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七、异议与投诉</w:t>
      </w:r>
    </w:p>
    <w:p w14:paraId="199EF956">
      <w:pPr>
        <w:spacing w:before="184" w:line="219"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7"/>
          <w:sz w:val="24"/>
          <w:szCs w:val="24"/>
          <w:lang w:eastAsia="zh-CN"/>
        </w:rPr>
        <w:t>14.</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异议、投诉</w:t>
      </w:r>
    </w:p>
    <w:p w14:paraId="166C1859">
      <w:pPr>
        <w:spacing w:before="168" w:line="255" w:lineRule="auto"/>
        <w:ind w:left="5" w:right="80" w:firstLine="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14.1</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投标人认为招标文件、招标过程和中标结果使自己的权益受到损害的，可以以</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书面方式向招标单位或招标代理机构提出异议。</w:t>
      </w:r>
    </w:p>
    <w:p w14:paraId="5053C331">
      <w:pPr>
        <w:spacing w:before="97" w:line="256" w:lineRule="auto"/>
        <w:ind w:right="80" w:firstLine="4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14.2</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提出异议期限的计算，按《中华人民共和国招标投标法实施条例》及有关规定</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执行。</w:t>
      </w:r>
    </w:p>
    <w:p w14:paraId="79950C4E">
      <w:pPr>
        <w:spacing w:before="93" w:line="256" w:lineRule="auto"/>
        <w:ind w:right="80" w:firstLine="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14.2.1</w:t>
      </w:r>
      <w:r>
        <w:rPr>
          <w:rFonts w:hint="eastAsia" w:asciiTheme="minorEastAsia" w:hAnsiTheme="minorEastAsia" w:eastAsiaTheme="minorEastAsia" w:cstheme="minorEastAsia"/>
          <w:color w:val="000000" w:themeColor="text1"/>
          <w:spacing w:val="-4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潜在投标人或者其他利害关系人对招标文件有异议的，应当以书面原件形式</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在投标截止时间</w:t>
      </w:r>
      <w:r>
        <w:rPr>
          <w:rFonts w:hint="eastAsia" w:asciiTheme="minorEastAsia" w:hAnsiTheme="minorEastAsia" w:eastAsiaTheme="minorEastAsia" w:cstheme="minorEastAsia"/>
          <w:color w:val="000000" w:themeColor="text1"/>
          <w:spacing w:val="-25"/>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10 日前提出。</w:t>
      </w:r>
    </w:p>
    <w:p w14:paraId="0235B689">
      <w:pPr>
        <w:spacing w:before="96" w:line="219" w:lineRule="auto"/>
        <w:ind w:left="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14.2.2</w:t>
      </w:r>
      <w:r>
        <w:rPr>
          <w:rFonts w:hint="eastAsia" w:asciiTheme="minorEastAsia" w:hAnsiTheme="minorEastAsia" w:eastAsiaTheme="minorEastAsia" w:cstheme="minorEastAsia"/>
          <w:color w:val="000000" w:themeColor="text1"/>
          <w:spacing w:val="-3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投标人对开标有异议的，应当在开标现场提出。</w:t>
      </w:r>
    </w:p>
    <w:p w14:paraId="7F302BD4">
      <w:pPr>
        <w:spacing w:before="93" w:line="256" w:lineRule="auto"/>
        <w:ind w:left="20" w:right="212" w:firstLine="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14.2.3</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投标人或者其他利害关系人对依法必须进行招标的项目的评标结果</w:t>
      </w:r>
      <w:r>
        <w:rPr>
          <w:rFonts w:hint="eastAsia" w:asciiTheme="minorEastAsia" w:hAnsiTheme="minorEastAsia" w:eastAsiaTheme="minorEastAsia" w:cstheme="minorEastAsia"/>
          <w:color w:val="000000" w:themeColor="text1"/>
          <w:spacing w:val="-2"/>
          <w:sz w:val="24"/>
          <w:szCs w:val="24"/>
          <w:lang w:eastAsia="zh-CN"/>
        </w:rPr>
        <w:t>有异议</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的，应当在中标候选人公示期间提出。</w:t>
      </w:r>
    </w:p>
    <w:p w14:paraId="319E4CD2">
      <w:pPr>
        <w:spacing w:before="98" w:line="267" w:lineRule="auto"/>
        <w:ind w:right="80" w:firstLine="4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14.3</w:t>
      </w:r>
      <w:r>
        <w:rPr>
          <w:rFonts w:hint="eastAsia" w:asciiTheme="minorEastAsia" w:hAnsiTheme="minorEastAsia" w:eastAsiaTheme="minorEastAsia" w:cstheme="minorEastAsia"/>
          <w:color w:val="000000" w:themeColor="text1"/>
          <w:spacing w:val="-3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函件格式及签署：异议书应当署名。投标人为自然人的</w:t>
      </w:r>
      <w:r>
        <w:rPr>
          <w:rFonts w:hint="eastAsia" w:asciiTheme="minorEastAsia" w:hAnsiTheme="minorEastAsia" w:eastAsiaTheme="minorEastAsia" w:cstheme="minorEastAsia"/>
          <w:color w:val="000000" w:themeColor="text1"/>
          <w:spacing w:val="-5"/>
          <w:sz w:val="24"/>
          <w:szCs w:val="24"/>
          <w:lang w:eastAsia="zh-CN"/>
        </w:rPr>
        <w:t>，提供本人签字的书面</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材料；投标人为法人或者其他组织的，提供其法定代表人签字盖章并加盖公章的书面材</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料（逐页加盖公章）。</w:t>
      </w:r>
    </w:p>
    <w:p w14:paraId="517F343C">
      <w:pPr>
        <w:spacing w:before="97" w:line="219" w:lineRule="auto"/>
        <w:ind w:left="48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提出异议人应按下列格式提交异议书，否则招</w:t>
      </w:r>
      <w:r>
        <w:rPr>
          <w:rFonts w:hint="eastAsia" w:asciiTheme="minorEastAsia" w:hAnsiTheme="minorEastAsia" w:eastAsiaTheme="minorEastAsia" w:cstheme="minorEastAsia"/>
          <w:color w:val="000000" w:themeColor="text1"/>
          <w:spacing w:val="-1"/>
          <w:sz w:val="24"/>
          <w:szCs w:val="24"/>
          <w:lang w:eastAsia="zh-CN"/>
        </w:rPr>
        <w:t>标代理机构有权不予受理：</w:t>
      </w:r>
    </w:p>
    <w:p w14:paraId="19F2FADB">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13" w:type="default"/>
          <w:pgSz w:w="11906" w:h="16839"/>
          <w:pgMar w:top="1431" w:right="1337" w:bottom="1260" w:left="1424" w:header="0" w:footer="1013" w:gutter="0"/>
          <w:pgNumType w:fmt="decimal"/>
          <w:cols w:space="720" w:num="1"/>
        </w:sectPr>
      </w:pPr>
    </w:p>
    <w:p w14:paraId="1751D98B">
      <w:pPr>
        <w:spacing w:line="91" w:lineRule="auto"/>
        <w:rPr>
          <w:rFonts w:hint="eastAsia" w:asciiTheme="minorEastAsia" w:hAnsiTheme="minorEastAsia" w:eastAsiaTheme="minorEastAsia" w:cstheme="minorEastAsia"/>
          <w:color w:val="000000" w:themeColor="text1"/>
          <w:sz w:val="2"/>
          <w:lang w:eastAsia="zh-CN"/>
        </w:rPr>
      </w:pPr>
    </w:p>
    <w:tbl>
      <w:tblPr>
        <w:tblStyle w:val="24"/>
        <w:tblW w:w="97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24"/>
      </w:tblGrid>
      <w:tr w14:paraId="24BA1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509" w:hRule="atLeast"/>
        </w:trPr>
        <w:tc>
          <w:tcPr>
            <w:tcW w:w="9724" w:type="dxa"/>
          </w:tcPr>
          <w:p w14:paraId="49052708">
            <w:pPr>
              <w:pStyle w:val="25"/>
              <w:spacing w:before="199" w:line="219" w:lineRule="auto"/>
              <w:ind w:left="4631"/>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b/>
                <w:bCs/>
                <w:color w:val="000000" w:themeColor="text1"/>
                <w:spacing w:val="-11"/>
                <w:lang w:eastAsia="zh-CN"/>
              </w:rPr>
              <w:t>异</w:t>
            </w:r>
            <w:r>
              <w:rPr>
                <w:rFonts w:hint="eastAsia" w:asciiTheme="minorEastAsia" w:hAnsiTheme="minorEastAsia" w:eastAsiaTheme="minorEastAsia" w:cstheme="minorEastAsia"/>
                <w:color w:val="000000" w:themeColor="text1"/>
                <w:spacing w:val="12"/>
                <w:lang w:eastAsia="zh-CN"/>
              </w:rPr>
              <w:t xml:space="preserve"> </w:t>
            </w:r>
            <w:r>
              <w:rPr>
                <w:rFonts w:hint="eastAsia" w:asciiTheme="minorEastAsia" w:hAnsiTheme="minorEastAsia" w:eastAsiaTheme="minorEastAsia" w:cstheme="minorEastAsia"/>
                <w:b/>
                <w:bCs/>
                <w:color w:val="000000" w:themeColor="text1"/>
                <w:spacing w:val="-11"/>
                <w:lang w:eastAsia="zh-CN"/>
              </w:rPr>
              <w:t>议</w:t>
            </w:r>
            <w:r>
              <w:rPr>
                <w:rFonts w:hint="eastAsia" w:asciiTheme="minorEastAsia" w:hAnsiTheme="minorEastAsia" w:eastAsiaTheme="minorEastAsia" w:cstheme="minorEastAsia"/>
                <w:color w:val="000000" w:themeColor="text1"/>
                <w:spacing w:val="16"/>
                <w:lang w:eastAsia="zh-CN"/>
              </w:rPr>
              <w:t xml:space="preserve"> </w:t>
            </w:r>
            <w:r>
              <w:rPr>
                <w:rFonts w:hint="eastAsia" w:asciiTheme="minorEastAsia" w:hAnsiTheme="minorEastAsia" w:eastAsiaTheme="minorEastAsia" w:cstheme="minorEastAsia"/>
                <w:b/>
                <w:bCs/>
                <w:color w:val="000000" w:themeColor="text1"/>
                <w:spacing w:val="-11"/>
                <w:lang w:eastAsia="zh-CN"/>
              </w:rPr>
              <w:t>书</w:t>
            </w:r>
          </w:p>
          <w:p w14:paraId="51079795">
            <w:pPr>
              <w:pStyle w:val="25"/>
              <w:tabs>
                <w:tab w:val="left" w:pos="1906"/>
              </w:tabs>
              <w:spacing w:before="214" w:line="219" w:lineRule="auto"/>
              <w:ind w:left="10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u w:val="single"/>
                <w:lang w:eastAsia="zh-CN"/>
              </w:rPr>
              <w:tab/>
            </w:r>
            <w:r>
              <w:rPr>
                <w:rFonts w:hint="eastAsia" w:asciiTheme="minorEastAsia" w:hAnsiTheme="minorEastAsia" w:eastAsiaTheme="minorEastAsia" w:cstheme="minorEastAsia"/>
                <w:color w:val="000000" w:themeColor="text1"/>
                <w:spacing w:val="-66"/>
                <w:lang w:eastAsia="zh-CN"/>
              </w:rPr>
              <w:t xml:space="preserve"> </w:t>
            </w:r>
            <w:r>
              <w:rPr>
                <w:rFonts w:hint="eastAsia" w:asciiTheme="minorEastAsia" w:hAnsiTheme="minorEastAsia" w:eastAsiaTheme="minorEastAsia" w:cstheme="minorEastAsia"/>
                <w:color w:val="000000" w:themeColor="text1"/>
                <w:spacing w:val="-5"/>
                <w:lang w:eastAsia="zh-CN"/>
              </w:rPr>
              <w:t>(招标代理机构名称)：</w:t>
            </w:r>
          </w:p>
          <w:p w14:paraId="52DF06B3">
            <w:pPr>
              <w:pStyle w:val="25"/>
              <w:spacing w:before="213" w:line="385" w:lineRule="auto"/>
              <w:ind w:left="118" w:right="68" w:firstLine="481"/>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依据《中华人民共和国招标投标法》、《中华人民共和国招标投标法实施条例》规定，</w:t>
            </w:r>
            <w:r>
              <w:rPr>
                <w:rFonts w:hint="eastAsia" w:asciiTheme="minorEastAsia" w:hAnsiTheme="minorEastAsia" w:eastAsiaTheme="minorEastAsia" w:cstheme="minorEastAsia"/>
                <w:color w:val="000000" w:themeColor="text1"/>
                <w:spacing w:val="5"/>
                <w:lang w:eastAsia="zh-CN"/>
              </w:rPr>
              <w:t xml:space="preserve"> </w:t>
            </w:r>
            <w:r>
              <w:rPr>
                <w:rFonts w:hint="eastAsia" w:asciiTheme="minorEastAsia" w:hAnsiTheme="minorEastAsia" w:eastAsiaTheme="minorEastAsia" w:cstheme="minorEastAsia"/>
                <w:color w:val="000000" w:themeColor="text1"/>
                <w:spacing w:val="-3"/>
                <w:lang w:eastAsia="zh-CN"/>
              </w:rPr>
              <w:t>认为</w:t>
            </w:r>
            <w:r>
              <w:rPr>
                <w:rFonts w:hint="eastAsia" w:asciiTheme="minorEastAsia" w:hAnsiTheme="minorEastAsia" w:eastAsiaTheme="minorEastAsia" w:cstheme="minorEastAsia"/>
                <w:color w:val="000000" w:themeColor="text1"/>
                <w:spacing w:val="-3"/>
                <w:u w:val="single"/>
                <w:lang w:eastAsia="zh-CN"/>
              </w:rPr>
              <w:t xml:space="preserve">          </w:t>
            </w:r>
            <w:r>
              <w:rPr>
                <w:rFonts w:hint="eastAsia" w:asciiTheme="minorEastAsia" w:hAnsiTheme="minorEastAsia" w:eastAsiaTheme="minorEastAsia" w:cstheme="minorEastAsia"/>
                <w:color w:val="000000" w:themeColor="text1"/>
                <w:spacing w:val="-94"/>
                <w:lang w:eastAsia="zh-CN"/>
              </w:rPr>
              <w:t xml:space="preserve"> </w:t>
            </w:r>
            <w:r>
              <w:rPr>
                <w:rFonts w:hint="eastAsia" w:asciiTheme="minorEastAsia" w:hAnsiTheme="minorEastAsia" w:eastAsiaTheme="minorEastAsia" w:cstheme="minorEastAsia"/>
                <w:color w:val="000000" w:themeColor="text1"/>
                <w:spacing w:val="-3"/>
                <w:lang w:eastAsia="zh-CN"/>
              </w:rPr>
              <w:t>项目的招标活动中有几个内容损害了我公司的权益，现以书面原件形式提出</w:t>
            </w:r>
            <w:r>
              <w:rPr>
                <w:rFonts w:hint="eastAsia" w:asciiTheme="minorEastAsia" w:hAnsiTheme="minorEastAsia" w:eastAsiaTheme="minorEastAsia" w:cstheme="minorEastAsia"/>
                <w:color w:val="000000" w:themeColor="text1"/>
                <w:lang w:eastAsia="zh-CN"/>
              </w:rPr>
              <w:t xml:space="preserve"> </w:t>
            </w:r>
            <w:r>
              <w:rPr>
                <w:rFonts w:hint="eastAsia" w:asciiTheme="minorEastAsia" w:hAnsiTheme="minorEastAsia" w:eastAsiaTheme="minorEastAsia" w:cstheme="minorEastAsia"/>
                <w:color w:val="000000" w:themeColor="text1"/>
                <w:spacing w:val="-3"/>
                <w:lang w:eastAsia="zh-CN"/>
              </w:rPr>
              <w:t>异议。并根据《中华人民共和国招标投标法》、《中华人民共和国招标投标法实施条例》规</w:t>
            </w:r>
          </w:p>
          <w:p w14:paraId="31454A0D">
            <w:pPr>
              <w:pStyle w:val="25"/>
              <w:spacing w:line="218" w:lineRule="auto"/>
              <w:ind w:left="124"/>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定，提出以下请求和提供必要的证明材料。异议的事实和理由：</w:t>
            </w:r>
          </w:p>
          <w:p w14:paraId="376A3012">
            <w:pPr>
              <w:pStyle w:val="25"/>
              <w:spacing w:before="218" w:line="220" w:lineRule="auto"/>
              <w:ind w:left="604"/>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0"/>
                <w:lang w:eastAsia="zh-CN"/>
              </w:rPr>
              <w:t>1、</w:t>
            </w:r>
            <w:r>
              <w:rPr>
                <w:rFonts w:hint="eastAsia" w:asciiTheme="minorEastAsia" w:hAnsiTheme="minorEastAsia" w:eastAsiaTheme="minorEastAsia" w:cstheme="minorEastAsia"/>
                <w:color w:val="000000" w:themeColor="text1"/>
                <w:spacing w:val="29"/>
                <w:u w:val="single"/>
                <w:lang w:eastAsia="zh-CN"/>
              </w:rPr>
              <w:t xml:space="preserve">  </w:t>
            </w:r>
            <w:r>
              <w:rPr>
                <w:rFonts w:hint="eastAsia" w:asciiTheme="minorEastAsia" w:hAnsiTheme="minorEastAsia" w:eastAsiaTheme="minorEastAsia" w:cstheme="minorEastAsia"/>
                <w:color w:val="000000" w:themeColor="text1"/>
                <w:spacing w:val="-10"/>
                <w:u w:val="single"/>
                <w:lang w:eastAsia="zh-CN"/>
              </w:rPr>
              <w:t>(事宜经过)</w:t>
            </w:r>
            <w:r>
              <w:rPr>
                <w:rFonts w:hint="eastAsia" w:asciiTheme="minorEastAsia" w:hAnsiTheme="minorEastAsia" w:eastAsiaTheme="minorEastAsia" w:cstheme="minorEastAsia"/>
                <w:color w:val="000000" w:themeColor="text1"/>
                <w:spacing w:val="11"/>
                <w:u w:val="single"/>
                <w:lang w:eastAsia="zh-CN"/>
              </w:rPr>
              <w:t xml:space="preserve">           </w:t>
            </w:r>
            <w:r>
              <w:rPr>
                <w:rFonts w:hint="eastAsia" w:asciiTheme="minorEastAsia" w:hAnsiTheme="minorEastAsia" w:eastAsiaTheme="minorEastAsia" w:cstheme="minorEastAsia"/>
                <w:color w:val="000000" w:themeColor="text1"/>
                <w:spacing w:val="-90"/>
                <w:lang w:eastAsia="zh-CN"/>
              </w:rPr>
              <w:t xml:space="preserve"> </w:t>
            </w:r>
            <w:r>
              <w:rPr>
                <w:rFonts w:hint="eastAsia" w:asciiTheme="minorEastAsia" w:hAnsiTheme="minorEastAsia" w:eastAsiaTheme="minorEastAsia" w:cstheme="minorEastAsia"/>
                <w:color w:val="000000" w:themeColor="text1"/>
                <w:spacing w:val="-10"/>
                <w:lang w:eastAsia="zh-CN"/>
              </w:rPr>
              <w:t>；2、</w:t>
            </w:r>
            <w:r>
              <w:rPr>
                <w:rFonts w:hint="eastAsia" w:asciiTheme="minorEastAsia" w:hAnsiTheme="minorEastAsia" w:eastAsiaTheme="minorEastAsia" w:cstheme="minorEastAsia"/>
                <w:color w:val="000000" w:themeColor="text1"/>
                <w:spacing w:val="26"/>
                <w:u w:val="single"/>
                <w:lang w:eastAsia="zh-CN"/>
              </w:rPr>
              <w:t xml:space="preserve">  </w:t>
            </w:r>
            <w:r>
              <w:rPr>
                <w:rFonts w:hint="eastAsia" w:asciiTheme="minorEastAsia" w:hAnsiTheme="minorEastAsia" w:eastAsiaTheme="minorEastAsia" w:cstheme="minorEastAsia"/>
                <w:color w:val="000000" w:themeColor="text1"/>
                <w:spacing w:val="-10"/>
                <w:u w:val="single"/>
                <w:lang w:eastAsia="zh-CN"/>
              </w:rPr>
              <w:t>(事宜经过)</w:t>
            </w:r>
            <w:r>
              <w:rPr>
                <w:rFonts w:hint="eastAsia" w:asciiTheme="minorEastAsia" w:hAnsiTheme="minorEastAsia" w:eastAsiaTheme="minorEastAsia" w:cstheme="minorEastAsia"/>
                <w:color w:val="000000" w:themeColor="text1"/>
                <w:spacing w:val="10"/>
                <w:u w:val="single"/>
                <w:lang w:eastAsia="zh-CN"/>
              </w:rPr>
              <w:t xml:space="preserve">           </w:t>
            </w:r>
            <w:r>
              <w:rPr>
                <w:rFonts w:hint="eastAsia" w:asciiTheme="minorEastAsia" w:hAnsiTheme="minorEastAsia" w:eastAsiaTheme="minorEastAsia" w:cstheme="minorEastAsia"/>
                <w:color w:val="000000" w:themeColor="text1"/>
                <w:spacing w:val="-80"/>
                <w:lang w:eastAsia="zh-CN"/>
              </w:rPr>
              <w:t xml:space="preserve"> </w:t>
            </w:r>
            <w:r>
              <w:rPr>
                <w:rFonts w:hint="eastAsia" w:asciiTheme="minorEastAsia" w:hAnsiTheme="minorEastAsia" w:eastAsiaTheme="minorEastAsia" w:cstheme="minorEastAsia"/>
                <w:color w:val="000000" w:themeColor="text1"/>
                <w:spacing w:val="-10"/>
                <w:lang w:eastAsia="zh-CN"/>
              </w:rPr>
              <w:t>；……</w:t>
            </w:r>
          </w:p>
          <w:p w14:paraId="2BFBCF05">
            <w:pPr>
              <w:pStyle w:val="25"/>
              <w:spacing w:before="212" w:line="385" w:lineRule="auto"/>
              <w:ind w:left="124" w:right="108" w:firstLine="463"/>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我们认为，以上几项，违背了招标投标法规的有关规定，其中</w:t>
            </w:r>
            <w:r>
              <w:rPr>
                <w:rFonts w:hint="eastAsia" w:asciiTheme="minorEastAsia" w:hAnsiTheme="minorEastAsia" w:eastAsiaTheme="minorEastAsia" w:cstheme="minorEastAsia"/>
                <w:color w:val="000000" w:themeColor="text1"/>
                <w:spacing w:val="-4"/>
                <w:lang w:eastAsia="zh-CN"/>
              </w:rPr>
              <w:t>第</w:t>
            </w:r>
            <w:r>
              <w:rPr>
                <w:rFonts w:hint="eastAsia" w:asciiTheme="minorEastAsia" w:hAnsiTheme="minorEastAsia" w:eastAsiaTheme="minorEastAsia" w:cstheme="minorEastAsia"/>
                <w:color w:val="000000" w:themeColor="text1"/>
                <w:spacing w:val="-33"/>
                <w:lang w:eastAsia="zh-CN"/>
              </w:rPr>
              <w:t xml:space="preserve"> </w:t>
            </w:r>
            <w:r>
              <w:rPr>
                <w:rFonts w:hint="eastAsia" w:asciiTheme="minorEastAsia" w:hAnsiTheme="minorEastAsia" w:eastAsiaTheme="minorEastAsia" w:cstheme="minorEastAsia"/>
                <w:color w:val="000000" w:themeColor="text1"/>
                <w:spacing w:val="-4"/>
                <w:lang w:eastAsia="zh-CN"/>
              </w:rPr>
              <w:t>1</w:t>
            </w:r>
            <w:r>
              <w:rPr>
                <w:rFonts w:hint="eastAsia" w:asciiTheme="minorEastAsia" w:hAnsiTheme="minorEastAsia" w:eastAsiaTheme="minorEastAsia" w:cstheme="minorEastAsia"/>
                <w:color w:val="000000" w:themeColor="text1"/>
                <w:spacing w:val="-47"/>
                <w:lang w:eastAsia="zh-CN"/>
              </w:rPr>
              <w:t xml:space="preserve"> </w:t>
            </w:r>
            <w:r>
              <w:rPr>
                <w:rFonts w:hint="eastAsia" w:asciiTheme="minorEastAsia" w:hAnsiTheme="minorEastAsia" w:eastAsiaTheme="minorEastAsia" w:cstheme="minorEastAsia"/>
                <w:color w:val="000000" w:themeColor="text1"/>
                <w:spacing w:val="-4"/>
                <w:lang w:eastAsia="zh-CN"/>
              </w:rPr>
              <w:t>项</w:t>
            </w:r>
            <w:r>
              <w:rPr>
                <w:rFonts w:hint="eastAsia" w:asciiTheme="minorEastAsia" w:hAnsiTheme="minorEastAsia" w:eastAsiaTheme="minorEastAsia" w:cstheme="minorEastAsia"/>
                <w:color w:val="000000" w:themeColor="text1"/>
                <w:spacing w:val="-4"/>
                <w:u w:val="single"/>
                <w:lang w:eastAsia="zh-CN"/>
              </w:rPr>
              <w:t xml:space="preserve">            </w:t>
            </w:r>
            <w:r>
              <w:rPr>
                <w:rFonts w:hint="eastAsia" w:asciiTheme="minorEastAsia" w:hAnsiTheme="minorEastAsia" w:eastAsiaTheme="minorEastAsia" w:cstheme="minorEastAsia"/>
                <w:color w:val="000000" w:themeColor="text1"/>
                <w:spacing w:val="-110"/>
                <w:lang w:eastAsia="zh-CN"/>
              </w:rPr>
              <w:t xml:space="preserve"> </w:t>
            </w:r>
            <w:r>
              <w:rPr>
                <w:rFonts w:hint="eastAsia" w:asciiTheme="minorEastAsia" w:hAnsiTheme="minorEastAsia" w:eastAsiaTheme="minorEastAsia" w:cstheme="minorEastAsia"/>
                <w:color w:val="000000" w:themeColor="text1"/>
                <w:spacing w:val="-4"/>
                <w:lang w:eastAsia="zh-CN"/>
              </w:rPr>
              <w:t>违背</w:t>
            </w:r>
            <w:r>
              <w:rPr>
                <w:rFonts w:hint="eastAsia" w:asciiTheme="minorEastAsia" w:hAnsiTheme="minorEastAsia" w:eastAsiaTheme="minorEastAsia" w:cstheme="minorEastAsia"/>
                <w:color w:val="000000" w:themeColor="text1"/>
                <w:lang w:eastAsia="zh-CN"/>
              </w:rPr>
              <w:t xml:space="preserve"> </w:t>
            </w:r>
            <w:r>
              <w:rPr>
                <w:rFonts w:hint="eastAsia" w:asciiTheme="minorEastAsia" w:hAnsiTheme="minorEastAsia" w:eastAsiaTheme="minorEastAsia" w:cstheme="minorEastAsia"/>
                <w:color w:val="000000" w:themeColor="text1"/>
                <w:spacing w:val="-7"/>
                <w:lang w:eastAsia="zh-CN"/>
              </w:rPr>
              <w:t>《</w:t>
            </w:r>
            <w:r>
              <w:rPr>
                <w:rFonts w:hint="eastAsia" w:asciiTheme="minorEastAsia" w:hAnsiTheme="minorEastAsia" w:eastAsiaTheme="minorEastAsia" w:cstheme="minorEastAsia"/>
                <w:color w:val="000000" w:themeColor="text1"/>
                <w:spacing w:val="1"/>
                <w:u w:val="single"/>
                <w:lang w:eastAsia="zh-CN"/>
              </w:rPr>
              <w:t xml:space="preserve">           </w:t>
            </w:r>
            <w:r>
              <w:rPr>
                <w:rFonts w:hint="eastAsia" w:asciiTheme="minorEastAsia" w:hAnsiTheme="minorEastAsia" w:eastAsiaTheme="minorEastAsia" w:cstheme="minorEastAsia"/>
                <w:color w:val="000000" w:themeColor="text1"/>
                <w:spacing w:val="-7"/>
                <w:u w:val="single"/>
                <w:lang w:eastAsia="zh-CN"/>
              </w:rPr>
              <w:t>法</w:t>
            </w:r>
            <w:r>
              <w:rPr>
                <w:rFonts w:hint="eastAsia" w:asciiTheme="minorEastAsia" w:hAnsiTheme="minorEastAsia" w:eastAsiaTheme="minorEastAsia" w:cstheme="minorEastAsia"/>
                <w:color w:val="000000" w:themeColor="text1"/>
                <w:spacing w:val="-7"/>
                <w:lang w:eastAsia="zh-CN"/>
              </w:rPr>
              <w:t>》第</w:t>
            </w:r>
            <w:r>
              <w:rPr>
                <w:rFonts w:hint="eastAsia" w:asciiTheme="minorEastAsia" w:hAnsiTheme="minorEastAsia" w:eastAsiaTheme="minorEastAsia" w:cstheme="minorEastAsia"/>
                <w:color w:val="000000" w:themeColor="text1"/>
                <w:spacing w:val="-114"/>
                <w:lang w:eastAsia="zh-CN"/>
              </w:rPr>
              <w:t xml:space="preserve"> </w:t>
            </w:r>
            <w:r>
              <w:rPr>
                <w:rFonts w:hint="eastAsia" w:asciiTheme="minorEastAsia" w:hAnsiTheme="minorEastAsia" w:eastAsiaTheme="minorEastAsia" w:cstheme="minorEastAsia"/>
                <w:color w:val="000000" w:themeColor="text1"/>
                <w:u w:val="single"/>
                <w:lang w:eastAsia="zh-CN"/>
              </w:rPr>
              <w:t xml:space="preserve">      </w:t>
            </w:r>
            <w:r>
              <w:rPr>
                <w:rFonts w:hint="eastAsia" w:asciiTheme="minorEastAsia" w:hAnsiTheme="minorEastAsia" w:eastAsiaTheme="minorEastAsia" w:cstheme="minorEastAsia"/>
                <w:color w:val="000000" w:themeColor="text1"/>
                <w:spacing w:val="-106"/>
                <w:lang w:eastAsia="zh-CN"/>
              </w:rPr>
              <w:t xml:space="preserve"> </w:t>
            </w:r>
            <w:r>
              <w:rPr>
                <w:rFonts w:hint="eastAsia" w:asciiTheme="minorEastAsia" w:hAnsiTheme="minorEastAsia" w:eastAsiaTheme="minorEastAsia" w:cstheme="minorEastAsia"/>
                <w:color w:val="000000" w:themeColor="text1"/>
                <w:spacing w:val="-7"/>
                <w:lang w:eastAsia="zh-CN"/>
              </w:rPr>
              <w:t>条的“</w:t>
            </w:r>
            <w:r>
              <w:rPr>
                <w:rFonts w:hint="eastAsia" w:asciiTheme="minorEastAsia" w:hAnsiTheme="minorEastAsia" w:eastAsiaTheme="minorEastAsia" w:cstheme="minorEastAsia"/>
                <w:color w:val="000000" w:themeColor="text1"/>
                <w:u w:val="single"/>
                <w:lang w:eastAsia="zh-CN"/>
              </w:rPr>
              <w:t xml:space="preserve">                      </w:t>
            </w:r>
            <w:r>
              <w:rPr>
                <w:rFonts w:hint="eastAsia" w:asciiTheme="minorEastAsia" w:hAnsiTheme="minorEastAsia" w:eastAsiaTheme="minorEastAsia" w:cstheme="minorEastAsia"/>
                <w:color w:val="000000" w:themeColor="text1"/>
                <w:spacing w:val="-81"/>
                <w:lang w:eastAsia="zh-CN"/>
              </w:rPr>
              <w:t xml:space="preserve"> </w:t>
            </w:r>
            <w:r>
              <w:rPr>
                <w:rFonts w:hint="eastAsia" w:asciiTheme="minorEastAsia" w:hAnsiTheme="minorEastAsia" w:eastAsiaTheme="minorEastAsia" w:cstheme="minorEastAsia"/>
                <w:color w:val="000000" w:themeColor="text1"/>
                <w:spacing w:val="-7"/>
                <w:lang w:eastAsia="zh-CN"/>
              </w:rPr>
              <w:t>”规定，第</w:t>
            </w:r>
            <w:r>
              <w:rPr>
                <w:rFonts w:hint="eastAsia" w:asciiTheme="minorEastAsia" w:hAnsiTheme="minorEastAsia" w:eastAsiaTheme="minorEastAsia" w:cstheme="minorEastAsia"/>
                <w:color w:val="000000" w:themeColor="text1"/>
                <w:spacing w:val="-48"/>
                <w:lang w:eastAsia="zh-CN"/>
              </w:rPr>
              <w:t xml:space="preserve"> </w:t>
            </w:r>
            <w:r>
              <w:rPr>
                <w:rFonts w:hint="eastAsia" w:asciiTheme="minorEastAsia" w:hAnsiTheme="minorEastAsia" w:eastAsiaTheme="minorEastAsia" w:cstheme="minorEastAsia"/>
                <w:color w:val="000000" w:themeColor="text1"/>
                <w:spacing w:val="-7"/>
                <w:lang w:eastAsia="zh-CN"/>
              </w:rPr>
              <w:t>2</w:t>
            </w:r>
            <w:r>
              <w:rPr>
                <w:rFonts w:hint="eastAsia" w:asciiTheme="minorEastAsia" w:hAnsiTheme="minorEastAsia" w:eastAsiaTheme="minorEastAsia" w:cstheme="minorEastAsia"/>
                <w:color w:val="000000" w:themeColor="text1"/>
                <w:spacing w:val="-46"/>
                <w:lang w:eastAsia="zh-CN"/>
              </w:rPr>
              <w:t xml:space="preserve"> </w:t>
            </w:r>
            <w:r>
              <w:rPr>
                <w:rFonts w:hint="eastAsia" w:asciiTheme="minorEastAsia" w:hAnsiTheme="minorEastAsia" w:eastAsiaTheme="minorEastAsia" w:cstheme="minorEastAsia"/>
                <w:color w:val="000000" w:themeColor="text1"/>
                <w:spacing w:val="-7"/>
                <w:lang w:eastAsia="zh-CN"/>
              </w:rPr>
              <w:t>项</w:t>
            </w:r>
            <w:r>
              <w:rPr>
                <w:rFonts w:hint="eastAsia" w:asciiTheme="minorEastAsia" w:hAnsiTheme="minorEastAsia" w:eastAsiaTheme="minorEastAsia" w:cstheme="minorEastAsia"/>
                <w:color w:val="000000" w:themeColor="text1"/>
                <w:spacing w:val="-119"/>
                <w:lang w:eastAsia="zh-CN"/>
              </w:rPr>
              <w:t xml:space="preserve"> </w:t>
            </w:r>
            <w:r>
              <w:rPr>
                <w:rFonts w:hint="eastAsia" w:asciiTheme="minorEastAsia" w:hAnsiTheme="minorEastAsia" w:eastAsiaTheme="minorEastAsia" w:cstheme="minorEastAsia"/>
                <w:color w:val="000000" w:themeColor="text1"/>
                <w:u w:val="single"/>
                <w:lang w:eastAsia="zh-CN"/>
              </w:rPr>
              <w:t xml:space="preserve">          </w:t>
            </w:r>
            <w:r>
              <w:rPr>
                <w:rFonts w:hint="eastAsia" w:asciiTheme="minorEastAsia" w:hAnsiTheme="minorEastAsia" w:eastAsiaTheme="minorEastAsia" w:cstheme="minorEastAsia"/>
                <w:color w:val="000000" w:themeColor="text1"/>
                <w:spacing w:val="-107"/>
                <w:lang w:eastAsia="zh-CN"/>
              </w:rPr>
              <w:t xml:space="preserve"> </w:t>
            </w:r>
            <w:r>
              <w:rPr>
                <w:rFonts w:hint="eastAsia" w:asciiTheme="minorEastAsia" w:hAnsiTheme="minorEastAsia" w:eastAsiaTheme="minorEastAsia" w:cstheme="minorEastAsia"/>
                <w:color w:val="000000" w:themeColor="text1"/>
                <w:spacing w:val="-7"/>
                <w:lang w:eastAsia="zh-CN"/>
              </w:rPr>
              <w:t>违</w:t>
            </w:r>
          </w:p>
          <w:p w14:paraId="227A84B9">
            <w:pPr>
              <w:pStyle w:val="25"/>
              <w:spacing w:before="1" w:line="219" w:lineRule="auto"/>
              <w:ind w:left="122"/>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背《</w:t>
            </w:r>
            <w:r>
              <w:rPr>
                <w:rFonts w:hint="eastAsia" w:asciiTheme="minorEastAsia" w:hAnsiTheme="minorEastAsia" w:eastAsiaTheme="minorEastAsia" w:cstheme="minorEastAsia"/>
                <w:color w:val="000000" w:themeColor="text1"/>
                <w:spacing w:val="-97"/>
                <w:lang w:eastAsia="zh-CN"/>
              </w:rPr>
              <w:t xml:space="preserve"> </w:t>
            </w:r>
            <w:r>
              <w:rPr>
                <w:rFonts w:hint="eastAsia" w:asciiTheme="minorEastAsia" w:hAnsiTheme="minorEastAsia" w:eastAsiaTheme="minorEastAsia" w:cstheme="minorEastAsia"/>
                <w:color w:val="000000" w:themeColor="text1"/>
                <w:spacing w:val="-1"/>
                <w:u w:val="single"/>
                <w:lang w:eastAsia="zh-CN"/>
              </w:rPr>
              <w:t xml:space="preserve">              法</w:t>
            </w:r>
            <w:r>
              <w:rPr>
                <w:rFonts w:hint="eastAsia" w:asciiTheme="minorEastAsia" w:hAnsiTheme="minorEastAsia" w:eastAsiaTheme="minorEastAsia" w:cstheme="minorEastAsia"/>
                <w:color w:val="000000" w:themeColor="text1"/>
                <w:spacing w:val="-1"/>
                <w:lang w:eastAsia="zh-CN"/>
              </w:rPr>
              <w:t>》第</w:t>
            </w:r>
            <w:r>
              <w:rPr>
                <w:rFonts w:hint="eastAsia" w:asciiTheme="minorEastAsia" w:hAnsiTheme="minorEastAsia" w:eastAsiaTheme="minorEastAsia" w:cstheme="minorEastAsia"/>
                <w:color w:val="000000" w:themeColor="text1"/>
                <w:spacing w:val="-1"/>
                <w:u w:val="single"/>
                <w:lang w:eastAsia="zh-CN"/>
              </w:rPr>
              <w:t xml:space="preserve">   </w:t>
            </w:r>
            <w:r>
              <w:rPr>
                <w:rFonts w:hint="eastAsia" w:asciiTheme="minorEastAsia" w:hAnsiTheme="minorEastAsia" w:eastAsiaTheme="minorEastAsia" w:cstheme="minorEastAsia"/>
                <w:color w:val="000000" w:themeColor="text1"/>
                <w:spacing w:val="-109"/>
                <w:lang w:eastAsia="zh-CN"/>
              </w:rPr>
              <w:t xml:space="preserve"> </w:t>
            </w:r>
            <w:r>
              <w:rPr>
                <w:rFonts w:hint="eastAsia" w:asciiTheme="minorEastAsia" w:hAnsiTheme="minorEastAsia" w:eastAsiaTheme="minorEastAsia" w:cstheme="minorEastAsia"/>
                <w:color w:val="000000" w:themeColor="text1"/>
                <w:spacing w:val="-1"/>
                <w:lang w:eastAsia="zh-CN"/>
              </w:rPr>
              <w:t>条</w:t>
            </w:r>
            <w:r>
              <w:rPr>
                <w:rFonts w:hint="eastAsia" w:asciiTheme="minorEastAsia" w:hAnsiTheme="minorEastAsia" w:eastAsiaTheme="minorEastAsia" w:cstheme="minorEastAsia"/>
                <w:color w:val="000000" w:themeColor="text1"/>
                <w:spacing w:val="-2"/>
                <w:lang w:eastAsia="zh-CN"/>
              </w:rPr>
              <w:t>的规定，请予审查纠正为盼。</w:t>
            </w:r>
          </w:p>
          <w:p w14:paraId="34082F6C">
            <w:pPr>
              <w:pStyle w:val="25"/>
              <w:spacing w:before="214" w:line="384" w:lineRule="auto"/>
              <w:ind w:left="3599"/>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异议人(全称并加</w:t>
            </w:r>
            <w:r>
              <w:rPr>
                <w:rFonts w:hint="eastAsia" w:asciiTheme="minorEastAsia" w:hAnsiTheme="minorEastAsia" w:eastAsiaTheme="minorEastAsia" w:cstheme="minorEastAsia"/>
                <w:color w:val="000000" w:themeColor="text1"/>
                <w:spacing w:val="-1"/>
                <w:u w:val="single"/>
                <w:lang w:eastAsia="zh-CN"/>
              </w:rPr>
              <w:t>盖</w:t>
            </w:r>
            <w:r>
              <w:rPr>
                <w:rFonts w:hint="eastAsia" w:asciiTheme="minorEastAsia" w:hAnsiTheme="minorEastAsia" w:eastAsiaTheme="minorEastAsia" w:cstheme="minorEastAsia"/>
                <w:color w:val="000000" w:themeColor="text1"/>
                <w:spacing w:val="-1"/>
                <w:lang w:eastAsia="zh-CN"/>
              </w:rPr>
              <w:t>公章)：</w:t>
            </w:r>
          </w:p>
          <w:p w14:paraId="59B19BB6">
            <w:pPr>
              <w:pStyle w:val="25"/>
              <w:spacing w:line="219" w:lineRule="auto"/>
              <w:ind w:left="3597"/>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法定代表人签字：</w:t>
            </w:r>
          </w:p>
          <w:p w14:paraId="4201156E">
            <w:pPr>
              <w:pStyle w:val="25"/>
              <w:spacing w:before="217" w:line="219" w:lineRule="auto"/>
              <w:ind w:left="3595"/>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委托人签字：</w:t>
            </w:r>
          </w:p>
          <w:p w14:paraId="611A8034">
            <w:pPr>
              <w:pStyle w:val="25"/>
              <w:spacing w:before="214" w:line="384" w:lineRule="auto"/>
              <w:ind w:left="359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地址：</w:t>
            </w:r>
            <w:r>
              <w:rPr>
                <w:rFonts w:hint="eastAsia" w:asciiTheme="minorEastAsia" w:hAnsiTheme="minorEastAsia" w:eastAsiaTheme="minorEastAsia" w:cstheme="minorEastAsia"/>
                <w:color w:val="000000" w:themeColor="text1"/>
                <w:spacing w:val="-2"/>
                <w:u w:val="single"/>
                <w:lang w:eastAsia="zh-CN"/>
              </w:rPr>
              <w:t xml:space="preserve">      </w:t>
            </w:r>
            <w:r>
              <w:rPr>
                <w:rFonts w:hint="eastAsia" w:asciiTheme="minorEastAsia" w:hAnsiTheme="minorEastAsia" w:eastAsiaTheme="minorEastAsia" w:cstheme="minorEastAsia"/>
                <w:color w:val="000000" w:themeColor="text1"/>
                <w:spacing w:val="-103"/>
                <w:lang w:eastAsia="zh-CN"/>
              </w:rPr>
              <w:t xml:space="preserve"> </w:t>
            </w:r>
            <w:r>
              <w:rPr>
                <w:rFonts w:hint="eastAsia" w:asciiTheme="minorEastAsia" w:hAnsiTheme="minorEastAsia" w:eastAsiaTheme="minorEastAsia" w:cstheme="minorEastAsia"/>
                <w:color w:val="000000" w:themeColor="text1"/>
                <w:spacing w:val="-2"/>
                <w:lang w:eastAsia="zh-CN"/>
              </w:rPr>
              <w:t>联系电话：</w:t>
            </w:r>
          </w:p>
          <w:p w14:paraId="6A7F18EB">
            <w:pPr>
              <w:pStyle w:val="25"/>
              <w:spacing w:before="1" w:line="218" w:lineRule="auto"/>
              <w:ind w:left="3613"/>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邮编：</w:t>
            </w:r>
            <w:r>
              <w:rPr>
                <w:rFonts w:hint="eastAsia" w:asciiTheme="minorEastAsia" w:hAnsiTheme="minorEastAsia" w:eastAsiaTheme="minorEastAsia" w:cstheme="minorEastAsia"/>
                <w:color w:val="000000" w:themeColor="text1"/>
                <w:spacing w:val="-3"/>
                <w:u w:val="single"/>
                <w:lang w:eastAsia="zh-CN"/>
              </w:rPr>
              <w:t xml:space="preserve">      </w:t>
            </w:r>
            <w:r>
              <w:rPr>
                <w:rFonts w:hint="eastAsia" w:asciiTheme="minorEastAsia" w:hAnsiTheme="minorEastAsia" w:eastAsiaTheme="minorEastAsia" w:cstheme="minorEastAsia"/>
                <w:color w:val="000000" w:themeColor="text1"/>
                <w:spacing w:val="-113"/>
                <w:lang w:eastAsia="zh-CN"/>
              </w:rPr>
              <w:t xml:space="preserve"> </w:t>
            </w:r>
            <w:r>
              <w:rPr>
                <w:rFonts w:hint="eastAsia" w:asciiTheme="minorEastAsia" w:hAnsiTheme="minorEastAsia" w:eastAsiaTheme="minorEastAsia" w:cstheme="minorEastAsia"/>
                <w:color w:val="000000" w:themeColor="text1"/>
                <w:spacing w:val="-3"/>
                <w:lang w:eastAsia="zh-CN"/>
              </w:rPr>
              <w:t>传真：</w:t>
            </w:r>
          </w:p>
          <w:p w14:paraId="4BF3218A">
            <w:pPr>
              <w:pStyle w:val="25"/>
              <w:spacing w:before="218" w:line="220" w:lineRule="auto"/>
              <w:ind w:left="3637"/>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7"/>
                <w:lang w:eastAsia="zh-CN"/>
              </w:rPr>
              <w:t>日期：</w:t>
            </w:r>
          </w:p>
          <w:p w14:paraId="411B4727">
            <w:pPr>
              <w:pStyle w:val="25"/>
              <w:spacing w:before="213" w:line="499" w:lineRule="exact"/>
              <w:ind w:left="11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position w:val="19"/>
                <w:lang w:eastAsia="zh-CN"/>
              </w:rPr>
              <w:t>注：异议人提供的资料应包括但不限于以下内容：</w:t>
            </w:r>
          </w:p>
          <w:p w14:paraId="1C8BBAF3">
            <w:pPr>
              <w:pStyle w:val="25"/>
              <w:spacing w:before="1" w:line="218" w:lineRule="auto"/>
              <w:ind w:left="613"/>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2"/>
                <w:lang w:eastAsia="zh-CN"/>
              </w:rPr>
              <w:t>1、加盖公章法定代表人授权书原件；</w:t>
            </w:r>
          </w:p>
          <w:p w14:paraId="2DC4BFFE">
            <w:pPr>
              <w:pStyle w:val="25"/>
              <w:spacing w:before="217" w:line="219" w:lineRule="auto"/>
              <w:ind w:left="599"/>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2、明确的请求和加盖公章证明材料。</w:t>
            </w:r>
          </w:p>
        </w:tc>
      </w:tr>
    </w:tbl>
    <w:p w14:paraId="70F21FF8">
      <w:pPr>
        <w:spacing w:before="98" w:line="219" w:lineRule="auto"/>
        <w:ind w:left="51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14.4</w:t>
      </w:r>
      <w:r>
        <w:rPr>
          <w:rFonts w:hint="eastAsia" w:asciiTheme="minorEastAsia" w:hAnsiTheme="minorEastAsia" w:eastAsiaTheme="minorEastAsia" w:cstheme="minorEastAsia"/>
          <w:color w:val="000000" w:themeColor="text1"/>
          <w:spacing w:val="-3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下列情形的异议将不予受理：</w:t>
      </w:r>
    </w:p>
    <w:p w14:paraId="5320F38F">
      <w:pPr>
        <w:spacing w:before="96" w:line="217" w:lineRule="auto"/>
        <w:ind w:left="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①异议人不是所投诉招标投标活动的参与者，或者与投诉</w:t>
      </w:r>
      <w:r>
        <w:rPr>
          <w:rFonts w:hint="eastAsia" w:asciiTheme="minorEastAsia" w:hAnsiTheme="minorEastAsia" w:eastAsiaTheme="minorEastAsia" w:cstheme="minorEastAsia"/>
          <w:color w:val="000000" w:themeColor="text1"/>
          <w:spacing w:val="-1"/>
          <w:sz w:val="24"/>
          <w:szCs w:val="24"/>
          <w:lang w:eastAsia="zh-CN"/>
        </w:rPr>
        <w:t>项目无任何利害关系；</w:t>
      </w:r>
    </w:p>
    <w:p w14:paraId="6A6FFBB1">
      <w:pPr>
        <w:spacing w:before="97" w:line="217"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②异议事项不具体，且未提供有效线索，难以查证的；</w:t>
      </w:r>
    </w:p>
    <w:p w14:paraId="6833A38A">
      <w:pPr>
        <w:spacing w:before="97" w:line="256" w:lineRule="auto"/>
        <w:ind w:left="17" w:right="653" w:firstLine="47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③异议未署具投诉人真实姓名、签字和有效联系方式的；以法人名义投诉的，异议</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未经法定代表人签字并加盖公章的；</w:t>
      </w:r>
    </w:p>
    <w:p w14:paraId="73863F03">
      <w:pPr>
        <w:spacing w:before="95" w:line="217"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④超过异议时效的。</w:t>
      </w:r>
    </w:p>
    <w:p w14:paraId="4C76EE6F">
      <w:pPr>
        <w:spacing w:before="98" w:line="256" w:lineRule="auto"/>
        <w:ind w:left="13" w:right="653" w:firstLine="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⑤涉及招标评标过程具体细节、其他投标人的商业秘密或其他投标人的投标文件具</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体内容但未能说明内容真实性和来源合法性的。</w:t>
      </w:r>
    </w:p>
    <w:p w14:paraId="74ED20EE">
      <w:pPr>
        <w:spacing w:before="94" w:line="219" w:lineRule="auto"/>
        <w:ind w:left="51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14.5</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异议的受理</w:t>
      </w:r>
    </w:p>
    <w:p w14:paraId="2643F153">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14" w:type="default"/>
          <w:pgSz w:w="11906" w:h="16839"/>
          <w:pgMar w:top="1431" w:right="764" w:bottom="1260" w:left="1412" w:header="0" w:footer="1013" w:gutter="0"/>
          <w:pgNumType w:fmt="decimal"/>
          <w:cols w:space="720" w:num="1"/>
        </w:sectPr>
      </w:pPr>
    </w:p>
    <w:p w14:paraId="633EAEE1">
      <w:pPr>
        <w:spacing w:before="106" w:line="268" w:lineRule="auto"/>
        <w:ind w:left="7" w:right="80" w:firstLine="492"/>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14.5.1</w:t>
      </w:r>
      <w:r>
        <w:rPr>
          <w:rFonts w:hint="eastAsia" w:asciiTheme="minorEastAsia" w:hAnsiTheme="minorEastAsia" w:eastAsiaTheme="minorEastAsia" w:cstheme="minorEastAsia"/>
          <w:color w:val="000000" w:themeColor="text1"/>
          <w:spacing w:val="-4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招标代理机构审查投标人提供的书面材料，内容不符合规定的，一次性书面</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告知投标人修改或补充后在规定的期限内重新提出异议，重新提出异议日期为提出异议</w:t>
      </w:r>
      <w:r>
        <w:rPr>
          <w:rFonts w:hint="eastAsia" w:asciiTheme="minorEastAsia" w:hAnsiTheme="minorEastAsia" w:eastAsiaTheme="minorEastAsia" w:cstheme="minorEastAsia"/>
          <w:color w:val="000000" w:themeColor="text1"/>
          <w:spacing w:val="1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日期，符合条件的，予以受理。</w:t>
      </w:r>
    </w:p>
    <w:p w14:paraId="787D4EBA">
      <w:pPr>
        <w:spacing w:before="97" w:line="267" w:lineRule="auto"/>
        <w:ind w:left="1" w:right="80" w:firstLine="497"/>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14.6</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异议人应保证异议、投诉的真实性和可靠性，并承担相应的法律责任。对捏造</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事实或者提供虚假投诉材料的，报送监管部门后将被列入不良行为记录名单并在相关网</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站予以公布。</w:t>
      </w:r>
    </w:p>
    <w:p w14:paraId="6695D6BD">
      <w:pPr>
        <w:spacing w:before="97" w:line="274" w:lineRule="auto"/>
        <w:ind w:left="2" w:firstLine="496"/>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14.7 投标人或者其他利害关系人认为招标投标活动不符合法律、行政法规规定的，</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可以自知道或者应当知道之日起</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10 日内向投标人须知前附表所述招标项目行政监督管</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理部门投诉。投诉应当有明确的请求和必要的证明材料。但对招标文件、资格预审文件、</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开标或评标结果投诉的，应当先向招标人提出异议。</w:t>
      </w:r>
    </w:p>
    <w:p w14:paraId="72C9E30D">
      <w:pPr>
        <w:spacing w:before="94" w:line="219" w:lineRule="auto"/>
        <w:ind w:left="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15.招标项目行政监督部门</w:t>
      </w:r>
    </w:p>
    <w:p w14:paraId="31E1F16B">
      <w:pPr>
        <w:spacing w:before="94" w:line="219" w:lineRule="auto"/>
        <w:ind w:left="4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15.1</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招标项目行政监督部门可视情依法派员对本招标活动的全程进</w:t>
      </w:r>
      <w:r>
        <w:rPr>
          <w:rFonts w:hint="eastAsia" w:asciiTheme="minorEastAsia" w:hAnsiTheme="minorEastAsia" w:eastAsiaTheme="minorEastAsia" w:cstheme="minorEastAsia"/>
          <w:color w:val="000000" w:themeColor="text1"/>
          <w:spacing w:val="-2"/>
          <w:sz w:val="24"/>
          <w:szCs w:val="24"/>
          <w:lang w:eastAsia="zh-CN"/>
        </w:rPr>
        <w:t>行监督。</w:t>
      </w:r>
    </w:p>
    <w:p w14:paraId="3684D93B">
      <w:pPr>
        <w:pStyle w:val="8"/>
        <w:spacing w:line="395" w:lineRule="auto"/>
        <w:rPr>
          <w:rFonts w:hint="eastAsia" w:asciiTheme="minorEastAsia" w:hAnsiTheme="minorEastAsia" w:eastAsiaTheme="minorEastAsia" w:cstheme="minorEastAsia"/>
          <w:color w:val="000000" w:themeColor="text1"/>
          <w:lang w:eastAsia="zh-CN"/>
        </w:rPr>
      </w:pPr>
    </w:p>
    <w:p w14:paraId="7920DEFC">
      <w:pPr>
        <w:spacing w:before="78" w:line="219" w:lineRule="auto"/>
        <w:ind w:left="333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八、本项目的有关信息</w:t>
      </w:r>
    </w:p>
    <w:p w14:paraId="5670BD16">
      <w:pPr>
        <w:spacing w:before="94" w:line="268" w:lineRule="auto"/>
        <w:ind w:right="80" w:firstLine="19"/>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16、本项目的有关信息，包括但不限于：招标公告、更正公告（若有）、招标文件、招</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标文件的澄清或修改（若有）、中标公告、</w:t>
      </w:r>
      <w:r>
        <w:rPr>
          <w:rFonts w:hint="eastAsia" w:asciiTheme="minorEastAsia" w:hAnsiTheme="minorEastAsia" w:eastAsiaTheme="minorEastAsia" w:cstheme="minorEastAsia"/>
          <w:color w:val="000000" w:themeColor="text1"/>
          <w:spacing w:val="-2"/>
          <w:sz w:val="24"/>
          <w:szCs w:val="24"/>
          <w:lang w:eastAsia="zh-CN"/>
        </w:rPr>
        <w:t>终止公告（若有）、废标公告（若有）等都</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将在招标文件载明的公告媒体发布。</w:t>
      </w:r>
    </w:p>
    <w:p w14:paraId="3B664B86">
      <w:pPr>
        <w:spacing w:before="96" w:line="218"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16.1</w:t>
      </w:r>
      <w:r>
        <w:rPr>
          <w:rFonts w:hint="eastAsia" w:asciiTheme="minorEastAsia" w:hAnsiTheme="minorEastAsia" w:eastAsiaTheme="minorEastAsia" w:cstheme="minorEastAsia"/>
          <w:color w:val="000000" w:themeColor="text1"/>
          <w:spacing w:val="-3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公告媒体：详见招标文件第二章。</w:t>
      </w:r>
    </w:p>
    <w:p w14:paraId="32EDF551">
      <w:pPr>
        <w:spacing w:before="98" w:line="256" w:lineRule="auto"/>
        <w:ind w:left="2" w:right="80" w:firstLine="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16.2</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本项目的潜在投标人或投标人应随时关注公告媒体，否则产生不利后果由其自行承</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担。</w:t>
      </w:r>
    </w:p>
    <w:p w14:paraId="6037E276">
      <w:pPr>
        <w:spacing w:before="93" w:line="220" w:lineRule="auto"/>
        <w:ind w:left="38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九、其他事项</w:t>
      </w:r>
    </w:p>
    <w:p w14:paraId="6EB324DB">
      <w:pPr>
        <w:spacing w:before="95"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17、其他事项：详见招标文件第二章。</w:t>
      </w:r>
    </w:p>
    <w:p w14:paraId="6298288D">
      <w:pPr>
        <w:pStyle w:val="8"/>
        <w:spacing w:line="345" w:lineRule="auto"/>
        <w:rPr>
          <w:rFonts w:hint="eastAsia" w:asciiTheme="minorEastAsia" w:hAnsiTheme="minorEastAsia" w:eastAsiaTheme="minorEastAsia" w:cstheme="minorEastAsia"/>
          <w:color w:val="000000" w:themeColor="text1"/>
          <w:lang w:eastAsia="zh-CN"/>
        </w:rPr>
      </w:pPr>
    </w:p>
    <w:p w14:paraId="233E2A43">
      <w:pPr>
        <w:spacing w:before="92" w:line="417" w:lineRule="exact"/>
        <w:ind w:left="2993"/>
        <w:rPr>
          <w:rFonts w:hint="eastAsia"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b/>
          <w:bCs/>
          <w:color w:val="000000" w:themeColor="text1"/>
          <w:spacing w:val="-6"/>
          <w:position w:val="9"/>
          <w:sz w:val="28"/>
          <w:szCs w:val="28"/>
          <w:lang w:eastAsia="zh-CN"/>
        </w:rPr>
        <w:t>第四章</w:t>
      </w:r>
      <w:r>
        <w:rPr>
          <w:rFonts w:hint="eastAsia" w:asciiTheme="minorEastAsia" w:hAnsiTheme="minorEastAsia" w:eastAsiaTheme="minorEastAsia" w:cstheme="minorEastAsia"/>
          <w:color w:val="000000" w:themeColor="text1"/>
          <w:spacing w:val="16"/>
          <w:position w:val="9"/>
          <w:sz w:val="28"/>
          <w:szCs w:val="28"/>
          <w:lang w:eastAsia="zh-CN"/>
        </w:rPr>
        <w:t xml:space="preserve">  </w:t>
      </w:r>
      <w:r>
        <w:rPr>
          <w:rFonts w:hint="eastAsia" w:asciiTheme="minorEastAsia" w:hAnsiTheme="minorEastAsia" w:eastAsiaTheme="minorEastAsia" w:cstheme="minorEastAsia"/>
          <w:b/>
          <w:bCs/>
          <w:color w:val="000000" w:themeColor="text1"/>
          <w:spacing w:val="-6"/>
          <w:position w:val="9"/>
          <w:sz w:val="28"/>
          <w:szCs w:val="28"/>
          <w:lang w:eastAsia="zh-CN"/>
        </w:rPr>
        <w:t>资格审查与评标</w:t>
      </w:r>
    </w:p>
    <w:p w14:paraId="0782BF72">
      <w:pPr>
        <w:spacing w:line="219" w:lineRule="auto"/>
        <w:ind w:left="38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一、资格审查</w:t>
      </w:r>
    </w:p>
    <w:p w14:paraId="0DFCA46A">
      <w:pPr>
        <w:spacing w:before="93" w:line="256" w:lineRule="auto"/>
        <w:ind w:left="1" w:right="152" w:firstLine="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1、开标结束后，由</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负责资格审查小组的组建及资</w:t>
      </w:r>
      <w:r>
        <w:rPr>
          <w:rFonts w:hint="eastAsia" w:asciiTheme="minorEastAsia" w:hAnsiTheme="minorEastAsia" w:eastAsiaTheme="minorEastAsia" w:cstheme="minorEastAsia"/>
          <w:color w:val="000000" w:themeColor="text1"/>
          <w:spacing w:val="-2"/>
          <w:sz w:val="24"/>
          <w:szCs w:val="24"/>
          <w:lang w:eastAsia="zh-CN"/>
        </w:rPr>
        <w:t>格审查工作的组织。</w:t>
      </w:r>
    </w:p>
    <w:p w14:paraId="4A9DB520">
      <w:pPr>
        <w:spacing w:before="95" w:line="268" w:lineRule="auto"/>
        <w:ind w:right="92" w:firstLine="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w:t>
      </w:r>
      <w:r>
        <w:rPr>
          <w:rFonts w:hint="eastAsia" w:asciiTheme="minorEastAsia" w:hAnsiTheme="minorEastAsia" w:eastAsiaTheme="minorEastAsia" w:cstheme="minorEastAsia"/>
          <w:color w:val="000000" w:themeColor="text1"/>
          <w:spacing w:val="-36"/>
          <w:sz w:val="24"/>
          <w:szCs w:val="24"/>
          <w:lang w:eastAsia="zh-CN"/>
        </w:rPr>
        <w:t xml:space="preserve"> 资格审查由评标委员会负责具体审查事务</w:t>
      </w:r>
      <w:r>
        <w:rPr>
          <w:rFonts w:hint="eastAsia" w:asciiTheme="minorEastAsia" w:hAnsiTheme="minorEastAsia" w:eastAsiaTheme="minorEastAsia" w:cstheme="minorEastAsia"/>
          <w:color w:val="000000" w:themeColor="text1"/>
          <w:spacing w:val="-1"/>
          <w:sz w:val="24"/>
          <w:szCs w:val="24"/>
          <w:lang w:eastAsia="zh-CN"/>
        </w:rPr>
        <w:t>。</w:t>
      </w:r>
    </w:p>
    <w:p w14:paraId="79EF2906">
      <w:pPr>
        <w:spacing w:before="96"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1.2</w:t>
      </w:r>
      <w:r>
        <w:rPr>
          <w:rFonts w:hint="eastAsia" w:asciiTheme="minorEastAsia" w:hAnsiTheme="minorEastAsia" w:eastAsiaTheme="minorEastAsia" w:cstheme="minorEastAsia"/>
          <w:color w:val="000000" w:themeColor="text1"/>
          <w:spacing w:val="-2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资格审查的依据是招标文件和投标文件。</w:t>
      </w:r>
    </w:p>
    <w:p w14:paraId="7BCC0746">
      <w:pPr>
        <w:spacing w:before="95" w:line="256" w:lineRule="auto"/>
        <w:ind w:left="372" w:right="1112" w:hanging="35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1.3</w:t>
      </w:r>
      <w:r>
        <w:rPr>
          <w:rFonts w:hint="eastAsia" w:asciiTheme="minorEastAsia" w:hAnsiTheme="minorEastAsia" w:eastAsiaTheme="minorEastAsia" w:cstheme="minorEastAsia"/>
          <w:color w:val="000000" w:themeColor="text1"/>
          <w:spacing w:val="-39"/>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资格审查的范围及内容：投标文件（资格及资信证明部分</w:t>
      </w:r>
      <w:r>
        <w:rPr>
          <w:rFonts w:hint="eastAsia" w:asciiTheme="minorEastAsia" w:hAnsiTheme="minorEastAsia" w:eastAsiaTheme="minorEastAsia" w:cstheme="minorEastAsia"/>
          <w:color w:val="000000" w:themeColor="text1"/>
          <w:spacing w:val="11"/>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具体如下：</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（1）“投标函</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w:t>
      </w:r>
    </w:p>
    <w:p w14:paraId="5E228B56">
      <w:pPr>
        <w:spacing w:before="96" w:line="219" w:lineRule="auto"/>
        <w:ind w:left="3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（2）“投标人的资格及资信证明文件</w:t>
      </w:r>
      <w:r>
        <w:rPr>
          <w:rFonts w:hint="eastAsia" w:asciiTheme="minorEastAsia" w:hAnsiTheme="minorEastAsia" w:eastAsiaTheme="minorEastAsia" w:cstheme="minorEastAsia"/>
          <w:color w:val="000000" w:themeColor="text1"/>
          <w:spacing w:val="-8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w:t>
      </w:r>
    </w:p>
    <w:p w14:paraId="2260A5AB">
      <w:pPr>
        <w:spacing w:before="94" w:line="379" w:lineRule="exact"/>
        <w:ind w:left="6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①一般资格证明文件：详见招标文件第一章。</w:t>
      </w:r>
    </w:p>
    <w:p w14:paraId="55A7F75C">
      <w:pPr>
        <w:spacing w:line="217" w:lineRule="auto"/>
        <w:ind w:left="6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②其他资格证明文件：详见招标文件第一章。</w:t>
      </w:r>
    </w:p>
    <w:p w14:paraId="22C9AC36">
      <w:pPr>
        <w:spacing w:line="217" w:lineRule="auto"/>
        <w:rPr>
          <w:rFonts w:hint="eastAsia" w:asciiTheme="minorEastAsia" w:hAnsiTheme="minorEastAsia" w:eastAsiaTheme="minorEastAsia" w:cstheme="minorEastAsia"/>
          <w:color w:val="000000" w:themeColor="text1"/>
          <w:sz w:val="24"/>
          <w:szCs w:val="24"/>
          <w:lang w:eastAsia="zh-CN"/>
        </w:rPr>
        <w:sectPr>
          <w:footerReference r:id="rId15" w:type="default"/>
          <w:pgSz w:w="11906" w:h="16839"/>
          <w:pgMar w:top="1431" w:right="1337" w:bottom="1260" w:left="1423" w:header="0" w:footer="1013" w:gutter="0"/>
          <w:pgNumType w:fmt="decimal"/>
          <w:cols w:space="720" w:num="1"/>
        </w:sectPr>
      </w:pPr>
    </w:p>
    <w:p w14:paraId="0DB2D0E4">
      <w:pPr>
        <w:spacing w:before="108" w:line="220" w:lineRule="auto"/>
        <w:ind w:left="38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（3）投标保证金。</w:t>
      </w:r>
    </w:p>
    <w:p w14:paraId="5CCFAD0E">
      <w:pPr>
        <w:spacing w:before="93" w:line="379" w:lineRule="exact"/>
        <w:ind w:left="15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0"/>
          <w:sz w:val="24"/>
          <w:szCs w:val="24"/>
          <w:lang w:eastAsia="zh-CN"/>
        </w:rPr>
        <w:t>1.4</w:t>
      </w:r>
      <w:r>
        <w:rPr>
          <w:rFonts w:hint="eastAsia" w:asciiTheme="minorEastAsia" w:hAnsiTheme="minorEastAsia" w:eastAsiaTheme="minorEastAsia" w:cstheme="minorEastAsia"/>
          <w:color w:val="000000" w:themeColor="text1"/>
          <w:spacing w:val="-44"/>
          <w:position w:val="10"/>
          <w:sz w:val="24"/>
          <w:szCs w:val="24"/>
          <w:lang w:eastAsia="zh-CN"/>
        </w:rPr>
        <w:t xml:space="preserve"> </w:t>
      </w:r>
      <w:r>
        <w:rPr>
          <w:rFonts w:hint="eastAsia" w:asciiTheme="minorEastAsia" w:hAnsiTheme="minorEastAsia" w:eastAsiaTheme="minorEastAsia" w:cstheme="minorEastAsia"/>
          <w:color w:val="000000" w:themeColor="text1"/>
          <w:spacing w:val="-3"/>
          <w:position w:val="10"/>
          <w:sz w:val="24"/>
          <w:szCs w:val="24"/>
          <w:lang w:eastAsia="zh-CN"/>
        </w:rPr>
        <w:t>有下列情形之一的，</w:t>
      </w:r>
      <w:r>
        <w:rPr>
          <w:rFonts w:hint="eastAsia" w:asciiTheme="minorEastAsia" w:hAnsiTheme="minorEastAsia" w:eastAsiaTheme="minorEastAsia" w:cstheme="minorEastAsia"/>
          <w:b/>
          <w:bCs/>
          <w:color w:val="000000" w:themeColor="text1"/>
          <w:spacing w:val="-3"/>
          <w:position w:val="10"/>
          <w:sz w:val="24"/>
          <w:szCs w:val="24"/>
          <w:lang w:eastAsia="zh-CN"/>
        </w:rPr>
        <w:t>资格审查不合格：</w:t>
      </w:r>
    </w:p>
    <w:p w14:paraId="33AC9E00">
      <w:pPr>
        <w:spacing w:before="1" w:line="216" w:lineRule="auto"/>
        <w:ind w:left="504"/>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3"/>
          <w:sz w:val="24"/>
          <w:szCs w:val="24"/>
        </w:rPr>
        <w:t>（1）一般情形：</w:t>
      </w:r>
    </w:p>
    <w:tbl>
      <w:tblPr>
        <w:tblStyle w:val="24"/>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6"/>
      </w:tblGrid>
      <w:tr w14:paraId="56910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14:paraId="2563A1FF">
            <w:pPr>
              <w:pStyle w:val="25"/>
              <w:spacing w:before="103" w:line="211" w:lineRule="auto"/>
              <w:ind w:left="433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spacing w:val="-19"/>
              </w:rPr>
              <w:t>明细</w:t>
            </w:r>
          </w:p>
        </w:tc>
      </w:tr>
      <w:tr w14:paraId="7D7C0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14:paraId="64FEB8A1">
            <w:pPr>
              <w:pStyle w:val="25"/>
              <w:spacing w:before="99" w:line="211" w:lineRule="auto"/>
              <w:ind w:left="1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未按照招标文件规定提交投标函</w:t>
            </w:r>
          </w:p>
        </w:tc>
      </w:tr>
      <w:tr w14:paraId="4F6CE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14:paraId="51D53786">
            <w:pPr>
              <w:pStyle w:val="25"/>
              <w:spacing w:before="102" w:line="209" w:lineRule="auto"/>
              <w:ind w:left="1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未按照招标文件规定提交投标人的资格及资信文件</w:t>
            </w:r>
          </w:p>
        </w:tc>
      </w:tr>
      <w:tr w14:paraId="3872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14:paraId="3798523A">
            <w:pPr>
              <w:pStyle w:val="25"/>
              <w:spacing w:before="102" w:line="212" w:lineRule="auto"/>
              <w:ind w:left="16"/>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1"/>
                <w:lang w:eastAsia="zh-CN"/>
              </w:rPr>
              <w:t>未按照招标文件规定提交投标保证金</w:t>
            </w:r>
          </w:p>
        </w:tc>
      </w:tr>
    </w:tbl>
    <w:p w14:paraId="6E1DB8AF">
      <w:pPr>
        <w:spacing w:before="99" w:line="219" w:lineRule="auto"/>
        <w:ind w:left="38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（2）本项目规定的其他情形：无。</w:t>
      </w:r>
    </w:p>
    <w:p w14:paraId="26D0583B">
      <w:pPr>
        <w:spacing w:before="94" w:line="268" w:lineRule="auto"/>
        <w:ind w:left="13" w:right="61" w:firstLine="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若本项目接受联合体投标且投标人为联合体，联合体中有同类资质的投标人按照联</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合体分工承担相同工作的，应先按照资质等级较低的投标人确定资质等级，再按照本章</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第</w:t>
      </w:r>
      <w:r>
        <w:rPr>
          <w:rFonts w:hint="eastAsia" w:asciiTheme="minorEastAsia" w:hAnsiTheme="minorEastAsia" w:eastAsiaTheme="minorEastAsia" w:cstheme="minorEastAsia"/>
          <w:color w:val="000000" w:themeColor="text1"/>
          <w:spacing w:val="-3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1.2、1.3、1.4</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条规定进行资格审查。</w:t>
      </w:r>
      <w:r>
        <w:rPr>
          <w:rFonts w:hint="eastAsia" w:asciiTheme="minorEastAsia" w:hAnsiTheme="minorEastAsia" w:eastAsiaTheme="minorEastAsia" w:cstheme="minorEastAsia"/>
          <w:b/>
          <w:bCs/>
          <w:color w:val="000000" w:themeColor="text1"/>
          <w:spacing w:val="-2"/>
          <w:sz w:val="24"/>
          <w:szCs w:val="24"/>
          <w:lang w:eastAsia="zh-CN"/>
        </w:rPr>
        <w:t>（本项目不适用本条款规</w:t>
      </w:r>
      <w:r>
        <w:rPr>
          <w:rFonts w:hint="eastAsia" w:asciiTheme="minorEastAsia" w:hAnsiTheme="minorEastAsia" w:eastAsiaTheme="minorEastAsia" w:cstheme="minorEastAsia"/>
          <w:b/>
          <w:bCs/>
          <w:color w:val="000000" w:themeColor="text1"/>
          <w:spacing w:val="-3"/>
          <w:sz w:val="24"/>
          <w:szCs w:val="24"/>
          <w:lang w:eastAsia="zh-CN"/>
        </w:rPr>
        <w:t>定）</w:t>
      </w:r>
    </w:p>
    <w:p w14:paraId="1D6EF4D1">
      <w:pPr>
        <w:spacing w:before="95" w:line="255" w:lineRule="auto"/>
        <w:ind w:left="12" w:right="133" w:firstLine="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2、资格审查情况不得私自外泄，有关信息由</w:t>
      </w:r>
      <w:r>
        <w:rPr>
          <w:rFonts w:hint="eastAsia" w:asciiTheme="minorEastAsia" w:hAnsiTheme="minorEastAsia" w:eastAsiaTheme="minorEastAsia" w:cstheme="minorEastAsia"/>
          <w:color w:val="000000" w:themeColor="text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统一</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对外发布。</w:t>
      </w:r>
    </w:p>
    <w:p w14:paraId="0FFDF6F9">
      <w:pPr>
        <w:spacing w:before="99" w:line="267" w:lineRule="auto"/>
        <w:ind w:left="12" w:right="53" w:firstLine="5"/>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3、资格审查合格的投标人不足三家的，不进行评标。同时，本次招标活动结束，</w:t>
      </w:r>
      <w:r>
        <w:rPr>
          <w:rFonts w:hint="eastAsia" w:asciiTheme="minorEastAsia" w:hAnsiTheme="minorEastAsia" w:eastAsiaTheme="minorEastAsia" w:cstheme="minorEastAsia"/>
          <w:color w:val="000000" w:themeColor="text1"/>
          <w:spacing w:val="-1"/>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1"/>
          <w:sz w:val="24"/>
          <w:szCs w:val="24"/>
          <w:lang w:eastAsia="zh-CN"/>
        </w:rPr>
        <w:t>将依法组织后续招标活动（</w:t>
      </w:r>
      <w:r>
        <w:rPr>
          <w:rFonts w:hint="eastAsia" w:asciiTheme="minorEastAsia" w:hAnsiTheme="minorEastAsia" w:eastAsiaTheme="minorEastAsia" w:cstheme="minorEastAsia"/>
          <w:color w:val="000000" w:themeColor="text1"/>
          <w:spacing w:val="-2"/>
          <w:sz w:val="24"/>
          <w:szCs w:val="24"/>
          <w:lang w:eastAsia="zh-CN"/>
        </w:rPr>
        <w:t>包括但不限于：重新招标、</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采用其他方式招标等）。</w:t>
      </w:r>
    </w:p>
    <w:p w14:paraId="55A259C2">
      <w:pPr>
        <w:pStyle w:val="8"/>
        <w:spacing w:line="396" w:lineRule="auto"/>
        <w:rPr>
          <w:rFonts w:hint="eastAsia" w:asciiTheme="minorEastAsia" w:hAnsiTheme="minorEastAsia" w:eastAsiaTheme="minorEastAsia" w:cstheme="minorEastAsia"/>
          <w:color w:val="000000" w:themeColor="text1"/>
          <w:lang w:eastAsia="zh-CN"/>
        </w:rPr>
      </w:pPr>
    </w:p>
    <w:p w14:paraId="3A45506B">
      <w:pPr>
        <w:spacing w:before="78" w:line="220" w:lineRule="auto"/>
        <w:ind w:left="40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6"/>
          <w:sz w:val="24"/>
          <w:szCs w:val="24"/>
          <w:lang w:eastAsia="zh-CN"/>
        </w:rPr>
        <w:t>二、评标</w:t>
      </w:r>
    </w:p>
    <w:p w14:paraId="418D91F1">
      <w:pPr>
        <w:spacing w:before="95" w:line="219"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4、评标委员会</w:t>
      </w:r>
    </w:p>
    <w:p w14:paraId="03840F2F">
      <w:pPr>
        <w:spacing w:before="96" w:line="256" w:lineRule="auto"/>
        <w:ind w:left="14" w:right="120" w:firstLine="24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4.1</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评标委员会由招标人代表和评标专家两部分</w:t>
      </w:r>
      <w:r>
        <w:rPr>
          <w:rFonts w:hint="eastAsia" w:asciiTheme="minorEastAsia" w:hAnsiTheme="minorEastAsia" w:eastAsiaTheme="minorEastAsia" w:cstheme="minorEastAsia"/>
          <w:color w:val="000000" w:themeColor="text1"/>
          <w:spacing w:val="-4"/>
          <w:sz w:val="24"/>
          <w:szCs w:val="24"/>
          <w:lang w:eastAsia="zh-CN"/>
        </w:rPr>
        <w:t>共</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u w:val="single"/>
          <w:lang w:eastAsia="zh-CN"/>
        </w:rPr>
        <w:t>5</w:t>
      </w:r>
      <w:r>
        <w:rPr>
          <w:rFonts w:hint="eastAsia" w:asciiTheme="minorEastAsia" w:hAnsiTheme="minorEastAsia" w:eastAsiaTheme="minorEastAsia" w:cstheme="minorEastAsia"/>
          <w:color w:val="000000" w:themeColor="text1"/>
          <w:spacing w:val="-49"/>
          <w:sz w:val="24"/>
          <w:szCs w:val="24"/>
          <w:u w:val="single"/>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人（以下简称“评委</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”）组成，</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其中：由招标人派出的招标人代表</w:t>
      </w:r>
      <w:r>
        <w:rPr>
          <w:rFonts w:hint="eastAsia" w:asciiTheme="minorEastAsia" w:hAnsiTheme="minorEastAsia" w:eastAsiaTheme="minorEastAsia" w:cstheme="minorEastAsia"/>
          <w:color w:val="000000" w:themeColor="text1"/>
          <w:spacing w:val="-60"/>
          <w:sz w:val="24"/>
          <w:szCs w:val="24"/>
          <w:lang w:eastAsia="zh-CN"/>
        </w:rPr>
        <w:t xml:space="preserve"> </w:t>
      </w:r>
      <w:r>
        <w:rPr>
          <w:rFonts w:hint="eastAsia" w:asciiTheme="minorEastAsia" w:hAnsiTheme="minorEastAsia" w:eastAsiaTheme="minorEastAsia" w:cstheme="minorEastAsia"/>
          <w:color w:val="000000" w:themeColor="text1"/>
          <w:spacing w:val="-93"/>
          <w:sz w:val="24"/>
          <w:szCs w:val="24"/>
          <w:u w:val="single"/>
          <w:lang w:eastAsia="zh-CN"/>
        </w:rPr>
        <w:t xml:space="preserve"> </w:t>
      </w:r>
      <w:r>
        <w:rPr>
          <w:rFonts w:hint="eastAsia" w:asciiTheme="minorEastAsia" w:hAnsiTheme="minorEastAsia" w:eastAsiaTheme="minorEastAsia" w:cstheme="minorEastAsia"/>
          <w:color w:val="000000" w:themeColor="text1"/>
          <w:spacing w:val="-2"/>
          <w:sz w:val="24"/>
          <w:szCs w:val="24"/>
          <w:u w:val="single"/>
          <w:lang w:eastAsia="zh-CN"/>
        </w:rPr>
        <w:t>1</w:t>
      </w:r>
      <w:r>
        <w:rPr>
          <w:rFonts w:hint="eastAsia" w:asciiTheme="minorEastAsia" w:hAnsiTheme="minorEastAsia" w:eastAsiaTheme="minorEastAsia" w:cstheme="minorEastAsia"/>
          <w:color w:val="000000" w:themeColor="text1"/>
          <w:spacing w:val="-49"/>
          <w:sz w:val="24"/>
          <w:szCs w:val="24"/>
          <w:u w:val="single"/>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人，由评审专家库产生的评标专家</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u w:val="single"/>
          <w:lang w:eastAsia="zh-CN"/>
        </w:rPr>
        <w:t>4</w:t>
      </w:r>
      <w:r>
        <w:rPr>
          <w:rFonts w:hint="eastAsia" w:asciiTheme="minorEastAsia" w:hAnsiTheme="minorEastAsia" w:eastAsiaTheme="minorEastAsia" w:cstheme="minorEastAsia"/>
          <w:color w:val="000000" w:themeColor="text1"/>
          <w:spacing w:val="-49"/>
          <w:sz w:val="24"/>
          <w:szCs w:val="24"/>
          <w:u w:val="single"/>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人。</w:t>
      </w:r>
    </w:p>
    <w:p w14:paraId="41CA9285">
      <w:pPr>
        <w:spacing w:before="93" w:line="219" w:lineRule="auto"/>
        <w:ind w:left="25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4.2</w:t>
      </w:r>
      <w:r>
        <w:rPr>
          <w:rFonts w:hint="eastAsia" w:asciiTheme="minorEastAsia" w:hAnsiTheme="minorEastAsia" w:eastAsiaTheme="minorEastAsia" w:cstheme="minorEastAsia"/>
          <w:color w:val="000000" w:themeColor="text1"/>
          <w:spacing w:val="-4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评标委员会负责具体评标事务，并按照下列原则依法独立履行有关职责：</w:t>
      </w:r>
    </w:p>
    <w:p w14:paraId="7FC333E4">
      <w:pPr>
        <w:spacing w:before="95" w:line="257" w:lineRule="auto"/>
        <w:ind w:left="14"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（1）评标应保护国家利益、社会公共利益</w:t>
      </w:r>
      <w:r>
        <w:rPr>
          <w:rFonts w:hint="eastAsia" w:asciiTheme="minorEastAsia" w:hAnsiTheme="minorEastAsia" w:eastAsiaTheme="minorEastAsia" w:cstheme="minorEastAsia"/>
          <w:color w:val="000000" w:themeColor="text1"/>
          <w:spacing w:val="-4"/>
          <w:sz w:val="24"/>
          <w:szCs w:val="24"/>
          <w:lang w:eastAsia="zh-CN"/>
        </w:rPr>
        <w:t>和各方当事人合法权益，提高招标效益，</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保证项目质量。</w:t>
      </w:r>
    </w:p>
    <w:p w14:paraId="13529F28">
      <w:pPr>
        <w:spacing w:before="93" w:line="379" w:lineRule="exact"/>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（2）评标应遵循公平、公正、科学、严谨和择优原则。</w:t>
      </w:r>
    </w:p>
    <w:p w14:paraId="4F601555">
      <w:pPr>
        <w:spacing w:before="1" w:line="218" w:lineRule="auto"/>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（3）评标的依据是招标文件和投标文件。</w:t>
      </w:r>
    </w:p>
    <w:p w14:paraId="4D236860">
      <w:pPr>
        <w:spacing w:before="97" w:line="379" w:lineRule="exact"/>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（4）应按照招标文件规定推荐中标候选人或确定中标人。</w:t>
      </w:r>
    </w:p>
    <w:p w14:paraId="2A43C3D9">
      <w:pPr>
        <w:spacing w:before="1" w:line="219" w:lineRule="auto"/>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（5）评标应遵守下列评标纪律：</w:t>
      </w:r>
    </w:p>
    <w:p w14:paraId="336A3971">
      <w:pPr>
        <w:spacing w:before="94" w:line="256" w:lineRule="auto"/>
        <w:ind w:left="17" w:right="61" w:firstLine="47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①评标情况不得私自外泄，有关信息由</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统一对</w:t>
      </w:r>
      <w:r>
        <w:rPr>
          <w:rFonts w:hint="eastAsia" w:asciiTheme="minorEastAsia" w:hAnsiTheme="minorEastAsia" w:eastAsiaTheme="minorEastAsia" w:cstheme="minorEastAsia"/>
          <w:color w:val="000000" w:themeColor="text1"/>
          <w:spacing w:val="-4"/>
          <w:sz w:val="24"/>
          <w:szCs w:val="24"/>
          <w:lang w:eastAsia="zh-CN"/>
        </w:rPr>
        <w:t>外发布。</w:t>
      </w:r>
    </w:p>
    <w:p w14:paraId="719905AB">
      <w:pPr>
        <w:spacing w:before="96" w:line="255" w:lineRule="auto"/>
        <w:ind w:left="12" w:right="61" w:firstLine="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②对</w:t>
      </w:r>
      <w:r>
        <w:rPr>
          <w:rFonts w:hint="eastAsia" w:asciiTheme="minorEastAsia" w:hAnsiTheme="minorEastAsia" w:eastAsiaTheme="minorEastAsia" w:cstheme="minorEastAsia"/>
          <w:color w:val="000000" w:themeColor="text1"/>
          <w:spacing w:val="-2"/>
          <w:sz w:val="24"/>
          <w:szCs w:val="24"/>
          <w:u w:val="single"/>
          <w:lang w:eastAsia="zh-CN"/>
        </w:rPr>
        <w:t>福建三仟招标有限公司</w:t>
      </w:r>
      <w:r>
        <w:rPr>
          <w:rFonts w:hint="eastAsia" w:asciiTheme="minorEastAsia" w:hAnsiTheme="minorEastAsia" w:eastAsiaTheme="minorEastAsia" w:cstheme="minorEastAsia"/>
          <w:color w:val="000000" w:themeColor="text1"/>
          <w:spacing w:val="-2"/>
          <w:sz w:val="24"/>
          <w:szCs w:val="24"/>
          <w:lang w:eastAsia="zh-CN"/>
        </w:rPr>
        <w:t>或投标人提供的要求保密的资料，不得摘</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记翻印和外传。</w:t>
      </w:r>
    </w:p>
    <w:p w14:paraId="433BCDE9">
      <w:pPr>
        <w:spacing w:before="96" w:line="256" w:lineRule="auto"/>
        <w:ind w:left="17" w:right="61" w:firstLine="47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③不得收受投标人或有关人员的任何礼物，不得串联鼓动其他人袒护某投标人。若</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与投标人存在利害关系，则应主动声明并回避。</w:t>
      </w:r>
    </w:p>
    <w:p w14:paraId="11FCBFEB">
      <w:pPr>
        <w:spacing w:line="256" w:lineRule="auto"/>
        <w:rPr>
          <w:rFonts w:hint="eastAsia" w:asciiTheme="minorEastAsia" w:hAnsiTheme="minorEastAsia" w:eastAsiaTheme="minorEastAsia" w:cstheme="minorEastAsia"/>
          <w:color w:val="000000" w:themeColor="text1"/>
          <w:sz w:val="24"/>
          <w:szCs w:val="24"/>
          <w:lang w:eastAsia="zh-CN"/>
        </w:rPr>
        <w:sectPr>
          <w:footerReference r:id="rId16" w:type="default"/>
          <w:pgSz w:w="11906" w:h="16839"/>
          <w:pgMar w:top="1431" w:right="1356" w:bottom="1260" w:left="1412" w:header="0" w:footer="1013" w:gutter="0"/>
          <w:pgNumType w:fmt="decimal"/>
          <w:cols w:space="720" w:num="1"/>
        </w:sectPr>
      </w:pPr>
    </w:p>
    <w:p w14:paraId="6F8D2050">
      <w:pPr>
        <w:spacing w:before="108" w:line="255" w:lineRule="auto"/>
        <w:ind w:left="13" w:right="15" w:firstLine="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④全体评委应按照招标文件规定进行评标，一切认定事项应查有实据且不得弄虚作</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假。</w:t>
      </w:r>
    </w:p>
    <w:p w14:paraId="00BFF754">
      <w:pPr>
        <w:spacing w:before="95" w:line="217"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⑤评标中应充分发扬民主，推荐中标候选人或确定中标人</w:t>
      </w:r>
      <w:r>
        <w:rPr>
          <w:rFonts w:hint="eastAsia" w:asciiTheme="minorEastAsia" w:hAnsiTheme="minorEastAsia" w:eastAsiaTheme="minorEastAsia" w:cstheme="minorEastAsia"/>
          <w:color w:val="000000" w:themeColor="text1"/>
          <w:spacing w:val="-1"/>
          <w:sz w:val="24"/>
          <w:szCs w:val="24"/>
          <w:lang w:eastAsia="zh-CN"/>
        </w:rPr>
        <w:t>后要服从评标报告。</w:t>
      </w:r>
    </w:p>
    <w:p w14:paraId="134F3559">
      <w:pPr>
        <w:spacing w:before="99" w:line="255" w:lineRule="auto"/>
        <w:ind w:left="13" w:right="18" w:firstLine="5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※对违反评标纪律的评委，将取消其评委资格，对评标工作造成严重损失者将予以</w:t>
      </w:r>
      <w:r>
        <w:rPr>
          <w:rFonts w:hint="eastAsia" w:asciiTheme="minorEastAsia" w:hAnsiTheme="minorEastAsia" w:eastAsiaTheme="minorEastAsia" w:cstheme="minorEastAsia"/>
          <w:color w:val="000000" w:themeColor="text1"/>
          <w:spacing w:val="7"/>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通报批评乃至追究法律责任。</w:t>
      </w:r>
    </w:p>
    <w:p w14:paraId="4F1E2D29">
      <w:pPr>
        <w:spacing w:before="95" w:line="220" w:lineRule="auto"/>
        <w:ind w:left="1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5、评标程序</w:t>
      </w:r>
    </w:p>
    <w:p w14:paraId="7269379F">
      <w:pPr>
        <w:spacing w:before="95" w:line="220" w:lineRule="auto"/>
        <w:ind w:left="1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5.1</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评标前的准备工作</w:t>
      </w:r>
    </w:p>
    <w:p w14:paraId="75FFFF49">
      <w:pPr>
        <w:spacing w:before="92" w:line="256" w:lineRule="auto"/>
        <w:ind w:left="19" w:right="87" w:firstLine="48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（1）全体评委应认真审阅招标文件，了解评委应履行或遵守的职责、义务和评标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纪律。</w:t>
      </w:r>
    </w:p>
    <w:p w14:paraId="3D995124">
      <w:pPr>
        <w:spacing w:before="95" w:line="268" w:lineRule="auto"/>
        <w:ind w:left="13" w:right="15"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（2）参加评标委员会的招标人代表可对本项目的背景和招标需求进行介绍，介绍</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材料应以书面形式提交（随招标文件一并存档</w:t>
      </w:r>
      <w:r>
        <w:rPr>
          <w:rFonts w:hint="eastAsia" w:asciiTheme="minorEastAsia" w:hAnsiTheme="minorEastAsia" w:eastAsiaTheme="minorEastAsia" w:cstheme="minorEastAsia"/>
          <w:color w:val="000000" w:themeColor="text1"/>
          <w:spacing w:val="-8"/>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介绍内容不得含有</w:t>
      </w:r>
      <w:r>
        <w:rPr>
          <w:rFonts w:hint="eastAsia" w:asciiTheme="minorEastAsia" w:hAnsiTheme="minorEastAsia" w:eastAsiaTheme="minorEastAsia" w:cstheme="minorEastAsia"/>
          <w:color w:val="000000" w:themeColor="text1"/>
          <w:spacing w:val="-2"/>
          <w:sz w:val="24"/>
          <w:szCs w:val="24"/>
          <w:lang w:eastAsia="zh-CN"/>
        </w:rPr>
        <w:t>歧视性、倾向性意</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见，不得超出招标文件所述范围。</w:t>
      </w:r>
    </w:p>
    <w:p w14:paraId="60C442F5">
      <w:pPr>
        <w:spacing w:before="96" w:line="219" w:lineRule="auto"/>
        <w:ind w:left="1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5.2</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符合性审查</w:t>
      </w:r>
    </w:p>
    <w:p w14:paraId="417A075B">
      <w:pPr>
        <w:spacing w:before="93" w:line="256" w:lineRule="auto"/>
        <w:ind w:left="14" w:right="87"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（1）评标委员会依据招标文件的实质性要求，对通过资格审查的投标文件进行符</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合性审查，以确定其是否满足招标文件的实质性要求。</w:t>
      </w:r>
    </w:p>
    <w:p w14:paraId="1E25E164">
      <w:pPr>
        <w:spacing w:before="95" w:line="256" w:lineRule="auto"/>
        <w:ind w:left="14" w:right="87" w:firstLine="4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（2）满足招标文件的实质性要求指投标文件对招标文件实质性要求的响应不存在</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重大偏差或保留。</w:t>
      </w:r>
    </w:p>
    <w:p w14:paraId="08AD7E3C">
      <w:pPr>
        <w:spacing w:before="95" w:line="268" w:lineRule="auto"/>
        <w:ind w:left="13" w:right="15" w:firstLine="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（3）重大偏差或保留指影响到招标文件规定的合同范围、合同履行及影响关键质</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量和性能，或限制了招标人的权利，或反对、减少投标人的义务，而纠正这些重大偏差</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或保留将影响到其他提交实质性响应投标的</w:t>
      </w:r>
      <w:r>
        <w:rPr>
          <w:rFonts w:hint="eastAsia" w:asciiTheme="minorEastAsia" w:hAnsiTheme="minorEastAsia" w:eastAsiaTheme="minorEastAsia" w:cstheme="minorEastAsia"/>
          <w:color w:val="000000" w:themeColor="text1"/>
          <w:spacing w:val="-1"/>
          <w:sz w:val="24"/>
          <w:szCs w:val="24"/>
          <w:lang w:eastAsia="zh-CN"/>
        </w:rPr>
        <w:t>投标人的公平竞争地位。</w:t>
      </w:r>
    </w:p>
    <w:p w14:paraId="47E52211">
      <w:pPr>
        <w:spacing w:before="95" w:line="274" w:lineRule="auto"/>
        <w:ind w:left="12" w:right="15" w:firstLine="4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（4）评标委员会审查判断投标文件是否满足招标文件的实质性要求仅基于投标文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件本身而不寻求其他的外部证据。未满足招标文件实质性要求的投标文件将被评标委员</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会否决（即符合性审查不合格</w:t>
      </w:r>
      <w:r>
        <w:rPr>
          <w:rFonts w:hint="eastAsia" w:asciiTheme="minorEastAsia" w:hAnsiTheme="minorEastAsia" w:eastAsiaTheme="minorEastAsia" w:cstheme="minorEastAsia"/>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被否决的投标文件不</w:t>
      </w:r>
      <w:r>
        <w:rPr>
          <w:rFonts w:hint="eastAsia" w:asciiTheme="minorEastAsia" w:hAnsiTheme="minorEastAsia" w:eastAsiaTheme="minorEastAsia" w:cstheme="minorEastAsia"/>
          <w:color w:val="000000" w:themeColor="text1"/>
          <w:spacing w:val="-2"/>
          <w:sz w:val="24"/>
          <w:szCs w:val="24"/>
          <w:lang w:eastAsia="zh-CN"/>
        </w:rPr>
        <w:t>能通过补充、修改（澄清、说明</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或补正）等方式重新成为满足招标文件实质性要求的投标文件。</w:t>
      </w:r>
    </w:p>
    <w:p w14:paraId="30F03CBC">
      <w:pPr>
        <w:spacing w:before="96" w:line="219" w:lineRule="auto"/>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（5）评标委员会对所有投标人都执行相同的程序和标准。</w:t>
      </w:r>
    </w:p>
    <w:p w14:paraId="0A26B9E2">
      <w:pPr>
        <w:spacing w:before="95" w:line="379" w:lineRule="exact"/>
        <w:ind w:left="5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（6）有下列情形之一的，</w:t>
      </w:r>
      <w:r>
        <w:rPr>
          <w:rFonts w:hint="eastAsia" w:asciiTheme="minorEastAsia" w:hAnsiTheme="minorEastAsia" w:eastAsiaTheme="minorEastAsia" w:cstheme="minorEastAsia"/>
          <w:b/>
          <w:bCs/>
          <w:color w:val="000000" w:themeColor="text1"/>
          <w:spacing w:val="-2"/>
          <w:position w:val="10"/>
          <w:sz w:val="24"/>
          <w:szCs w:val="24"/>
          <w:lang w:eastAsia="zh-CN"/>
        </w:rPr>
        <w:t>符合性审查不合格：</w:t>
      </w:r>
    </w:p>
    <w:p w14:paraId="691D4C7A">
      <w:pPr>
        <w:spacing w:before="97" w:line="216" w:lineRule="auto"/>
        <w:ind w:left="492"/>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2"/>
          <w:sz w:val="24"/>
          <w:szCs w:val="24"/>
        </w:rPr>
        <w:t>①项目一般情形：</w:t>
      </w:r>
    </w:p>
    <w:tbl>
      <w:tblPr>
        <w:tblStyle w:val="1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14:paraId="1259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658" w:type="dxa"/>
            <w:vAlign w:val="center"/>
          </w:tcPr>
          <w:p w14:paraId="18E412A6">
            <w:pPr>
              <w:jc w:val="center"/>
              <w:rPr>
                <w:rFonts w:hint="eastAsia"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明细</w:t>
            </w:r>
          </w:p>
        </w:tc>
      </w:tr>
      <w:tr w14:paraId="05A1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6C86F6C7">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违反招标文件中载明“投标无效”条款的规定；</w:t>
            </w:r>
          </w:p>
        </w:tc>
      </w:tr>
      <w:tr w14:paraId="5B84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E2A23B2">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属于招标文件第三章第10.12条规定的投标无效情形；</w:t>
            </w:r>
          </w:p>
        </w:tc>
      </w:tr>
      <w:tr w14:paraId="3DC1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181A4FDC">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投标文件对招标文件实质性要求的响应存在重大偏离或保留。</w:t>
            </w:r>
          </w:p>
        </w:tc>
      </w:tr>
      <w:tr w14:paraId="6F06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04EBE0A5">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出现招标文件中载明“投标无效”条款的规定；</w:t>
            </w:r>
          </w:p>
        </w:tc>
      </w:tr>
      <w:tr w14:paraId="6BD8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A96974C">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技术部分中出现报价部分的全部或部分的投标报价信息（或组成资料）。</w:t>
            </w:r>
          </w:p>
        </w:tc>
      </w:tr>
    </w:tbl>
    <w:p w14:paraId="7A21AFC8">
      <w:pPr>
        <w:spacing w:before="98" w:line="217"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②本项目规定的其他情形：</w:t>
      </w:r>
    </w:p>
    <w:tbl>
      <w:tblPr>
        <w:tblStyle w:val="1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14:paraId="4E24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CellSpacing w:w="0" w:type="dxa"/>
        </w:trPr>
        <w:tc>
          <w:tcPr>
            <w:tcW w:w="9658" w:type="dxa"/>
            <w:vAlign w:val="center"/>
          </w:tcPr>
          <w:p w14:paraId="6F34E96E">
            <w:pP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z w:val="24"/>
                <w:lang w:eastAsia="zh-CN"/>
              </w:rPr>
              <w:t>投标文件技术部分得分各评标委平均分达不到招标文件设定的技术部分总分 50%（含），视为技术部分严重偏离招标文件要求，按投标无效处理。</w:t>
            </w:r>
          </w:p>
        </w:tc>
      </w:tr>
      <w:tr w14:paraId="7913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9E9E031">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投标文件的技术部分中出现报价部分的全部或部分的投标报价信息(或组成资料)。</w:t>
            </w:r>
          </w:p>
        </w:tc>
      </w:tr>
      <w:tr w14:paraId="3D45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7433713A">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属于招标文件规定的符合性检查不合格情形。</w:t>
            </w:r>
          </w:p>
        </w:tc>
      </w:tr>
      <w:tr w14:paraId="4862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A54FAF1">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不符合招标文件中规定的实质性要求和条件或属于无效投标条款的。</w:t>
            </w:r>
          </w:p>
        </w:tc>
      </w:tr>
      <w:tr w14:paraId="0369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56813AE8">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投标文件不满足招标文件第五章 招标内容及要求中：“三、商务条件”的各项要求的均视为无效投标。</w:t>
            </w:r>
          </w:p>
        </w:tc>
      </w:tr>
      <w:tr w14:paraId="4454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8DEB034">
            <w:pP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投标文件的商务部分中出现报价部分的全部或部分的投标报价信息(或组成资料)。</w:t>
            </w:r>
          </w:p>
        </w:tc>
      </w:tr>
      <w:tr w14:paraId="6573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630F59EF">
            <w:pPr>
              <w:pStyle w:val="15"/>
              <w:spacing w:before="59" w:after="59"/>
              <w:rPr>
                <w:rFonts w:hint="eastAsia" w:asciiTheme="minorEastAsia" w:hAnsiTheme="minorEastAsia" w:eastAsiaTheme="minorEastAsia" w:cstheme="minorEastAsia"/>
                <w:color w:val="000000" w:themeColor="text1"/>
                <w:kern w:val="2"/>
                <w:szCs w:val="24"/>
                <w:lang w:eastAsia="zh-CN"/>
              </w:rPr>
            </w:pPr>
            <w:r>
              <w:rPr>
                <w:rFonts w:hint="eastAsia" w:asciiTheme="minorEastAsia" w:hAnsiTheme="minorEastAsia" w:eastAsiaTheme="minorEastAsia" w:cstheme="minorEastAsia"/>
                <w:color w:val="000000" w:themeColor="text1"/>
                <w:kern w:val="2"/>
                <w:szCs w:val="24"/>
                <w:lang w:eastAsia="zh-CN"/>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r w14:paraId="4EDB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127562B">
            <w:pPr>
              <w:rPr>
                <w:rFonts w:hint="eastAsia" w:asciiTheme="minorEastAsia" w:hAnsiTheme="minorEastAsia" w:eastAsiaTheme="minorEastAsia" w:cstheme="minorEastAsia"/>
                <w:color w:val="000000" w:themeColor="text1"/>
                <w:kern w:val="2"/>
                <w:sz w:val="24"/>
                <w:szCs w:val="24"/>
                <w:lang w:eastAsia="zh-CN"/>
              </w:rPr>
            </w:pPr>
            <w:r>
              <w:rPr>
                <w:rFonts w:hint="eastAsia" w:asciiTheme="minorEastAsia" w:hAnsiTheme="minorEastAsia" w:eastAsiaTheme="minorEastAsia" w:cstheme="minorEastAsia"/>
                <w:color w:val="000000" w:themeColor="text1"/>
                <w:kern w:val="2"/>
                <w:sz w:val="24"/>
                <w:szCs w:val="24"/>
                <w:lang w:eastAsia="zh-CN"/>
              </w:rPr>
              <w:t>投标报价超过招标文件中规定的最高限价；</w:t>
            </w:r>
          </w:p>
        </w:tc>
      </w:tr>
      <w:tr w14:paraId="4E3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657C7321">
            <w:pPr>
              <w:rPr>
                <w:rFonts w:hint="eastAsia" w:asciiTheme="minorEastAsia" w:hAnsiTheme="minorEastAsia" w:eastAsiaTheme="minorEastAsia" w:cstheme="minorEastAsia"/>
                <w:color w:val="000000" w:themeColor="text1"/>
                <w:kern w:val="2"/>
                <w:sz w:val="24"/>
                <w:szCs w:val="24"/>
                <w:lang w:eastAsia="zh-CN"/>
              </w:rPr>
            </w:pPr>
            <w:r>
              <w:rPr>
                <w:rFonts w:hint="eastAsia" w:asciiTheme="minorEastAsia" w:hAnsiTheme="minorEastAsia" w:eastAsiaTheme="minorEastAsia" w:cstheme="minorEastAsia"/>
                <w:color w:val="000000" w:themeColor="text1"/>
                <w:kern w:val="2"/>
                <w:sz w:val="24"/>
                <w:szCs w:val="24"/>
                <w:lang w:eastAsia="zh-CN"/>
              </w:rPr>
              <w:t>有出现任何可选择性的投标报价。</w:t>
            </w:r>
          </w:p>
        </w:tc>
      </w:tr>
    </w:tbl>
    <w:p w14:paraId="6CB6106B">
      <w:pPr>
        <w:spacing w:before="1" w:line="217"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价格符合性</w:t>
      </w:r>
      <w:r>
        <w:rPr>
          <w:rFonts w:hint="eastAsia" w:asciiTheme="minorEastAsia" w:hAnsiTheme="minorEastAsia" w:eastAsiaTheme="minorEastAsia" w:cstheme="minorEastAsia"/>
          <w:color w:val="000000" w:themeColor="text1"/>
          <w:spacing w:val="34"/>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：无</w:t>
      </w:r>
    </w:p>
    <w:p w14:paraId="4F0E0E48">
      <w:pPr>
        <w:spacing w:before="96" w:line="220" w:lineRule="auto"/>
        <w:ind w:left="4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5.3</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澄清有关问题</w:t>
      </w:r>
    </w:p>
    <w:p w14:paraId="3E1A78FF">
      <w:pPr>
        <w:spacing w:before="92" w:line="273" w:lineRule="auto"/>
        <w:ind w:left="16" w:right="80" w:firstLine="43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（1）对通过符合性审查的投标文件中含义不明确、同类问题表述不一致或有明显文</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字和计算错误的内容，评标委员会将以书面形式要求投标人作出必要的澄清、说明或补</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正。</w:t>
      </w:r>
    </w:p>
    <w:p w14:paraId="5D74FB88">
      <w:pPr>
        <w:spacing w:before="76" w:line="278" w:lineRule="auto"/>
        <w:ind w:left="14" w:firstLine="43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 xml:space="preserve">（2）投标人的澄清、说明或补正应由投标人代表在评标委员会规定的时间内（一般 </w:t>
      </w:r>
      <w:r>
        <w:rPr>
          <w:rFonts w:hint="eastAsia" w:asciiTheme="minorEastAsia" w:hAnsiTheme="minorEastAsia" w:eastAsiaTheme="minorEastAsia" w:cstheme="minorEastAsia"/>
          <w:color w:val="000000" w:themeColor="text1"/>
          <w:spacing w:val="-2"/>
          <w:sz w:val="24"/>
          <w:szCs w:val="24"/>
          <w:lang w:eastAsia="zh-CN"/>
        </w:rPr>
        <w:t xml:space="preserve">在半个小时左右，具体要求将根据实际情况在澄清通知中约定）以书面形式向评标委员 </w:t>
      </w:r>
      <w:r>
        <w:rPr>
          <w:rFonts w:hint="eastAsia" w:asciiTheme="minorEastAsia" w:hAnsiTheme="minorEastAsia" w:eastAsiaTheme="minorEastAsia" w:cstheme="minorEastAsia"/>
          <w:color w:val="000000" w:themeColor="text1"/>
          <w:spacing w:val="-6"/>
          <w:sz w:val="24"/>
          <w:szCs w:val="24"/>
          <w:lang w:eastAsia="zh-CN"/>
        </w:rPr>
        <w:t>会提交，前述澄清、说明或补正不得超出投标文件的范围或改变投标文件的实质性内容。</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 xml:space="preserve">若投标人未按照前述规定向评标委员会提交书面澄清、说明或补正，则评标委员会将按 </w:t>
      </w:r>
      <w:r>
        <w:rPr>
          <w:rFonts w:hint="eastAsia" w:asciiTheme="minorEastAsia" w:hAnsiTheme="minorEastAsia" w:eastAsiaTheme="minorEastAsia" w:cstheme="minorEastAsia"/>
          <w:color w:val="000000" w:themeColor="text1"/>
          <w:spacing w:val="-1"/>
          <w:sz w:val="24"/>
          <w:szCs w:val="24"/>
          <w:lang w:eastAsia="zh-CN"/>
        </w:rPr>
        <w:t>照不利于投标人的内容进行认定。</w:t>
      </w:r>
    </w:p>
    <w:p w14:paraId="0811E860">
      <w:pPr>
        <w:spacing w:before="95" w:line="262" w:lineRule="auto"/>
        <w:ind w:left="20" w:right="152" w:firstLine="48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（3）投标文件报价出现前后不一致的，除招标文件另有规定外，按照下列规定修</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8"/>
          <w:sz w:val="24"/>
          <w:szCs w:val="24"/>
          <w:lang w:eastAsia="zh-CN"/>
        </w:rPr>
        <w:t>正：</w:t>
      </w:r>
    </w:p>
    <w:p w14:paraId="1A7D708B">
      <w:pPr>
        <w:spacing w:before="80" w:line="254" w:lineRule="auto"/>
        <w:ind w:left="493" w:right="105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①开标一览表内容与投标文件中相应内容不一致的，以开</w:t>
      </w:r>
      <w:r>
        <w:rPr>
          <w:rFonts w:hint="eastAsia" w:asciiTheme="minorEastAsia" w:hAnsiTheme="minorEastAsia" w:eastAsiaTheme="minorEastAsia" w:cstheme="minorEastAsia"/>
          <w:color w:val="000000" w:themeColor="text1"/>
          <w:spacing w:val="-3"/>
          <w:sz w:val="24"/>
          <w:szCs w:val="24"/>
          <w:lang w:eastAsia="zh-CN"/>
        </w:rPr>
        <w:t>标一览表为准；</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②大写金额和小写金额不一致的，以大写金额为准；</w:t>
      </w:r>
    </w:p>
    <w:p w14:paraId="3D27E102">
      <w:pPr>
        <w:spacing w:before="98" w:line="255" w:lineRule="auto"/>
        <w:ind w:left="493" w:right="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③单价金额小数点或百分比有明显错位的，以开</w:t>
      </w:r>
      <w:r>
        <w:rPr>
          <w:rFonts w:hint="eastAsia" w:asciiTheme="minorEastAsia" w:hAnsiTheme="minorEastAsia" w:eastAsiaTheme="minorEastAsia" w:cstheme="minorEastAsia"/>
          <w:color w:val="000000" w:themeColor="text1"/>
          <w:spacing w:val="-7"/>
          <w:sz w:val="24"/>
          <w:szCs w:val="24"/>
          <w:lang w:eastAsia="zh-CN"/>
        </w:rPr>
        <w:t>标一览表的总价为准，并修改单价；</w:t>
      </w:r>
      <w:r>
        <w:rPr>
          <w:rFonts w:hint="eastAsia" w:asciiTheme="minorEastAsia" w:hAnsiTheme="minorEastAsia" w:eastAsiaTheme="minorEastAsia" w:cstheme="minorEastAsia"/>
          <w:color w:val="000000" w:themeColor="text1"/>
          <w:sz w:val="24"/>
          <w:szCs w:val="24"/>
          <w:lang w:eastAsia="zh-CN"/>
        </w:rPr>
        <w:t xml:space="preserve"> ④总价金额与按照单价汇总金额不一致的，以单价</w:t>
      </w:r>
      <w:r>
        <w:rPr>
          <w:rFonts w:hint="eastAsia" w:asciiTheme="minorEastAsia" w:hAnsiTheme="minorEastAsia" w:eastAsiaTheme="minorEastAsia" w:cstheme="minorEastAsia"/>
          <w:color w:val="000000" w:themeColor="text1"/>
          <w:spacing w:val="-1"/>
          <w:sz w:val="24"/>
          <w:szCs w:val="24"/>
          <w:lang w:eastAsia="zh-CN"/>
        </w:rPr>
        <w:t>金额计算结果为准。</w:t>
      </w:r>
    </w:p>
    <w:p w14:paraId="103E07DD">
      <w:pPr>
        <w:spacing w:before="99" w:line="268" w:lineRule="auto"/>
        <w:ind w:left="16" w:right="80" w:firstLine="499"/>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※同时出现两种以上不一致的，按照前款规定的顺序修正。修正后的报价应按照本</w:t>
      </w:r>
      <w:r>
        <w:rPr>
          <w:rFonts w:hint="eastAsia" w:asciiTheme="minorEastAsia" w:hAnsiTheme="minorEastAsia" w:eastAsiaTheme="minorEastAsia" w:cstheme="minorEastAsia"/>
          <w:color w:val="000000" w:themeColor="text1"/>
          <w:spacing w:val="10"/>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章第</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5.3</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条第（1）、（2）款规定经投标人确认后产生约束力，投标人不确认的，其投标无效。</w:t>
      </w:r>
    </w:p>
    <w:p w14:paraId="7181E9D8">
      <w:pPr>
        <w:spacing w:before="93" w:line="219" w:lineRule="auto"/>
        <w:ind w:left="50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（4）关于细微偏差</w:t>
      </w:r>
    </w:p>
    <w:p w14:paraId="050E8206">
      <w:pPr>
        <w:spacing w:before="95" w:line="268" w:lineRule="auto"/>
        <w:ind w:left="19" w:right="80" w:firstLine="4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①细微偏差指投标文件实质性响应招标文件要求，但在个别地方存在漏项或提供了</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不完整的技术信息和数据等情况，并且补正这些遗漏或不完整不会对其他投标人造成不</w:t>
      </w:r>
      <w:r>
        <w:rPr>
          <w:rFonts w:hint="eastAsia" w:asciiTheme="minorEastAsia" w:hAnsiTheme="minorEastAsia" w:eastAsiaTheme="minorEastAsia" w:cstheme="minorEastAsia"/>
          <w:color w:val="000000" w:themeColor="text1"/>
          <w:spacing w:val="13"/>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公平的结果。细微偏差不影响投标文件的有效性。</w:t>
      </w:r>
    </w:p>
    <w:p w14:paraId="695A19BE">
      <w:pPr>
        <w:spacing w:before="94" w:line="256" w:lineRule="auto"/>
        <w:ind w:left="44" w:right="272" w:firstLine="44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②评标委员会将以书面形式要求存在细微偏差的投标人在评</w:t>
      </w:r>
      <w:r>
        <w:rPr>
          <w:rFonts w:hint="eastAsia" w:asciiTheme="minorEastAsia" w:hAnsiTheme="minorEastAsia" w:eastAsiaTheme="minorEastAsia" w:cstheme="minorEastAsia"/>
          <w:color w:val="000000" w:themeColor="text1"/>
          <w:spacing w:val="-1"/>
          <w:sz w:val="24"/>
          <w:szCs w:val="24"/>
          <w:lang w:eastAsia="zh-CN"/>
        </w:rPr>
        <w:t>标委员会规定的时间</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内予以补正。若无法补正，则评标委员会将按照不利于投标人的内容</w:t>
      </w:r>
      <w:r>
        <w:rPr>
          <w:rFonts w:hint="eastAsia" w:asciiTheme="minorEastAsia" w:hAnsiTheme="minorEastAsia" w:eastAsiaTheme="minorEastAsia" w:cstheme="minorEastAsia"/>
          <w:color w:val="000000" w:themeColor="text1"/>
          <w:spacing w:val="-2"/>
          <w:sz w:val="24"/>
          <w:szCs w:val="24"/>
          <w:lang w:eastAsia="zh-CN"/>
        </w:rPr>
        <w:t>进行认定。</w:t>
      </w:r>
    </w:p>
    <w:p w14:paraId="25430CC8">
      <w:pPr>
        <w:spacing w:before="96" w:line="219" w:lineRule="auto"/>
        <w:ind w:left="50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（5）关于投标描述（即投标文件中描述的内容）</w:t>
      </w:r>
    </w:p>
    <w:p w14:paraId="1F7CF398">
      <w:pPr>
        <w:spacing w:before="95" w:line="256" w:lineRule="auto"/>
        <w:ind w:left="16" w:right="80" w:firstLine="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①投标描述前后不一致且不涉及证明材料的：按照本章第</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5.3</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条第（1）、</w:t>
      </w:r>
      <w:r>
        <w:rPr>
          <w:rFonts w:hint="eastAsia" w:asciiTheme="minorEastAsia" w:hAnsiTheme="minorEastAsia" w:eastAsiaTheme="minorEastAsia" w:cstheme="minorEastAsia"/>
          <w:color w:val="000000" w:themeColor="text1"/>
          <w:spacing w:val="-3"/>
          <w:sz w:val="24"/>
          <w:szCs w:val="24"/>
          <w:lang w:eastAsia="zh-CN"/>
        </w:rPr>
        <w:t>（2）款规定执行。</w:t>
      </w:r>
    </w:p>
    <w:p w14:paraId="7E943923">
      <w:pPr>
        <w:spacing w:before="108" w:line="217"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②投标描述与证明材料不一致或多份证明材料之间不一致的：</w:t>
      </w:r>
    </w:p>
    <w:p w14:paraId="5ED50E6A">
      <w:pPr>
        <w:spacing w:before="96" w:line="219" w:lineRule="auto"/>
        <w:jc w:val="right"/>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a.评标委员会将要求投标人进行书面澄清，并按</w:t>
      </w:r>
      <w:r>
        <w:rPr>
          <w:rFonts w:hint="eastAsia" w:asciiTheme="minorEastAsia" w:hAnsiTheme="minorEastAsia" w:eastAsiaTheme="minorEastAsia" w:cstheme="minorEastAsia"/>
          <w:color w:val="000000" w:themeColor="text1"/>
          <w:spacing w:val="-2"/>
          <w:sz w:val="24"/>
          <w:szCs w:val="24"/>
          <w:lang w:eastAsia="zh-CN"/>
        </w:rPr>
        <w:t>照不利于投标人的内容进行评标。</w:t>
      </w:r>
    </w:p>
    <w:p w14:paraId="34A74F3B">
      <w:pPr>
        <w:spacing w:before="94" w:line="268" w:lineRule="auto"/>
        <w:ind w:right="8" w:firstLine="4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b.投标人按照要求进行澄清的，招标人以</w:t>
      </w:r>
      <w:r>
        <w:rPr>
          <w:rFonts w:hint="eastAsia" w:asciiTheme="minorEastAsia" w:hAnsiTheme="minorEastAsia" w:eastAsiaTheme="minorEastAsia" w:cstheme="minorEastAsia"/>
          <w:color w:val="000000" w:themeColor="text1"/>
          <w:spacing w:val="-2"/>
          <w:sz w:val="24"/>
          <w:szCs w:val="24"/>
          <w:lang w:eastAsia="zh-CN"/>
        </w:rPr>
        <w:t>澄清内容为准进行验收；投标人未按照要</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求进行澄清的，招标人以投标描述或证明材料中有利于招标人的内容进行验收。投标人</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应对证明材料的真实性、有效性承担责任。</w:t>
      </w:r>
    </w:p>
    <w:p w14:paraId="3A8C7468">
      <w:pPr>
        <w:spacing w:before="95" w:line="268" w:lineRule="auto"/>
        <w:ind w:left="3" w:right="8" w:firstLine="47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③若中标人的投标描述存在前后不一致、与证明材料不一致或多份证明材料之间不</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一致情形之一但在评标中未能发现，则招标人将以投标描述或证明材料中有利于招标人</w:t>
      </w:r>
      <w:r>
        <w:rPr>
          <w:rFonts w:hint="eastAsia" w:asciiTheme="minorEastAsia" w:hAnsiTheme="minorEastAsia" w:eastAsiaTheme="minorEastAsia" w:cstheme="minorEastAsia"/>
          <w:color w:val="000000" w:themeColor="text1"/>
          <w:spacing w:val="13"/>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的内容进行验收，中标人应自行承担由此产生的风险及费用。</w:t>
      </w:r>
    </w:p>
    <w:p w14:paraId="052B8005">
      <w:pPr>
        <w:spacing w:before="94" w:line="218"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5.4</w:t>
      </w:r>
      <w:r>
        <w:rPr>
          <w:rFonts w:hint="eastAsia" w:asciiTheme="minorEastAsia" w:hAnsiTheme="minorEastAsia" w:eastAsiaTheme="minorEastAsia" w:cstheme="minorEastAsia"/>
          <w:color w:val="000000" w:themeColor="text1"/>
          <w:spacing w:val="-25"/>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比较与评价</w:t>
      </w:r>
    </w:p>
    <w:p w14:paraId="162D9AD1">
      <w:pPr>
        <w:spacing w:before="98" w:line="255" w:lineRule="auto"/>
        <w:ind w:left="26" w:right="80" w:firstLine="46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（1）按照本章第</w:t>
      </w:r>
      <w:r>
        <w:rPr>
          <w:rFonts w:hint="eastAsia" w:asciiTheme="minorEastAsia" w:hAnsiTheme="minorEastAsia" w:eastAsiaTheme="minorEastAsia" w:cstheme="minorEastAsia"/>
          <w:color w:val="000000" w:themeColor="text1"/>
          <w:spacing w:val="-45"/>
          <w:sz w:val="24"/>
          <w:szCs w:val="24"/>
          <w:lang w:eastAsia="zh-CN"/>
        </w:rPr>
        <w:t>6</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条载明的评标方法和标准，对符</w:t>
      </w:r>
      <w:r>
        <w:rPr>
          <w:rFonts w:hint="eastAsia" w:asciiTheme="minorEastAsia" w:hAnsiTheme="minorEastAsia" w:eastAsiaTheme="minorEastAsia" w:cstheme="minorEastAsia"/>
          <w:color w:val="000000" w:themeColor="text1"/>
          <w:spacing w:val="-2"/>
          <w:sz w:val="24"/>
          <w:szCs w:val="24"/>
          <w:lang w:eastAsia="zh-CN"/>
        </w:rPr>
        <w:t>合性审查合格的投标文件进行</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比较与评价。</w:t>
      </w:r>
    </w:p>
    <w:p w14:paraId="4352B65C">
      <w:pPr>
        <w:spacing w:before="96" w:line="219"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（2）关于相同品牌产品</w:t>
      </w:r>
    </w:p>
    <w:p w14:paraId="118CA821">
      <w:pPr>
        <w:spacing w:before="98" w:line="267" w:lineRule="auto"/>
        <w:ind w:left="9" w:right="8" w:firstLine="46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 xml:space="preserve">①采用最低评标价法的，提供相同品牌产品的不同投标人参加同一合同项下投标  </w:t>
      </w:r>
      <w:r>
        <w:rPr>
          <w:rFonts w:hint="eastAsia" w:asciiTheme="minorEastAsia" w:hAnsiTheme="minorEastAsia" w:eastAsiaTheme="minorEastAsia" w:cstheme="minorEastAsia"/>
          <w:color w:val="000000" w:themeColor="text1"/>
          <w:spacing w:val="-2"/>
          <w:sz w:val="24"/>
          <w:szCs w:val="24"/>
          <w:lang w:eastAsia="zh-CN"/>
        </w:rPr>
        <w:t>的，以其中通过资格审查、符合性审查且报价最低的参加评标；报价相同的，由评标委</w:t>
      </w:r>
      <w:r>
        <w:rPr>
          <w:rFonts w:hint="eastAsia" w:asciiTheme="minorEastAsia" w:hAnsiTheme="minorEastAsia" w:eastAsiaTheme="minorEastAsia" w:cstheme="minorEastAsia"/>
          <w:color w:val="000000" w:themeColor="text1"/>
          <w:spacing w:val="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员会按照下列方式确定一个参加评标的投标人：</w:t>
      </w:r>
    </w:p>
    <w:p w14:paraId="59CBF067">
      <w:pPr>
        <w:spacing w:before="98" w:line="219"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a.招标文件规定的方式：</w:t>
      </w:r>
      <w:r>
        <w:rPr>
          <w:rFonts w:hint="eastAsia" w:asciiTheme="minorEastAsia" w:hAnsiTheme="minorEastAsia" w:eastAsiaTheme="minorEastAsia" w:cstheme="minorEastAsia"/>
          <w:color w:val="000000" w:themeColor="text1"/>
          <w:spacing w:val="-1"/>
          <w:sz w:val="24"/>
          <w:szCs w:val="24"/>
          <w:u w:val="single"/>
          <w:lang w:eastAsia="zh-CN"/>
        </w:rPr>
        <w:t>无</w:t>
      </w:r>
      <w:r>
        <w:rPr>
          <w:rFonts w:hint="eastAsia" w:asciiTheme="minorEastAsia" w:hAnsiTheme="minorEastAsia" w:eastAsiaTheme="minorEastAsia" w:cstheme="minorEastAsia"/>
          <w:color w:val="000000" w:themeColor="text1"/>
          <w:spacing w:val="-1"/>
          <w:sz w:val="24"/>
          <w:szCs w:val="24"/>
          <w:lang w:eastAsia="zh-CN"/>
        </w:rPr>
        <w:t>。</w:t>
      </w:r>
    </w:p>
    <w:p w14:paraId="20953835">
      <w:pPr>
        <w:spacing w:before="93" w:line="219" w:lineRule="auto"/>
        <w:ind w:left="4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b.招标文件未规定的，采取随机抽取方式确定，其他</w:t>
      </w:r>
      <w:r>
        <w:rPr>
          <w:rFonts w:hint="eastAsia" w:asciiTheme="minorEastAsia" w:hAnsiTheme="minorEastAsia" w:eastAsiaTheme="minorEastAsia" w:cstheme="minorEastAsia"/>
          <w:b/>
          <w:bCs/>
          <w:color w:val="000000" w:themeColor="text1"/>
          <w:spacing w:val="-1"/>
          <w:sz w:val="24"/>
          <w:szCs w:val="24"/>
          <w:lang w:eastAsia="zh-CN"/>
        </w:rPr>
        <w:t>投标无效。</w:t>
      </w:r>
    </w:p>
    <w:p w14:paraId="3AE1E4DF">
      <w:pPr>
        <w:spacing w:before="95" w:line="274" w:lineRule="auto"/>
        <w:ind w:right="8" w:firstLine="4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②采用综合评分法的，提供相同品牌产品且通过资格审查、符合性审查的不同投标</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人参加同一合同项下投标的，按一家投标人计算，评审后得分最高的同品牌投标人作为</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中标候选人推荐；评审得分相同的，由评标委员会按照下列方式确定一个投标人作为中</w:t>
      </w:r>
      <w:r>
        <w:rPr>
          <w:rFonts w:hint="eastAsia" w:asciiTheme="minorEastAsia" w:hAnsiTheme="minorEastAsia" w:eastAsiaTheme="minorEastAsia" w:cstheme="minorEastAsia"/>
          <w:color w:val="000000" w:themeColor="text1"/>
          <w:spacing w:val="16"/>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标候选人推荐：</w:t>
      </w:r>
    </w:p>
    <w:p w14:paraId="66E98A23">
      <w:pPr>
        <w:spacing w:before="98" w:line="267" w:lineRule="auto"/>
        <w:ind w:right="8" w:firstLine="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a.招标文件规定的方式：综合得分相同的</w:t>
      </w:r>
      <w:r>
        <w:rPr>
          <w:rFonts w:hint="eastAsia" w:asciiTheme="minorEastAsia" w:hAnsiTheme="minorEastAsia" w:eastAsiaTheme="minorEastAsia" w:cstheme="minorEastAsia"/>
          <w:color w:val="000000" w:themeColor="text1"/>
          <w:spacing w:val="-3"/>
          <w:sz w:val="24"/>
          <w:szCs w:val="24"/>
          <w:lang w:eastAsia="zh-CN"/>
        </w:rPr>
        <w:t>，则按“报价部分</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”的得分高低排序；</w:t>
      </w:r>
      <w:r>
        <w:rPr>
          <w:rFonts w:hint="eastAsia" w:asciiTheme="minorEastAsia" w:hAnsiTheme="minorEastAsia" w:eastAsiaTheme="minorEastAsia" w:cstheme="minorEastAsia"/>
          <w:color w:val="000000" w:themeColor="text1"/>
          <w:spacing w:val="-2"/>
          <w:sz w:val="24"/>
          <w:szCs w:val="24"/>
          <w:lang w:eastAsia="zh-CN"/>
        </w:rPr>
        <w:t>综合得分及报价部分均相同的，则按“技术部分</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”的得</w:t>
      </w:r>
      <w:r>
        <w:rPr>
          <w:rFonts w:hint="eastAsia" w:asciiTheme="minorEastAsia" w:hAnsiTheme="minorEastAsia" w:eastAsiaTheme="minorEastAsia" w:cstheme="minorEastAsia"/>
          <w:color w:val="000000" w:themeColor="text1"/>
          <w:spacing w:val="-3"/>
          <w:sz w:val="24"/>
          <w:szCs w:val="24"/>
          <w:lang w:eastAsia="zh-CN"/>
        </w:rPr>
        <w:t>分高低排序；若</w:t>
      </w:r>
      <w:r>
        <w:rPr>
          <w:rFonts w:hint="eastAsia" w:asciiTheme="minorEastAsia" w:hAnsiTheme="minorEastAsia" w:eastAsiaTheme="minorEastAsia" w:cstheme="minorEastAsia"/>
          <w:color w:val="000000" w:themeColor="text1"/>
          <w:spacing w:val="-2"/>
          <w:sz w:val="24"/>
          <w:szCs w:val="24"/>
          <w:lang w:eastAsia="zh-CN"/>
        </w:rPr>
        <w:t>综合</w:t>
      </w:r>
      <w:r>
        <w:rPr>
          <w:rFonts w:hint="eastAsia" w:asciiTheme="minorEastAsia" w:hAnsiTheme="minorEastAsia" w:eastAsiaTheme="minorEastAsia" w:cstheme="minorEastAsia"/>
          <w:color w:val="000000" w:themeColor="text1"/>
          <w:spacing w:val="-3"/>
          <w:sz w:val="24"/>
          <w:szCs w:val="24"/>
          <w:lang w:eastAsia="zh-CN"/>
        </w:rPr>
        <w:t>得分相同且价</w:t>
      </w:r>
      <w:r>
        <w:rPr>
          <w:rFonts w:hint="eastAsia" w:asciiTheme="minorEastAsia" w:hAnsiTheme="minorEastAsia" w:eastAsiaTheme="minorEastAsia" w:cstheme="minorEastAsia"/>
          <w:color w:val="000000" w:themeColor="text1"/>
          <w:spacing w:val="-1"/>
          <w:sz w:val="24"/>
          <w:szCs w:val="24"/>
          <w:lang w:eastAsia="zh-CN"/>
        </w:rPr>
        <w:t>格部分与技术部分得分也相同的，则采取随机抽取方式确定。</w:t>
      </w:r>
    </w:p>
    <w:p w14:paraId="394A16CD">
      <w:pPr>
        <w:spacing w:before="98" w:line="257" w:lineRule="auto"/>
        <w:ind w:left="1" w:right="8" w:firstLine="47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b.招标文件未规定的，采取随机抽取方式</w:t>
      </w:r>
      <w:r>
        <w:rPr>
          <w:rFonts w:hint="eastAsia" w:asciiTheme="minorEastAsia" w:hAnsiTheme="minorEastAsia" w:eastAsiaTheme="minorEastAsia" w:cstheme="minorEastAsia"/>
          <w:color w:val="000000" w:themeColor="text1"/>
          <w:spacing w:val="-2"/>
          <w:sz w:val="24"/>
          <w:szCs w:val="24"/>
          <w:lang w:eastAsia="zh-CN"/>
        </w:rPr>
        <w:t>确定，其他同品牌投标人不作为中标候选</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人。</w:t>
      </w:r>
    </w:p>
    <w:p w14:paraId="6C0735E2">
      <w:pPr>
        <w:spacing w:before="91" w:line="255" w:lineRule="auto"/>
        <w:ind w:left="1" w:right="20" w:firstLine="4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③非单一产品招标项目，多家投标人提供的核心产品品牌相同的，按照本章第</w:t>
      </w:r>
      <w:r>
        <w:rPr>
          <w:rFonts w:hint="eastAsia" w:asciiTheme="minorEastAsia" w:hAnsiTheme="minorEastAsia" w:eastAsiaTheme="minorEastAsia" w:cstheme="minorEastAsia"/>
          <w:color w:val="000000" w:themeColor="text1"/>
          <w:spacing w:val="-3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5.4</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条第（2）款第①、②规定处理。</w:t>
      </w:r>
    </w:p>
    <w:p w14:paraId="62C3ECD3">
      <w:pPr>
        <w:spacing w:before="97" w:line="220"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（3）漏（缺）项</w:t>
      </w:r>
    </w:p>
    <w:p w14:paraId="75E9C17C">
      <w:pPr>
        <w:spacing w:before="92" w:line="256" w:lineRule="auto"/>
        <w:ind w:right="8" w:firstLine="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①招标文件中要求列入报价的费用（含配置、功能</w:t>
      </w:r>
      <w:r>
        <w:rPr>
          <w:rFonts w:hint="eastAsia" w:asciiTheme="minorEastAsia" w:hAnsiTheme="minorEastAsia" w:eastAsiaTheme="minorEastAsia" w:cstheme="minorEastAsia"/>
          <w:color w:val="000000" w:themeColor="text1"/>
          <w:spacing w:val="5"/>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rPr>
        <w:t>漏（缺）项的报价视为已经</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包括在投标总价中。</w:t>
      </w:r>
    </w:p>
    <w:p w14:paraId="74FE1B81">
      <w:pPr>
        <w:spacing w:before="96" w:line="217"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②对多报项及赠送项的价格评标时不予核减，全</w:t>
      </w:r>
      <w:r>
        <w:rPr>
          <w:rFonts w:hint="eastAsia" w:asciiTheme="minorEastAsia" w:hAnsiTheme="minorEastAsia" w:eastAsiaTheme="minorEastAsia" w:cstheme="minorEastAsia"/>
          <w:color w:val="000000" w:themeColor="text1"/>
          <w:spacing w:val="-1"/>
          <w:sz w:val="24"/>
          <w:szCs w:val="24"/>
          <w:lang w:eastAsia="zh-CN"/>
        </w:rPr>
        <w:t>部进入评标价评议。</w:t>
      </w:r>
    </w:p>
    <w:p w14:paraId="5EB6FC30">
      <w:pPr>
        <w:spacing w:before="97" w:line="219"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5.5</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推荐中标候选人：详见本章第</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6.2</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w:t>
      </w:r>
      <w:r>
        <w:rPr>
          <w:rFonts w:hint="eastAsia" w:asciiTheme="minorEastAsia" w:hAnsiTheme="minorEastAsia" w:eastAsiaTheme="minorEastAsia" w:cstheme="minorEastAsia"/>
          <w:color w:val="000000" w:themeColor="text1"/>
          <w:spacing w:val="-3"/>
          <w:sz w:val="24"/>
          <w:szCs w:val="24"/>
          <w:lang w:eastAsia="zh-CN"/>
        </w:rPr>
        <w:t>规定。</w:t>
      </w:r>
    </w:p>
    <w:p w14:paraId="0248BA4C">
      <w:pPr>
        <w:spacing w:before="97" w:line="218"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5.6</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编写评标报告</w:t>
      </w:r>
    </w:p>
    <w:p w14:paraId="670348EE">
      <w:pPr>
        <w:spacing w:before="96" w:line="379" w:lineRule="exact"/>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（1）评标报告由评标委员会负责编写。</w:t>
      </w:r>
    </w:p>
    <w:p w14:paraId="342DF54C">
      <w:pPr>
        <w:spacing w:before="1" w:line="217" w:lineRule="auto"/>
        <w:ind w:left="4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（2）评标报告应包括下列内容：</w:t>
      </w:r>
    </w:p>
    <w:p w14:paraId="13802ED1">
      <w:pPr>
        <w:spacing w:before="108" w:line="379" w:lineRule="exact"/>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①招标公告刊登的媒体名称、开标日期和地点；</w:t>
      </w:r>
    </w:p>
    <w:p w14:paraId="3A9483B8">
      <w:pPr>
        <w:spacing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②投标人名单和评标委员会成员名单；</w:t>
      </w:r>
    </w:p>
    <w:p w14:paraId="47DC8EA6">
      <w:pPr>
        <w:spacing w:before="97"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③评标方法和标准；</w:t>
      </w:r>
    </w:p>
    <w:p w14:paraId="24554CCA">
      <w:pPr>
        <w:spacing w:before="99" w:line="379" w:lineRule="exact"/>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④开标记录和评标情况及说明，包括无效投标人名单及原因；</w:t>
      </w:r>
    </w:p>
    <w:p w14:paraId="062201BD">
      <w:pPr>
        <w:spacing w:line="217"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⑤评标结果，包括中标候选人名单或确定的中标人；</w:t>
      </w:r>
    </w:p>
    <w:p w14:paraId="32BA0614">
      <w:pPr>
        <w:spacing w:before="98" w:line="256" w:lineRule="auto"/>
        <w:ind w:right="15" w:firstLine="4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⑥其他需要说明的情况，包括但不限于：评标过程中投标人的澄清、说明或补正，</w:t>
      </w:r>
      <w:r>
        <w:rPr>
          <w:rFonts w:hint="eastAsia" w:asciiTheme="minorEastAsia" w:hAnsiTheme="minorEastAsia" w:eastAsiaTheme="minorEastAsia" w:cstheme="minorEastAsia"/>
          <w:color w:val="000000" w:themeColor="text1"/>
          <w:spacing w:val="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评委更换等。</w:t>
      </w:r>
    </w:p>
    <w:p w14:paraId="1105B752">
      <w:pPr>
        <w:spacing w:before="94" w:line="274" w:lineRule="auto"/>
        <w:ind w:left="1" w:right="4" w:firstLine="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5.7</w:t>
      </w:r>
      <w:r>
        <w:rPr>
          <w:rFonts w:hint="eastAsia" w:asciiTheme="minorEastAsia" w:hAnsiTheme="minorEastAsia" w:eastAsiaTheme="minorEastAsia" w:cstheme="minorEastAsia"/>
          <w:color w:val="000000" w:themeColor="text1"/>
          <w:spacing w:val="-3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评标委员会认为投标人的报价明显低于其他通过符合性审查投标人的报价，有可能</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影响产品质量或不能诚信履约的，应要求其在评标现场合理的时间内提供书面说明，必</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要时还应要求其一并提交有关证明材料；投标人不能证明其报价合理性的，评标委员会</w:t>
      </w:r>
      <w:r>
        <w:rPr>
          <w:rFonts w:hint="eastAsia" w:asciiTheme="minorEastAsia" w:hAnsiTheme="minorEastAsia" w:eastAsiaTheme="minorEastAsia" w:cstheme="minorEastAsia"/>
          <w:color w:val="000000" w:themeColor="text1"/>
          <w:spacing w:val="17"/>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应将其作为</w:t>
      </w:r>
      <w:r>
        <w:rPr>
          <w:rFonts w:hint="eastAsia" w:asciiTheme="minorEastAsia" w:hAnsiTheme="minorEastAsia" w:eastAsiaTheme="minorEastAsia" w:cstheme="minorEastAsia"/>
          <w:b/>
          <w:bCs/>
          <w:color w:val="000000" w:themeColor="text1"/>
          <w:spacing w:val="-2"/>
          <w:sz w:val="24"/>
          <w:szCs w:val="24"/>
          <w:lang w:eastAsia="zh-CN"/>
        </w:rPr>
        <w:t>投标无效</w:t>
      </w:r>
      <w:r>
        <w:rPr>
          <w:rFonts w:hint="eastAsia" w:asciiTheme="minorEastAsia" w:hAnsiTheme="minorEastAsia" w:eastAsiaTheme="minorEastAsia" w:cstheme="minorEastAsia"/>
          <w:color w:val="000000" w:themeColor="text1"/>
          <w:spacing w:val="-2"/>
          <w:sz w:val="24"/>
          <w:szCs w:val="24"/>
          <w:lang w:eastAsia="zh-CN"/>
        </w:rPr>
        <w:t>处理。</w:t>
      </w:r>
    </w:p>
    <w:p w14:paraId="06E71EBE">
      <w:pPr>
        <w:spacing w:before="93" w:line="256" w:lineRule="auto"/>
        <w:ind w:left="4" w:right="16" w:hanging="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5.8</w:t>
      </w:r>
      <w:r>
        <w:rPr>
          <w:rFonts w:hint="eastAsia" w:asciiTheme="minorEastAsia" w:hAnsiTheme="minorEastAsia" w:eastAsiaTheme="minorEastAsia" w:cstheme="minorEastAsia"/>
          <w:color w:val="000000" w:themeColor="text1"/>
          <w:spacing w:val="-36"/>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评委对需要共同认定的事项存在争议的，应按照少数服从多数的原则进行认定。</w:t>
      </w:r>
      <w:r>
        <w:rPr>
          <w:rFonts w:hint="eastAsia" w:asciiTheme="minorEastAsia" w:hAnsiTheme="minorEastAsia" w:eastAsiaTheme="minorEastAsia" w:cstheme="minorEastAsia"/>
          <w:b/>
          <w:bCs/>
          <w:color w:val="000000" w:themeColor="text1"/>
          <w:spacing w:val="-1"/>
          <w:sz w:val="24"/>
          <w:szCs w:val="24"/>
          <w:lang w:eastAsia="zh-CN"/>
        </w:rPr>
        <w:t>持</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不同意见的评委应在评标报告上签署不同意见及理由，否则视为同意评标报</w:t>
      </w:r>
      <w:r>
        <w:rPr>
          <w:rFonts w:hint="eastAsia" w:asciiTheme="minorEastAsia" w:hAnsiTheme="minorEastAsia" w:eastAsiaTheme="minorEastAsia" w:cstheme="minorEastAsia"/>
          <w:b/>
          <w:bCs/>
          <w:color w:val="000000" w:themeColor="text1"/>
          <w:spacing w:val="-3"/>
          <w:sz w:val="24"/>
          <w:szCs w:val="24"/>
          <w:lang w:eastAsia="zh-CN"/>
        </w:rPr>
        <w:t>告。</w:t>
      </w:r>
    </w:p>
    <w:p w14:paraId="76007F52">
      <w:pPr>
        <w:spacing w:before="95" w:line="255" w:lineRule="auto"/>
        <w:ind w:left="2" w:right="1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5.9</w:t>
      </w:r>
      <w:r>
        <w:rPr>
          <w:rFonts w:hint="eastAsia" w:asciiTheme="minorEastAsia" w:hAnsiTheme="minorEastAsia" w:eastAsiaTheme="minorEastAsia" w:cstheme="minorEastAsia"/>
          <w:color w:val="000000" w:themeColor="text1"/>
          <w:spacing w:val="-3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在评标过程中发现投标人有下列情形之一的，评标委员会应认定其</w:t>
      </w:r>
      <w:r>
        <w:rPr>
          <w:rFonts w:hint="eastAsia" w:asciiTheme="minorEastAsia" w:hAnsiTheme="minorEastAsia" w:eastAsiaTheme="minorEastAsia" w:cstheme="minorEastAsia"/>
          <w:b/>
          <w:bCs/>
          <w:color w:val="000000" w:themeColor="text1"/>
          <w:spacing w:val="-1"/>
          <w:sz w:val="24"/>
          <w:szCs w:val="24"/>
          <w:lang w:eastAsia="zh-CN"/>
        </w:rPr>
        <w:t>投标无效</w:t>
      </w:r>
      <w:r>
        <w:rPr>
          <w:rFonts w:hint="eastAsia" w:asciiTheme="minorEastAsia" w:hAnsiTheme="minorEastAsia" w:eastAsiaTheme="minorEastAsia" w:cstheme="minorEastAsia"/>
          <w:color w:val="000000" w:themeColor="text1"/>
          <w:spacing w:val="-1"/>
          <w:sz w:val="24"/>
          <w:szCs w:val="24"/>
          <w:lang w:eastAsia="zh-CN"/>
        </w:rPr>
        <w:t>，并书</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面报告本项目监督管理部门：</w:t>
      </w:r>
    </w:p>
    <w:p w14:paraId="73396795">
      <w:pPr>
        <w:spacing w:before="97" w:line="256" w:lineRule="auto"/>
        <w:ind w:left="493" w:right="133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（1）恶意串通（包括但不限于招标文件第三章第</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9.7</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条规定情形</w:t>
      </w:r>
      <w:r>
        <w:rPr>
          <w:rFonts w:hint="eastAsia" w:asciiTheme="minorEastAsia" w:hAnsiTheme="minorEastAsia" w:eastAsiaTheme="minorEastAsia" w:cstheme="minorEastAsia"/>
          <w:color w:val="000000" w:themeColor="text1"/>
          <w:spacing w:val="-23"/>
          <w:sz w:val="24"/>
          <w:szCs w:val="24"/>
          <w:lang w:eastAsia="zh-CN"/>
        </w:rPr>
        <w:t>）；</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（2）妨碍其他投标人的竞争行为；</w:t>
      </w:r>
    </w:p>
    <w:p w14:paraId="3BBC23DC">
      <w:pPr>
        <w:spacing w:before="94" w:line="382" w:lineRule="exact"/>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（3）损害招标人或其他投标人的合法权益。</w:t>
      </w:r>
    </w:p>
    <w:p w14:paraId="06D2C528">
      <w:pPr>
        <w:spacing w:line="220"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5.10</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评标过程中，有下列情形之一的，应予废标：</w:t>
      </w:r>
    </w:p>
    <w:p w14:paraId="36CD2676">
      <w:pPr>
        <w:spacing w:before="94"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（1）符合性审查合格的投标人不足三家的；</w:t>
      </w:r>
    </w:p>
    <w:p w14:paraId="1EEF93AE">
      <w:pPr>
        <w:spacing w:before="93" w:line="219" w:lineRule="auto"/>
        <w:ind w:left="4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（2）有关法律、法规和规章规定废标的情形。</w:t>
      </w:r>
    </w:p>
    <w:p w14:paraId="4D4C6A8E">
      <w:pPr>
        <w:spacing w:before="98" w:line="255" w:lineRule="auto"/>
        <w:ind w:left="3" w:right="4" w:firstLine="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※若废标，则本次招标活动结束，</w:t>
      </w:r>
      <w:r>
        <w:rPr>
          <w:rFonts w:hint="eastAsia" w:asciiTheme="minorEastAsia" w:hAnsiTheme="minorEastAsia" w:eastAsiaTheme="minorEastAsia" w:cstheme="minorEastAsia"/>
          <w:color w:val="000000" w:themeColor="text1"/>
          <w:spacing w:val="-4"/>
          <w:sz w:val="24"/>
          <w:szCs w:val="24"/>
          <w:u w:val="single"/>
          <w:lang w:eastAsia="zh-CN"/>
        </w:rPr>
        <w:t>福建三仟招标有限公司</w:t>
      </w:r>
      <w:r>
        <w:rPr>
          <w:rFonts w:hint="eastAsia" w:asciiTheme="minorEastAsia" w:hAnsiTheme="minorEastAsia" w:eastAsiaTheme="minorEastAsia" w:cstheme="minorEastAsia"/>
          <w:b/>
          <w:bCs/>
          <w:color w:val="000000" w:themeColor="text1"/>
          <w:spacing w:val="-4"/>
          <w:sz w:val="24"/>
          <w:szCs w:val="24"/>
          <w:lang w:eastAsia="zh-CN"/>
        </w:rPr>
        <w:t>将依法组织</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后续招标活动（包括但不限于：重新招标、采用其他方式招标等</w:t>
      </w:r>
      <w:r>
        <w:rPr>
          <w:rFonts w:hint="eastAsia" w:asciiTheme="minorEastAsia" w:hAnsiTheme="minorEastAsia" w:eastAsiaTheme="minorEastAsia" w:cstheme="minorEastAsia"/>
          <w:b/>
          <w:bCs/>
          <w:color w:val="000000" w:themeColor="text1"/>
          <w:spacing w:val="-3"/>
          <w:sz w:val="24"/>
          <w:szCs w:val="24"/>
          <w:lang w:eastAsia="zh-CN"/>
        </w:rPr>
        <w:t>）。</w:t>
      </w:r>
    </w:p>
    <w:p w14:paraId="753E1418">
      <w:pPr>
        <w:spacing w:before="95" w:line="220" w:lineRule="auto"/>
        <w:ind w:left="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6、评标方法和标准</w:t>
      </w:r>
    </w:p>
    <w:p w14:paraId="10616709">
      <w:pPr>
        <w:spacing w:before="95" w:line="219" w:lineRule="auto"/>
        <w:ind w:left="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6.1</w:t>
      </w:r>
      <w:r>
        <w:rPr>
          <w:rFonts w:hint="eastAsia" w:asciiTheme="minorEastAsia" w:hAnsiTheme="minorEastAsia" w:eastAsiaTheme="minorEastAsia" w:cstheme="minorEastAsia"/>
          <w:color w:val="000000" w:themeColor="text1"/>
          <w:spacing w:val="-42"/>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评标方法：</w:t>
      </w:r>
      <w:r>
        <w:rPr>
          <w:rFonts w:hint="eastAsia" w:asciiTheme="minorEastAsia" w:hAnsiTheme="minorEastAsia" w:eastAsiaTheme="minorEastAsia" w:cstheme="minorEastAsia"/>
          <w:b/>
          <w:bCs/>
          <w:color w:val="000000" w:themeColor="text1"/>
          <w:spacing w:val="-3"/>
          <w:sz w:val="24"/>
          <w:szCs w:val="24"/>
          <w:lang w:eastAsia="zh-CN"/>
        </w:rPr>
        <w:t>采用综合评分法。</w:t>
      </w:r>
    </w:p>
    <w:p w14:paraId="3CB61C87">
      <w:pPr>
        <w:spacing w:before="112" w:line="308" w:lineRule="auto"/>
        <w:ind w:left="2" w:firstLine="539"/>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第一阶段：评标委员会按照招标法律法规及相关规定、招标文件规定</w:t>
      </w:r>
      <w:r>
        <w:rPr>
          <w:rFonts w:hint="eastAsia" w:asciiTheme="minorEastAsia" w:hAnsiTheme="minorEastAsia" w:eastAsiaTheme="minorEastAsia" w:cstheme="minorEastAsia"/>
          <w:color w:val="000000" w:themeColor="text1"/>
          <w:spacing w:val="-4"/>
          <w:sz w:val="24"/>
          <w:szCs w:val="24"/>
          <w:lang w:eastAsia="zh-CN"/>
        </w:rPr>
        <w:t>的评标方法和</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标准，对通过资格性及符合性审查的技术商务文</w:t>
      </w:r>
      <w:r>
        <w:rPr>
          <w:rFonts w:hint="eastAsia" w:asciiTheme="minorEastAsia" w:hAnsiTheme="minorEastAsia" w:eastAsiaTheme="minorEastAsia" w:cstheme="minorEastAsia"/>
          <w:color w:val="000000" w:themeColor="text1"/>
          <w:spacing w:val="-2"/>
          <w:sz w:val="24"/>
          <w:szCs w:val="24"/>
          <w:lang w:eastAsia="zh-CN"/>
        </w:rPr>
        <w:t>件进行评审，评出实质性响应招标文件</w:t>
      </w:r>
      <w:r>
        <w:rPr>
          <w:rFonts w:hint="eastAsia" w:asciiTheme="minorEastAsia" w:hAnsiTheme="minorEastAsia" w:eastAsiaTheme="minorEastAsia" w:cstheme="minorEastAsia"/>
          <w:color w:val="000000" w:themeColor="text1"/>
          <w:spacing w:val="-4"/>
          <w:sz w:val="24"/>
          <w:szCs w:val="24"/>
          <w:lang w:eastAsia="zh-CN"/>
        </w:rPr>
        <w:t>技术商务要求的投标人，并计算出各投标人技术商务部分</w:t>
      </w:r>
      <w:r>
        <w:rPr>
          <w:rFonts w:hint="eastAsia" w:asciiTheme="minorEastAsia" w:hAnsiTheme="minorEastAsia" w:eastAsiaTheme="minorEastAsia" w:cstheme="minorEastAsia"/>
          <w:color w:val="000000" w:themeColor="text1"/>
          <w:spacing w:val="-5"/>
          <w:sz w:val="24"/>
          <w:szCs w:val="24"/>
          <w:lang w:eastAsia="zh-CN"/>
        </w:rPr>
        <w:t>的得分。</w:t>
      </w:r>
    </w:p>
    <w:p w14:paraId="1D151A4A">
      <w:pPr>
        <w:spacing w:before="112" w:line="308" w:lineRule="auto"/>
        <w:ind w:left="2" w:firstLine="539"/>
        <w:jc w:val="both"/>
        <w:rPr>
          <w:rFonts w:hint="eastAsia" w:asciiTheme="minorEastAsia" w:hAnsiTheme="minorEastAsia" w:eastAsiaTheme="minorEastAsia" w:cstheme="minorEastAsia"/>
          <w:color w:val="000000" w:themeColor="text1"/>
          <w:spacing w:val="-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第二</w:t>
      </w:r>
      <w:r>
        <w:rPr>
          <w:rFonts w:hint="eastAsia" w:asciiTheme="minorEastAsia" w:hAnsiTheme="minorEastAsia" w:eastAsiaTheme="minorEastAsia" w:cstheme="minorEastAsia"/>
          <w:color w:val="000000" w:themeColor="text1"/>
          <w:spacing w:val="-1"/>
          <w:sz w:val="24"/>
          <w:szCs w:val="24"/>
          <w:lang w:eastAsia="zh-CN"/>
        </w:rPr>
        <w:t>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40ADF73E">
      <w:pPr>
        <w:spacing w:before="112" w:line="308" w:lineRule="auto"/>
        <w:ind w:left="2" w:firstLine="539"/>
        <w:jc w:val="both"/>
        <w:rPr>
          <w:rFonts w:hint="eastAsia" w:asciiTheme="minorEastAsia" w:hAnsiTheme="minorEastAsia" w:eastAsiaTheme="minorEastAsia" w:cstheme="minorEastAsia"/>
          <w:color w:val="000000" w:themeColor="text1"/>
          <w:spacing w:val="-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最后将两阶段相加汇总计算各合格投标人的综合得分，并按各合格投标人的综合得分由高到低顺序推荐一名中标候选人。</w:t>
      </w:r>
      <w:r>
        <w:rPr>
          <w:rFonts w:hint="eastAsia" w:asciiTheme="minorEastAsia" w:hAnsiTheme="minorEastAsia" w:eastAsiaTheme="minorEastAsia" w:cstheme="minorEastAsia"/>
          <w:color w:val="000000" w:themeColor="text1"/>
          <w:spacing w:val="-2"/>
          <w:sz w:val="24"/>
          <w:szCs w:val="24"/>
          <w:lang w:eastAsia="zh-CN"/>
        </w:rPr>
        <w:t>综合得分相同的</w:t>
      </w:r>
      <w:r>
        <w:rPr>
          <w:rFonts w:hint="eastAsia" w:asciiTheme="minorEastAsia" w:hAnsiTheme="minorEastAsia" w:eastAsiaTheme="minorEastAsia" w:cstheme="minorEastAsia"/>
          <w:color w:val="000000" w:themeColor="text1"/>
          <w:spacing w:val="-3"/>
          <w:sz w:val="24"/>
          <w:szCs w:val="24"/>
          <w:lang w:eastAsia="zh-CN"/>
        </w:rPr>
        <w:t>，则按“报价部分</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”的得分高低排序；</w:t>
      </w:r>
      <w:r>
        <w:rPr>
          <w:rFonts w:hint="eastAsia" w:asciiTheme="minorEastAsia" w:hAnsiTheme="minorEastAsia" w:eastAsiaTheme="minorEastAsia" w:cstheme="minorEastAsia"/>
          <w:color w:val="000000" w:themeColor="text1"/>
          <w:spacing w:val="-2"/>
          <w:sz w:val="24"/>
          <w:szCs w:val="24"/>
          <w:lang w:eastAsia="zh-CN"/>
        </w:rPr>
        <w:t>综合得分及报价部分均相同的，则按“技术部分</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”的得</w:t>
      </w:r>
      <w:r>
        <w:rPr>
          <w:rFonts w:hint="eastAsia" w:asciiTheme="minorEastAsia" w:hAnsiTheme="minorEastAsia" w:eastAsiaTheme="minorEastAsia" w:cstheme="minorEastAsia"/>
          <w:color w:val="000000" w:themeColor="text1"/>
          <w:spacing w:val="-3"/>
          <w:sz w:val="24"/>
          <w:szCs w:val="24"/>
          <w:lang w:eastAsia="zh-CN"/>
        </w:rPr>
        <w:t>分高低排序；若</w:t>
      </w:r>
      <w:r>
        <w:rPr>
          <w:rFonts w:hint="eastAsia" w:asciiTheme="minorEastAsia" w:hAnsiTheme="minorEastAsia" w:eastAsiaTheme="minorEastAsia" w:cstheme="minorEastAsia"/>
          <w:color w:val="000000" w:themeColor="text1"/>
          <w:spacing w:val="-2"/>
          <w:sz w:val="24"/>
          <w:szCs w:val="24"/>
          <w:lang w:eastAsia="zh-CN"/>
        </w:rPr>
        <w:t>综合</w:t>
      </w:r>
      <w:r>
        <w:rPr>
          <w:rFonts w:hint="eastAsia" w:asciiTheme="minorEastAsia" w:hAnsiTheme="minorEastAsia" w:eastAsiaTheme="minorEastAsia" w:cstheme="minorEastAsia"/>
          <w:color w:val="000000" w:themeColor="text1"/>
          <w:spacing w:val="-3"/>
          <w:sz w:val="24"/>
          <w:szCs w:val="24"/>
          <w:lang w:eastAsia="zh-CN"/>
        </w:rPr>
        <w:t>得分相同且价</w:t>
      </w:r>
      <w:r>
        <w:rPr>
          <w:rFonts w:hint="eastAsia" w:asciiTheme="minorEastAsia" w:hAnsiTheme="minorEastAsia" w:eastAsiaTheme="minorEastAsia" w:cstheme="minorEastAsia"/>
          <w:color w:val="000000" w:themeColor="text1"/>
          <w:spacing w:val="-1"/>
          <w:sz w:val="24"/>
          <w:szCs w:val="24"/>
          <w:lang w:eastAsia="zh-CN"/>
        </w:rPr>
        <w:t>格部分与技术部分得分也相同的，则评标委员会在有关监督人员的监督下通过随机抽签的形式，确定排名顺序。</w:t>
      </w:r>
    </w:p>
    <w:p w14:paraId="61818B5B">
      <w:pPr>
        <w:spacing w:before="112" w:line="219" w:lineRule="auto"/>
        <w:ind w:left="42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各部分评分分值分布如下：</w:t>
      </w:r>
    </w:p>
    <w:p w14:paraId="0CC8B52D">
      <w:pPr>
        <w:spacing w:before="116" w:line="219" w:lineRule="auto"/>
        <w:ind w:left="421"/>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spacing w:val="-1"/>
          <w:sz w:val="24"/>
          <w:szCs w:val="24"/>
          <w:lang w:eastAsia="zh-CN"/>
        </w:rPr>
        <w:t xml:space="preserve">A：技术部分评分     </w:t>
      </w:r>
      <w:r>
        <w:rPr>
          <w:rFonts w:hint="eastAsia" w:asciiTheme="minorEastAsia" w:hAnsiTheme="minorEastAsia" w:eastAsiaTheme="minorEastAsia" w:cstheme="minorEastAsia"/>
          <w:color w:val="auto"/>
          <w:spacing w:val="-2"/>
          <w:sz w:val="24"/>
          <w:szCs w:val="24"/>
          <w:lang w:eastAsia="zh-CN"/>
        </w:rPr>
        <w:t xml:space="preserve">      满分 50分</w:t>
      </w:r>
    </w:p>
    <w:p w14:paraId="09EF7EBF">
      <w:pPr>
        <w:spacing w:before="116" w:line="219" w:lineRule="auto"/>
        <w:ind w:left="421"/>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B：商务部分评分           满分 10分</w:t>
      </w:r>
    </w:p>
    <w:p w14:paraId="2D7B3E1F">
      <w:pPr>
        <w:spacing w:before="116" w:line="219" w:lineRule="auto"/>
        <w:ind w:left="421"/>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C：报价部分评分           满分 40分</w:t>
      </w:r>
    </w:p>
    <w:p w14:paraId="683B7E2B">
      <w:pPr>
        <w:spacing w:before="116" w:line="219" w:lineRule="auto"/>
        <w:ind w:left="42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各评委评分 A、B 部分分别取算术平均值为</w:t>
      </w:r>
      <w:r>
        <w:rPr>
          <w:rFonts w:hint="eastAsia" w:asciiTheme="minorEastAsia" w:hAnsiTheme="minorEastAsia" w:eastAsiaTheme="minorEastAsia" w:cstheme="minorEastAsia"/>
          <w:color w:val="auto"/>
          <w:spacing w:val="-1"/>
          <w:sz w:val="24"/>
          <w:szCs w:val="24"/>
          <w:lang w:eastAsia="zh-CN"/>
        </w:rPr>
        <w:t>最终</w:t>
      </w:r>
      <w:r>
        <w:rPr>
          <w:rFonts w:hint="eastAsia" w:asciiTheme="minorEastAsia" w:hAnsiTheme="minorEastAsia" w:eastAsiaTheme="minorEastAsia" w:cstheme="minorEastAsia"/>
          <w:color w:val="auto"/>
          <w:spacing w:val="-2"/>
          <w:sz w:val="24"/>
          <w:szCs w:val="24"/>
          <w:lang w:eastAsia="zh-CN"/>
        </w:rPr>
        <w:t>得分，并取小数点后的</w:t>
      </w:r>
      <w:r>
        <w:rPr>
          <w:rFonts w:hint="eastAsia" w:asciiTheme="minorEastAsia" w:hAnsiTheme="minorEastAsia" w:eastAsiaTheme="minorEastAsia" w:cstheme="minorEastAsia"/>
          <w:color w:val="auto"/>
          <w:spacing w:val="-48"/>
          <w:sz w:val="24"/>
          <w:szCs w:val="24"/>
          <w:lang w:eastAsia="zh-CN"/>
        </w:rPr>
        <w:t xml:space="preserve"> </w:t>
      </w:r>
      <w:r>
        <w:rPr>
          <w:rFonts w:hint="eastAsia" w:asciiTheme="minorEastAsia" w:hAnsiTheme="minorEastAsia" w:eastAsiaTheme="minorEastAsia" w:cstheme="minorEastAsia"/>
          <w:color w:val="auto"/>
          <w:spacing w:val="-2"/>
          <w:sz w:val="24"/>
          <w:szCs w:val="24"/>
          <w:lang w:eastAsia="zh-CN"/>
        </w:rPr>
        <w:t>2</w:t>
      </w:r>
      <w:r>
        <w:rPr>
          <w:rFonts w:hint="eastAsia" w:asciiTheme="minorEastAsia" w:hAnsiTheme="minorEastAsia" w:eastAsiaTheme="minorEastAsia" w:cstheme="minorEastAsia"/>
          <w:color w:val="auto"/>
          <w:spacing w:val="-51"/>
          <w:sz w:val="24"/>
          <w:szCs w:val="24"/>
          <w:lang w:eastAsia="zh-CN"/>
        </w:rPr>
        <w:t xml:space="preserve"> </w:t>
      </w:r>
      <w:r>
        <w:rPr>
          <w:rFonts w:hint="eastAsia" w:asciiTheme="minorEastAsia" w:hAnsiTheme="minorEastAsia" w:eastAsiaTheme="minorEastAsia" w:cstheme="minorEastAsia"/>
          <w:color w:val="auto"/>
          <w:spacing w:val="-2"/>
          <w:sz w:val="24"/>
          <w:szCs w:val="24"/>
          <w:lang w:eastAsia="zh-CN"/>
        </w:rPr>
        <w:t>位。</w:t>
      </w:r>
    </w:p>
    <w:p w14:paraId="05996CAE">
      <w:pPr>
        <w:spacing w:line="440" w:lineRule="exact"/>
        <w:ind w:left="421"/>
        <w:rPr>
          <w:rFonts w:hint="eastAsia" w:asciiTheme="minorEastAsia" w:hAnsiTheme="minorEastAsia" w:eastAsiaTheme="minorEastAsia" w:cstheme="minorEastAsia"/>
          <w:color w:val="auto"/>
          <w:spacing w:val="-2"/>
          <w:lang w:eastAsia="zh-CN"/>
        </w:rPr>
      </w:pPr>
      <w:r>
        <w:rPr>
          <w:rFonts w:hint="eastAsia" w:asciiTheme="minorEastAsia" w:hAnsiTheme="minorEastAsia" w:eastAsiaTheme="minorEastAsia" w:cstheme="minorEastAsia"/>
          <w:color w:val="auto"/>
          <w:spacing w:val="-2"/>
          <w:lang w:eastAsia="zh-CN"/>
        </w:rPr>
        <w:t>综合得分为：A+B+C</w:t>
      </w:r>
    </w:p>
    <w:p w14:paraId="6580BB2E">
      <w:pPr>
        <w:spacing w:line="440" w:lineRule="exact"/>
        <w:ind w:left="421"/>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color w:val="auto"/>
          <w:spacing w:val="-2"/>
          <w:lang w:eastAsia="zh-CN"/>
        </w:rPr>
        <w:t xml:space="preserve">A:技术部分评分           </w:t>
      </w:r>
      <w:r>
        <w:rPr>
          <w:rFonts w:hint="eastAsia" w:asciiTheme="minorEastAsia" w:hAnsiTheme="minorEastAsia" w:eastAsiaTheme="minorEastAsia" w:cstheme="minorEastAsia"/>
          <w:bCs/>
          <w:color w:val="auto"/>
          <w:spacing w:val="-2"/>
          <w:lang w:eastAsia="zh-CN"/>
        </w:rPr>
        <w:t>满分 50分</w:t>
      </w:r>
    </w:p>
    <w:tbl>
      <w:tblPr>
        <w:tblStyle w:val="16"/>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59"/>
        <w:gridCol w:w="6980"/>
      </w:tblGrid>
      <w:tr w14:paraId="494A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center"/>
          </w:tcPr>
          <w:p w14:paraId="3F16CA89">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059" w:type="dxa"/>
            <w:vAlign w:val="center"/>
          </w:tcPr>
          <w:p w14:paraId="7961AA20">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6980" w:type="dxa"/>
          </w:tcPr>
          <w:p w14:paraId="0168C137">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描述</w:t>
            </w:r>
          </w:p>
        </w:tc>
      </w:tr>
      <w:tr w14:paraId="4DED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1473F668">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1、技术响应情况</w:t>
            </w:r>
          </w:p>
        </w:tc>
        <w:tc>
          <w:tcPr>
            <w:tcW w:w="1059" w:type="dxa"/>
            <w:vAlign w:val="center"/>
          </w:tcPr>
          <w:p w14:paraId="4EB3E5EE">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lang w:eastAsia="zh-CN"/>
              </w:rPr>
              <w:t>38</w:t>
            </w:r>
          </w:p>
        </w:tc>
        <w:tc>
          <w:tcPr>
            <w:tcW w:w="6980" w:type="dxa"/>
          </w:tcPr>
          <w:p w14:paraId="3B021FE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根据各投标人所投设备对“第五章招标内容及要求”中“二、技术和服务要求”各项要求的响应情况，由评委进行评议：①完全满足技术和服务要求的得38分（合计76</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项）；②标注“★”条款为实质性要求（合计4项），不得出现负偏离，否则按无效投标处理；③标注“▲”的技术评审项（合计</w:t>
            </w:r>
            <w:r>
              <w:rPr>
                <w:rFonts w:hint="eastAsia" w:asciiTheme="minorEastAsia" w:hAnsiTheme="minorEastAsia" w:eastAsiaTheme="minorEastAsia" w:cstheme="minorEastAsia"/>
                <w:highlight w:val="none"/>
                <w:lang w:eastAsia="zh-CN"/>
              </w:rPr>
              <w:t>10项）每负偏离一项扣2分，计20分；④其余未标符号的为一般技术评审项，每负偏离一项扣0.024分，计18分（合计750项），正偏离不加分，扣完为止。（注：①招标文件技术相关要求中若有要求投标人提供相关佐证材料的条款，应提供相关佐证材料（必须在佐证材料中注明佐证的技术条款）且在“技术和服务要求响应表”中标注相应页码，投标人提供的响应材料与其要求的佐证材料不一致的，评标委员会将以不利于投标人的内容为准进行评审（负偏离）,②投标人必须根据</w:t>
            </w:r>
            <w:r>
              <w:rPr>
                <w:rFonts w:hint="eastAsia" w:asciiTheme="minorEastAsia" w:hAnsiTheme="minorEastAsia" w:eastAsiaTheme="minorEastAsia" w:cstheme="minorEastAsia"/>
                <w:lang w:eastAsia="zh-CN"/>
              </w:rPr>
              <w:t>该评审内容，对照招标文件的要求逐项进行应答，如实说明正、负偏离情况，否则，有可能做出不利于投标人的评判（负偏离）。）</w:t>
            </w:r>
          </w:p>
        </w:tc>
      </w:tr>
      <w:tr w14:paraId="714F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18BC9F7D">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2、全倒装COB直显屏</w:t>
            </w:r>
          </w:p>
        </w:tc>
        <w:tc>
          <w:tcPr>
            <w:tcW w:w="1059" w:type="dxa"/>
            <w:vAlign w:val="center"/>
          </w:tcPr>
          <w:p w14:paraId="1F004354">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3.00</w:t>
            </w:r>
          </w:p>
        </w:tc>
        <w:tc>
          <w:tcPr>
            <w:tcW w:w="6980" w:type="dxa"/>
          </w:tcPr>
          <w:p w14:paraId="669283C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所投的全倒装COB直显屏具有高密度LED显示屏拼缝亮度补偿调节方法与相应算法，能够减弱由于LED显示模块间拼缝导致的不均匀的亮、暗线现象，提升显示屏的显示效果。投标人须提供相关证明文件复印件（加盖投标人公章），并提供国家官方网站的查询结果截图，并说明查询链接及方法以便于验证。符合要求的得3分，未提供的不得分。</w:t>
            </w:r>
          </w:p>
        </w:tc>
      </w:tr>
      <w:tr w14:paraId="17A0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4A18B58E">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3、无纸会议系统后台管理程序软件</w:t>
            </w:r>
          </w:p>
        </w:tc>
        <w:tc>
          <w:tcPr>
            <w:tcW w:w="1059" w:type="dxa"/>
            <w:vAlign w:val="center"/>
          </w:tcPr>
          <w:p w14:paraId="56456A42">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3.00</w:t>
            </w:r>
          </w:p>
        </w:tc>
        <w:tc>
          <w:tcPr>
            <w:tcW w:w="6980" w:type="dxa"/>
          </w:tcPr>
          <w:p w14:paraId="4D20C90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出于信息安全考虑，要求投标的无纸会议系统后台管理程序软件需通过信息系统安全等级（二级或以上）保护备案，提供公安机关出具的备案证明复印件。符合要求的得3分，未提供的不得分。</w:t>
            </w:r>
          </w:p>
        </w:tc>
      </w:tr>
      <w:tr w14:paraId="2EF7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0D81011D">
            <w:pPr>
              <w:spacing w:line="400" w:lineRule="exact"/>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4、方案优化建议</w:t>
            </w:r>
          </w:p>
        </w:tc>
        <w:tc>
          <w:tcPr>
            <w:tcW w:w="1059" w:type="dxa"/>
            <w:vAlign w:val="center"/>
          </w:tcPr>
          <w:p w14:paraId="6414C61B">
            <w:pPr>
              <w:spacing w:line="400" w:lineRule="exact"/>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2.00</w:t>
            </w:r>
          </w:p>
        </w:tc>
        <w:tc>
          <w:tcPr>
            <w:tcW w:w="6980" w:type="dxa"/>
          </w:tcPr>
          <w:p w14:paraId="04C503A4">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投标人针对本项目提的方案优化建议（包含但不限于：①系统配置优化、②系统功能优化、③布局调整建议等），结合现场环境以及实际需求，对投标人的方案进行评价：建议完善内容详细具体、合理高、可行性高、切合项目实际情况的得2分；建议内容存在缺漏但基本符合建设要求的得1分。方案内容不符合本项目要求或未提供的本项不得分。</w:t>
            </w:r>
          </w:p>
        </w:tc>
      </w:tr>
      <w:tr w14:paraId="00BB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420289D9">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5、系统运行保障方案</w:t>
            </w:r>
          </w:p>
        </w:tc>
        <w:tc>
          <w:tcPr>
            <w:tcW w:w="1059" w:type="dxa"/>
            <w:vAlign w:val="center"/>
          </w:tcPr>
          <w:p w14:paraId="3118EEC8">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2.00</w:t>
            </w:r>
          </w:p>
        </w:tc>
        <w:tc>
          <w:tcPr>
            <w:tcW w:w="6980" w:type="dxa"/>
          </w:tcPr>
          <w:p w14:paraId="0754ACC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投标人针对本项目提供的指挥中心过度搬迁及施工期间系统运行保障方案（包含但不限于：①搬迁选址、②各系统现状及搬迁方案、③施工期间系统运行保障措施等），结合现场环境以及实际需求，对投标人的方案进行评价：方案完善内容详细具体、合理高、可行性高、切合项目实际情况的得2分；方案内容存在缺漏但基本符合服务要求的得1分。方案内容不符合本项目要求或未提供的本项不得分。</w:t>
            </w:r>
          </w:p>
        </w:tc>
      </w:tr>
      <w:tr w14:paraId="7500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 w:type="dxa"/>
            <w:vAlign w:val="center"/>
          </w:tcPr>
          <w:p w14:paraId="26FE6D32">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6、施工组织方案</w:t>
            </w:r>
          </w:p>
        </w:tc>
        <w:tc>
          <w:tcPr>
            <w:tcW w:w="1059" w:type="dxa"/>
            <w:vAlign w:val="center"/>
          </w:tcPr>
          <w:p w14:paraId="0CDFCF15">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2.00</w:t>
            </w:r>
          </w:p>
        </w:tc>
        <w:tc>
          <w:tcPr>
            <w:tcW w:w="6980" w:type="dxa"/>
          </w:tcPr>
          <w:p w14:paraId="522E506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投标人针对本项目提供的施工组织方案（包含但不限于：施工现场采取：①环保、消防、②文明等施工技术措施等）由评标委员会进行评分根据招标人为监狱企业特性，结合现场环境以及实际需求，对投标人的方案进行评价：涉及以上要点且内容详细具体、科学合理、有针对性、可实施、切合项目实际情况的得2分；方案内容存在缺漏但基本符合要求的得1分。方案内容不符合本项目要求或未提供的本项不得分。</w:t>
            </w:r>
          </w:p>
        </w:tc>
      </w:tr>
    </w:tbl>
    <w:p w14:paraId="29F5915A">
      <w:pPr>
        <w:spacing w:line="440" w:lineRule="exact"/>
        <w:ind w:left="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B：商务部分评分           满分</w:t>
      </w:r>
      <w:r>
        <w:rPr>
          <w:rFonts w:hint="eastAsia" w:asciiTheme="minorEastAsia" w:hAnsiTheme="minorEastAsia" w:eastAsiaTheme="minorEastAsia" w:cstheme="minorEastAsia"/>
          <w:spacing w:val="-17"/>
          <w:lang w:eastAsia="zh-CN"/>
        </w:rPr>
        <w:t xml:space="preserve"> </w:t>
      </w:r>
      <w:r>
        <w:rPr>
          <w:rFonts w:hint="eastAsia" w:asciiTheme="minorEastAsia" w:hAnsiTheme="minorEastAsia" w:eastAsiaTheme="minorEastAsia" w:cstheme="minorEastAsia"/>
          <w:spacing w:val="-2"/>
          <w:lang w:eastAsia="zh-CN"/>
        </w:rPr>
        <w:t>10分</w:t>
      </w:r>
    </w:p>
    <w:tbl>
      <w:tblPr>
        <w:tblStyle w:val="1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03"/>
        <w:gridCol w:w="7121"/>
      </w:tblGrid>
      <w:tr w14:paraId="00A8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0" w:type="dxa"/>
            <w:shd w:val="clear" w:color="auto" w:fill="auto"/>
            <w:vAlign w:val="center"/>
          </w:tcPr>
          <w:p w14:paraId="527AD5EF">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评审因素</w:t>
            </w:r>
          </w:p>
        </w:tc>
        <w:tc>
          <w:tcPr>
            <w:tcW w:w="1003" w:type="dxa"/>
            <w:shd w:val="clear" w:color="auto" w:fill="auto"/>
            <w:vAlign w:val="center"/>
          </w:tcPr>
          <w:p w14:paraId="2DE4D437">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分值</w:t>
            </w:r>
          </w:p>
        </w:tc>
        <w:tc>
          <w:tcPr>
            <w:tcW w:w="7121" w:type="dxa"/>
            <w:shd w:val="clear" w:color="auto" w:fill="auto"/>
            <w:vAlign w:val="center"/>
          </w:tcPr>
          <w:p w14:paraId="145A54D3">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评分标准</w:t>
            </w:r>
          </w:p>
        </w:tc>
      </w:tr>
      <w:tr w14:paraId="37DE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14:paraId="5B8264EA">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1、业绩情况</w:t>
            </w:r>
          </w:p>
        </w:tc>
        <w:tc>
          <w:tcPr>
            <w:tcW w:w="1003" w:type="dxa"/>
            <w:shd w:val="clear" w:color="auto" w:fill="auto"/>
            <w:vAlign w:val="center"/>
          </w:tcPr>
          <w:p w14:paraId="0990711A">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w:t>
            </w:r>
          </w:p>
        </w:tc>
        <w:tc>
          <w:tcPr>
            <w:tcW w:w="7121" w:type="dxa"/>
            <w:shd w:val="clear" w:color="auto" w:fill="auto"/>
            <w:vAlign w:val="center"/>
          </w:tcPr>
          <w:p w14:paraId="79F7525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自2020年1月1日以来承担的（以合同签订时间为准）类似本项目业绩有效证明文件进行评价，每提供1个得0.5分，满分1分；其他不得分。投标人须同时提供该业绩项目以下资料的有效复印件（原件备查）：（1）中标（成交）公告（提供相关网站中标或成交公告的下载网页及其网址）；（2）中标（成交）通知书；（3）项目合同文本；（4）能够证明该业绩项目已经招标人验收合格的相关证明文件。 如未按照以上要求提供该项目业绩完整资料的，本项不得分。</w:t>
            </w:r>
          </w:p>
        </w:tc>
      </w:tr>
      <w:tr w14:paraId="4C3F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90" w:type="dxa"/>
            <w:shd w:val="clear" w:color="auto" w:fill="auto"/>
            <w:vAlign w:val="center"/>
          </w:tcPr>
          <w:p w14:paraId="44B8607A">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2、售后服务</w:t>
            </w:r>
          </w:p>
        </w:tc>
        <w:tc>
          <w:tcPr>
            <w:tcW w:w="1003" w:type="dxa"/>
            <w:shd w:val="clear" w:color="auto" w:fill="auto"/>
            <w:vAlign w:val="center"/>
          </w:tcPr>
          <w:p w14:paraId="42D6B1A8">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7121" w:type="dxa"/>
            <w:shd w:val="clear" w:color="auto" w:fill="auto"/>
            <w:vAlign w:val="center"/>
          </w:tcPr>
          <w:p w14:paraId="3D9C02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根据投标人针对本项目提供的售后服务承诺函进行评分：在项目售后服务3年的基础上，每承诺增加一年得0.5分，最多得1分。须提供专项承诺函加盖投标人公章，否则不得分。</w:t>
            </w:r>
          </w:p>
        </w:tc>
      </w:tr>
      <w:tr w14:paraId="38ED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90" w:type="dxa"/>
            <w:vMerge w:val="restart"/>
            <w:shd w:val="clear" w:color="auto" w:fill="auto"/>
            <w:vAlign w:val="center"/>
          </w:tcPr>
          <w:p w14:paraId="72CD080D">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3、项目团队力量</w:t>
            </w:r>
          </w:p>
        </w:tc>
        <w:tc>
          <w:tcPr>
            <w:tcW w:w="1003" w:type="dxa"/>
            <w:shd w:val="clear" w:color="auto" w:fill="auto"/>
            <w:vAlign w:val="center"/>
          </w:tcPr>
          <w:p w14:paraId="569E7797">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3</w:t>
            </w:r>
          </w:p>
        </w:tc>
        <w:tc>
          <w:tcPr>
            <w:tcW w:w="7121" w:type="dxa"/>
            <w:shd w:val="clear" w:color="auto" w:fill="auto"/>
            <w:vAlign w:val="center"/>
          </w:tcPr>
          <w:p w14:paraId="465022B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投标人须为项目配备1名项目负责人，须提供该人员下述有效期内证书扫描件或复印件及投标截止时间前六个月中任一个月份（不含投标截止时间的当月）投标人为其缴交社保证明材料，并加盖投标人公章。</w:t>
            </w:r>
          </w:p>
          <w:p w14:paraId="0BAD412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根据项目负责人专业认证证书进行评分：</w:t>
            </w:r>
          </w:p>
          <w:p w14:paraId="6B77136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1、信息系统项目管理师证书</w:t>
            </w:r>
          </w:p>
          <w:p w14:paraId="4038E0B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2、系统分析师证书</w:t>
            </w:r>
          </w:p>
          <w:p w14:paraId="44B1F78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3、系统规划与管理师证书</w:t>
            </w:r>
          </w:p>
          <w:p w14:paraId="7B970B62">
            <w:pPr>
              <w:pStyle w:val="8"/>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4、信息安全保障人员认证证书（风险管理方向）</w:t>
            </w:r>
          </w:p>
          <w:p w14:paraId="4E698A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以上证书同时具备得3分，同时具备3本得2分，同时具备2本得1分，其他不得分。</w:t>
            </w:r>
          </w:p>
        </w:tc>
      </w:tr>
      <w:tr w14:paraId="06DA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0" w:type="dxa"/>
            <w:vMerge w:val="continue"/>
            <w:shd w:val="clear" w:color="auto" w:fill="auto"/>
            <w:vAlign w:val="center"/>
          </w:tcPr>
          <w:p w14:paraId="122746C3">
            <w:pPr>
              <w:spacing w:line="400" w:lineRule="exact"/>
              <w:jc w:val="center"/>
              <w:rPr>
                <w:rFonts w:hint="eastAsia" w:asciiTheme="minorEastAsia" w:hAnsiTheme="minorEastAsia" w:eastAsiaTheme="minorEastAsia" w:cstheme="minorEastAsia"/>
                <w:lang w:eastAsia="zh-CN"/>
              </w:rPr>
            </w:pPr>
          </w:p>
        </w:tc>
        <w:tc>
          <w:tcPr>
            <w:tcW w:w="1003" w:type="dxa"/>
            <w:shd w:val="clear" w:color="auto" w:fill="auto"/>
            <w:vAlign w:val="center"/>
          </w:tcPr>
          <w:p w14:paraId="29D92120">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2</w:t>
            </w:r>
          </w:p>
        </w:tc>
        <w:tc>
          <w:tcPr>
            <w:tcW w:w="7121" w:type="dxa"/>
            <w:shd w:val="clear" w:color="auto" w:fill="auto"/>
            <w:vAlign w:val="center"/>
          </w:tcPr>
          <w:p w14:paraId="7AA7017C">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投标人须为项目配备1名技术负责人，须提供该人员下述有效期内证书扫描件或复印件及投标截止时间前六个月中任一个月份（不含投标截止时间的当月）投标人为其缴交社保证明，并加盖投标人公章。</w:t>
            </w:r>
          </w:p>
          <w:p w14:paraId="598D335A">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根据技术负责人专业认证证书进行评分：</w:t>
            </w:r>
          </w:p>
          <w:p w14:paraId="046932E2">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1、ITSS服务项目经理证书</w:t>
            </w:r>
          </w:p>
          <w:p w14:paraId="32DCE17E">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2、ITSS服务工程师证书</w:t>
            </w:r>
          </w:p>
          <w:p w14:paraId="7A0CF046">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3、网络工程师证书</w:t>
            </w:r>
          </w:p>
          <w:p w14:paraId="500A5DFF">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以上证书同时具备得2分，同时具备2本得1分，其他不得分。</w:t>
            </w:r>
          </w:p>
        </w:tc>
      </w:tr>
      <w:tr w14:paraId="0B86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0" w:type="dxa"/>
            <w:vMerge w:val="continue"/>
            <w:shd w:val="clear" w:color="auto" w:fill="auto"/>
            <w:vAlign w:val="center"/>
          </w:tcPr>
          <w:p w14:paraId="0E36A1FB">
            <w:pPr>
              <w:spacing w:line="400" w:lineRule="exact"/>
              <w:jc w:val="center"/>
              <w:rPr>
                <w:rFonts w:hint="eastAsia" w:asciiTheme="minorEastAsia" w:hAnsiTheme="minorEastAsia" w:eastAsiaTheme="minorEastAsia" w:cstheme="minorEastAsia"/>
                <w:lang w:eastAsia="zh-CN"/>
              </w:rPr>
            </w:pPr>
          </w:p>
        </w:tc>
        <w:tc>
          <w:tcPr>
            <w:tcW w:w="1003" w:type="dxa"/>
            <w:shd w:val="clear" w:color="auto" w:fill="auto"/>
            <w:vAlign w:val="center"/>
          </w:tcPr>
          <w:p w14:paraId="42B96D3E">
            <w:pPr>
              <w:spacing w:line="400" w:lineRule="exact"/>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w:t>
            </w:r>
          </w:p>
        </w:tc>
        <w:tc>
          <w:tcPr>
            <w:tcW w:w="7121" w:type="dxa"/>
            <w:shd w:val="clear" w:color="auto" w:fill="auto"/>
            <w:vAlign w:val="center"/>
          </w:tcPr>
          <w:p w14:paraId="3B970270">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投标人须为项目配备1名项目安全工程师，须提供该人员下述有效期内证书扫描件或复印件及投标截止时间前六个月中任一个月份（不含投标截止时间的当月）投标人为其缴交社保证明，并加盖投标人公章。</w:t>
            </w:r>
          </w:p>
          <w:p w14:paraId="1E91BC4F">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根据项目安全工程师专业认证证书进行评分：</w:t>
            </w:r>
          </w:p>
          <w:p w14:paraId="41BE3CD1">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1、CISP注册信息安全工程师证书</w:t>
            </w:r>
          </w:p>
          <w:p w14:paraId="38CFB1E2">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2、信息技术应用创新专业人员-系统工程师证书</w:t>
            </w:r>
          </w:p>
          <w:p w14:paraId="27573AC9">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3、信息安全工程师证书</w:t>
            </w:r>
          </w:p>
          <w:p w14:paraId="50400872">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4、信息安全保障人员认证证书</w:t>
            </w:r>
          </w:p>
          <w:p w14:paraId="1B0D16C2">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以上证书同时具备得3分，同时具备3本得2分，同时具备2本得1分，其他不得分。</w:t>
            </w:r>
          </w:p>
        </w:tc>
      </w:tr>
    </w:tbl>
    <w:p w14:paraId="687EEC3A">
      <w:pPr>
        <w:spacing w:line="440" w:lineRule="exact"/>
        <w:ind w:left="421"/>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spacing w:val="-2"/>
          <w:lang w:eastAsia="zh-CN"/>
        </w:rPr>
        <w:t>C：</w:t>
      </w:r>
      <w:r>
        <w:rPr>
          <w:rFonts w:hint="eastAsia" w:asciiTheme="minorEastAsia" w:hAnsiTheme="minorEastAsia" w:eastAsiaTheme="minorEastAsia" w:cstheme="minorEastAsia"/>
          <w:spacing w:val="-1"/>
          <w:lang w:eastAsia="zh-CN"/>
        </w:rPr>
        <w:t>报价部分评分</w:t>
      </w:r>
      <w:r>
        <w:rPr>
          <w:rFonts w:hint="eastAsia" w:asciiTheme="minorEastAsia" w:hAnsiTheme="minorEastAsia" w:eastAsiaTheme="minorEastAsia" w:cstheme="minorEastAsia"/>
          <w:spacing w:val="-2"/>
          <w:lang w:eastAsia="zh-CN"/>
        </w:rPr>
        <w:t xml:space="preserve">         </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b/>
          <w:bCs/>
          <w:color w:val="auto"/>
          <w:spacing w:val="-2"/>
          <w:lang w:eastAsia="zh-CN"/>
        </w:rPr>
        <w:t>满分4</w:t>
      </w:r>
      <w:r>
        <w:rPr>
          <w:rFonts w:hint="eastAsia" w:asciiTheme="minorEastAsia" w:hAnsiTheme="minorEastAsia" w:eastAsiaTheme="minorEastAsia" w:cstheme="minorEastAsia"/>
          <w:b/>
          <w:bCs/>
          <w:color w:val="auto"/>
          <w:spacing w:val="-17"/>
          <w:lang w:eastAsia="zh-CN"/>
        </w:rPr>
        <w:t>0</w:t>
      </w:r>
      <w:r>
        <w:rPr>
          <w:rFonts w:hint="eastAsia" w:asciiTheme="minorEastAsia" w:hAnsiTheme="minorEastAsia" w:eastAsiaTheme="minorEastAsia" w:cstheme="minorEastAsia"/>
          <w:b/>
          <w:bCs/>
          <w:color w:val="auto"/>
          <w:spacing w:val="-2"/>
          <w:lang w:eastAsia="zh-CN"/>
        </w:rPr>
        <w:t>分</w:t>
      </w:r>
    </w:p>
    <w:tbl>
      <w:tblPr>
        <w:tblStyle w:val="24"/>
        <w:tblW w:w="9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782"/>
        <w:gridCol w:w="6696"/>
      </w:tblGrid>
      <w:tr w14:paraId="1C6FD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jc w:val="center"/>
        </w:trPr>
        <w:tc>
          <w:tcPr>
            <w:tcW w:w="1720" w:type="dxa"/>
            <w:vAlign w:val="center"/>
          </w:tcPr>
          <w:p w14:paraId="01BEDEF9">
            <w:pPr>
              <w:spacing w:line="400" w:lineRule="exact"/>
              <w:rPr>
                <w:rFonts w:hint="eastAsia" w:asciiTheme="minorEastAsia" w:hAnsiTheme="minorEastAsia" w:eastAsiaTheme="minorEastAsia" w:cstheme="minorEastAsia"/>
                <w:lang w:eastAsia="zh-CN"/>
              </w:rPr>
            </w:pPr>
          </w:p>
          <w:p w14:paraId="2A38B49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报价部分评分（满分40分）</w:t>
            </w:r>
          </w:p>
        </w:tc>
        <w:tc>
          <w:tcPr>
            <w:tcW w:w="782" w:type="dxa"/>
            <w:vAlign w:val="center"/>
          </w:tcPr>
          <w:p w14:paraId="40CF1E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40分</w:t>
            </w:r>
          </w:p>
        </w:tc>
        <w:tc>
          <w:tcPr>
            <w:tcW w:w="6696" w:type="dxa"/>
          </w:tcPr>
          <w:p w14:paraId="335EC91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 (评标基准价／有效投标报价)×40</w:t>
            </w:r>
          </w:p>
          <w:p w14:paraId="23B86E7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由此算出各个通过报价审查的投标人报价部分得分(计算分数时 四舍五入保留小数点后2位数)。</w:t>
            </w:r>
          </w:p>
          <w:p w14:paraId="22CC91B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注： (1)C为报价部分得分。</w:t>
            </w:r>
          </w:p>
          <w:p w14:paraId="292F45F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(2)评标基准价=满足招标文件要求且投标价格最低的投标报价。</w:t>
            </w:r>
          </w:p>
        </w:tc>
      </w:tr>
    </w:tbl>
    <w:p w14:paraId="51734D18">
      <w:pPr>
        <w:spacing w:line="440" w:lineRule="exact"/>
        <w:rPr>
          <w:rFonts w:hint="eastAsia" w:asciiTheme="minorEastAsia" w:hAnsiTheme="minorEastAsia" w:eastAsiaTheme="minorEastAsia" w:cstheme="minorEastAsia"/>
          <w:color w:val="000000" w:themeColor="text1"/>
          <w:lang w:eastAsia="zh-CN"/>
        </w:rPr>
      </w:pPr>
    </w:p>
    <w:p w14:paraId="23497DDA">
      <w:pPr>
        <w:pStyle w:val="15"/>
        <w:kinsoku/>
        <w:spacing w:before="75" w:beforeAutospacing="0" w:after="75" w:afterAutospacing="0" w:line="440" w:lineRule="exact"/>
        <w:textAlignment w:val="auto"/>
        <w:rPr>
          <w:rFonts w:hint="eastAsia" w:asciiTheme="minorEastAsia" w:hAnsiTheme="minorEastAsia" w:eastAsiaTheme="minorEastAsia" w:cstheme="minorEastAsia"/>
          <w:color w:val="000000" w:themeColor="text1"/>
          <w:sz w:val="21"/>
          <w:lang w:eastAsia="zh-CN"/>
        </w:rPr>
      </w:pPr>
      <w:r>
        <w:rPr>
          <w:rFonts w:hint="eastAsia" w:asciiTheme="minorEastAsia" w:hAnsiTheme="minorEastAsia" w:eastAsiaTheme="minorEastAsia" w:cstheme="minorEastAsia"/>
          <w:color w:val="000000" w:themeColor="text1"/>
          <w:sz w:val="21"/>
          <w:lang w:eastAsia="zh-CN"/>
        </w:rPr>
        <w:t>7、其他规定</w:t>
      </w:r>
    </w:p>
    <w:p w14:paraId="53DC983B">
      <w:pPr>
        <w:pStyle w:val="15"/>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 w:val="21"/>
          <w:lang w:eastAsia="zh-CN"/>
        </w:rPr>
      </w:pPr>
      <w:r>
        <w:rPr>
          <w:rFonts w:hint="eastAsia" w:asciiTheme="minorEastAsia" w:hAnsiTheme="minorEastAsia" w:eastAsiaTheme="minorEastAsia" w:cstheme="minorEastAsia"/>
          <w:color w:val="000000" w:themeColor="text1"/>
          <w:sz w:val="21"/>
          <w:lang w:eastAsia="zh-CN"/>
        </w:rPr>
        <w:t>7.1评标应全程保密且不得透露给任一投标人或与评标工作无关的人员。</w:t>
      </w:r>
    </w:p>
    <w:p w14:paraId="53DAF29D">
      <w:pPr>
        <w:pStyle w:val="15"/>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 w:val="21"/>
          <w:lang w:eastAsia="zh-CN"/>
        </w:rPr>
      </w:pPr>
      <w:r>
        <w:rPr>
          <w:rFonts w:hint="eastAsia" w:asciiTheme="minorEastAsia" w:hAnsiTheme="minorEastAsia" w:eastAsiaTheme="minorEastAsia" w:cstheme="minorEastAsia"/>
          <w:color w:val="000000" w:themeColor="text1"/>
          <w:sz w:val="21"/>
          <w:lang w:eastAsia="zh-CN"/>
        </w:rPr>
        <w:t>7.2评标将进行全程实时录音录像，录音录像资料随招标文件一并存档。</w:t>
      </w:r>
    </w:p>
    <w:p w14:paraId="750A2F86">
      <w:pPr>
        <w:pStyle w:val="15"/>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 w:val="21"/>
          <w:lang w:eastAsia="zh-CN"/>
        </w:rPr>
      </w:pPr>
      <w:r>
        <w:rPr>
          <w:rFonts w:hint="eastAsia" w:asciiTheme="minorEastAsia" w:hAnsiTheme="minorEastAsia" w:eastAsiaTheme="minorEastAsia" w:cstheme="minorEastAsia"/>
          <w:color w:val="000000" w:themeColor="text1"/>
          <w:sz w:val="21"/>
          <w:lang w:eastAsia="zh-CN"/>
        </w:rPr>
        <w:t>7.3若投标人有任何试图干扰具体评标事务，影响评标委员会独立履行职责的行为，其投标无效且不予退还投标保证金。</w:t>
      </w:r>
    </w:p>
    <w:p w14:paraId="00FF838F">
      <w:pPr>
        <w:pStyle w:val="15"/>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 w:val="21"/>
          <w:lang w:eastAsia="zh-CN"/>
        </w:rPr>
      </w:pPr>
      <w:r>
        <w:rPr>
          <w:rFonts w:hint="eastAsia" w:asciiTheme="minorEastAsia" w:hAnsiTheme="minorEastAsia" w:eastAsiaTheme="minorEastAsia" w:cstheme="minorEastAsia"/>
          <w:color w:val="000000" w:themeColor="text1"/>
          <w:sz w:val="21"/>
          <w:lang w:eastAsia="zh-CN"/>
        </w:rPr>
        <w:t>7.4其他：无。</w:t>
      </w:r>
    </w:p>
    <w:p w14:paraId="46A81B9F">
      <w:pPr>
        <w:spacing w:line="91" w:lineRule="auto"/>
        <w:rPr>
          <w:rFonts w:hint="eastAsia" w:asciiTheme="minorEastAsia" w:hAnsiTheme="minorEastAsia" w:eastAsiaTheme="minorEastAsia" w:cstheme="minorEastAsia"/>
          <w:color w:val="000000" w:themeColor="text1"/>
          <w:sz w:val="2"/>
          <w:lang w:eastAsia="zh-CN"/>
        </w:rPr>
      </w:pPr>
    </w:p>
    <w:p w14:paraId="5F1B1C07">
      <w:pPr>
        <w:pStyle w:val="8"/>
        <w:spacing w:line="246" w:lineRule="auto"/>
        <w:rPr>
          <w:rFonts w:hint="eastAsia" w:asciiTheme="minorEastAsia" w:hAnsiTheme="minorEastAsia" w:eastAsiaTheme="minorEastAsia" w:cstheme="minorEastAsia"/>
          <w:color w:val="000000" w:themeColor="text1"/>
          <w:lang w:eastAsia="zh-CN"/>
        </w:rPr>
      </w:pPr>
    </w:p>
    <w:p w14:paraId="512AFE72">
      <w:pPr>
        <w:spacing w:line="256" w:lineRule="auto"/>
        <w:rPr>
          <w:rFonts w:hint="eastAsia" w:asciiTheme="minorEastAsia" w:hAnsiTheme="minorEastAsia" w:eastAsiaTheme="minorEastAsia" w:cstheme="minorEastAsia"/>
          <w:color w:val="000000" w:themeColor="text1"/>
          <w:sz w:val="24"/>
          <w:szCs w:val="24"/>
          <w:lang w:eastAsia="zh-CN"/>
        </w:rPr>
        <w:sectPr>
          <w:footerReference r:id="rId17" w:type="default"/>
          <w:pgSz w:w="11906" w:h="16839"/>
          <w:pgMar w:top="1431" w:right="1418" w:bottom="1260" w:left="1421" w:header="0" w:footer="1013" w:gutter="0"/>
          <w:pgNumType w:fmt="decimal"/>
          <w:cols w:space="720" w:num="1"/>
        </w:sectPr>
      </w:pPr>
    </w:p>
    <w:p w14:paraId="7A84A6DF">
      <w:pPr>
        <w:spacing w:before="73" w:line="219" w:lineRule="auto"/>
        <w:ind w:left="2992"/>
        <w:outlineLvl w:val="0"/>
        <w:rPr>
          <w:rFonts w:hint="eastAsia" w:asciiTheme="minorEastAsia" w:hAnsiTheme="minorEastAsia" w:eastAsiaTheme="minorEastAsia" w:cstheme="minorEastAsia"/>
          <w:color w:val="000000" w:themeColor="text1"/>
          <w:sz w:val="28"/>
          <w:szCs w:val="28"/>
          <w:lang w:eastAsia="zh-CN"/>
        </w:rPr>
      </w:pPr>
      <w:bookmarkStart w:id="3" w:name="_Toc17244"/>
      <w:r>
        <w:rPr>
          <w:rFonts w:hint="eastAsia" w:asciiTheme="minorEastAsia" w:hAnsiTheme="minorEastAsia" w:eastAsiaTheme="minorEastAsia" w:cstheme="minorEastAsia"/>
          <w:b/>
          <w:bCs/>
          <w:color w:val="000000" w:themeColor="text1"/>
          <w:spacing w:val="-3"/>
          <w:sz w:val="28"/>
          <w:szCs w:val="28"/>
          <w:lang w:eastAsia="zh-CN"/>
        </w:rPr>
        <w:t>第五章</w:t>
      </w:r>
      <w:r>
        <w:rPr>
          <w:rFonts w:hint="eastAsia" w:asciiTheme="minorEastAsia" w:hAnsiTheme="minorEastAsia" w:eastAsiaTheme="minorEastAsia" w:cstheme="minorEastAsia"/>
          <w:color w:val="000000" w:themeColor="text1"/>
          <w:spacing w:val="-3"/>
          <w:sz w:val="28"/>
          <w:szCs w:val="28"/>
          <w:lang w:eastAsia="zh-CN"/>
        </w:rPr>
        <w:t xml:space="preserve">  </w:t>
      </w:r>
      <w:r>
        <w:rPr>
          <w:rFonts w:hint="eastAsia" w:asciiTheme="minorEastAsia" w:hAnsiTheme="minorEastAsia" w:eastAsiaTheme="minorEastAsia" w:cstheme="minorEastAsia"/>
          <w:b/>
          <w:bCs/>
          <w:color w:val="000000" w:themeColor="text1"/>
          <w:spacing w:val="-3"/>
          <w:sz w:val="28"/>
          <w:szCs w:val="28"/>
          <w:lang w:eastAsia="zh-CN"/>
        </w:rPr>
        <w:t>招标内容及要求</w:t>
      </w:r>
      <w:bookmarkEnd w:id="3"/>
    </w:p>
    <w:p w14:paraId="249BDB84">
      <w:pPr>
        <w:pStyle w:val="8"/>
        <w:spacing w:line="380" w:lineRule="auto"/>
        <w:rPr>
          <w:rFonts w:hint="eastAsia" w:asciiTheme="minorEastAsia" w:hAnsiTheme="minorEastAsia" w:eastAsiaTheme="minorEastAsia" w:cstheme="minorEastAsia"/>
          <w:color w:val="000000" w:themeColor="text1"/>
          <w:lang w:eastAsia="zh-CN"/>
        </w:rPr>
      </w:pPr>
    </w:p>
    <w:p w14:paraId="1050A475">
      <w:pPr>
        <w:spacing w:before="78" w:line="219"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一、项目概况</w:t>
      </w:r>
    </w:p>
    <w:p w14:paraId="0F6F2F64">
      <w:pPr>
        <w:spacing w:line="48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本项目为泉州升华实业有限公司安全生产应急指挥中心采购项目，投标人应根据招标文件所提出的货物、服务技术规格、数量等要求，选择具有最佳性能价格比的产品前来投标，以充分显示贵公司的竞争实力。</w:t>
      </w:r>
    </w:p>
    <w:p w14:paraId="126BE440">
      <w:pPr>
        <w:spacing w:line="48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2、投标人报价应包括本次招标项目所涉及的有关项目的所有费用进行报价，包括但不限于：税金、运输、保险、安装、调试、验收等一切费用。还要考虑到合同中可能出现的索赔和变更。</w:t>
      </w:r>
    </w:p>
    <w:p w14:paraId="6D130331">
      <w:pPr>
        <w:spacing w:line="48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3、本项目核心产品为：五、网络视频会议，1、网络视频会议主机 （</w:t>
      </w:r>
      <w:r>
        <w:rPr>
          <w:rFonts w:hint="eastAsia" w:asciiTheme="minorEastAsia" w:hAnsiTheme="minorEastAsia" w:eastAsiaTheme="minorEastAsia" w:cstheme="minorEastAsia"/>
          <w:lang w:val="zh-CN" w:eastAsia="zh-CN"/>
        </w:rPr>
        <w:t>若多家</w:t>
      </w:r>
      <w:r>
        <w:rPr>
          <w:rFonts w:hint="eastAsia" w:asciiTheme="minorEastAsia" w:hAnsiTheme="minorEastAsia" w:eastAsiaTheme="minorEastAsia" w:cstheme="minorEastAsia"/>
          <w:lang w:eastAsia="zh-CN"/>
        </w:rPr>
        <w:t>投标人</w:t>
      </w:r>
      <w:r>
        <w:rPr>
          <w:rFonts w:hint="eastAsia" w:asciiTheme="minorEastAsia" w:hAnsiTheme="minorEastAsia" w:eastAsiaTheme="minorEastAsia" w:cstheme="minorEastAsia"/>
          <w:lang w:val="zh-CN" w:eastAsia="zh-CN"/>
        </w:rPr>
        <w:t>提供的核心产品品牌相同的且通过资格审查、符合性审查的不同投标人参加同一合同项下投标的，按一家投标人计算，评审后得分最高的同品牌投标人作为中标候选人推荐；评审得分相同的，采取随机抽取方式确定，其他同品牌供应商不作为</w:t>
      </w:r>
      <w:r>
        <w:rPr>
          <w:rFonts w:hint="eastAsia" w:asciiTheme="minorEastAsia" w:hAnsiTheme="minorEastAsia" w:eastAsiaTheme="minorEastAsia" w:cstheme="minorEastAsia"/>
          <w:lang w:eastAsia="zh-CN"/>
        </w:rPr>
        <w:t>中标</w:t>
      </w:r>
      <w:r>
        <w:rPr>
          <w:rFonts w:hint="eastAsia" w:asciiTheme="minorEastAsia" w:hAnsiTheme="minorEastAsia" w:eastAsiaTheme="minorEastAsia" w:cstheme="minorEastAsia"/>
          <w:lang w:val="zh-CN" w:eastAsia="zh-CN"/>
        </w:rPr>
        <w:t>候选人。</w:t>
      </w:r>
      <w:r>
        <w:rPr>
          <w:rFonts w:hint="eastAsia" w:asciiTheme="minorEastAsia" w:hAnsiTheme="minorEastAsia" w:eastAsiaTheme="minorEastAsia" w:cstheme="minorEastAsia"/>
          <w:lang w:eastAsia="zh-CN"/>
        </w:rPr>
        <w:t>）若核心产品未标注品牌，视为无效投标。</w:t>
      </w:r>
    </w:p>
    <w:p w14:paraId="091ACA7B">
      <w:pPr>
        <w:spacing w:line="480" w:lineRule="exact"/>
        <w:ind w:firstLine="420" w:firstLineChars="20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eastAsia="zh-CN"/>
        </w:rPr>
        <w:t>4、本次招标的系统包含：大屏幕显示系统、分布式视频系统、音频扩声系统、数字会</w:t>
      </w:r>
      <w:r>
        <w:rPr>
          <w:rFonts w:hint="eastAsia" w:asciiTheme="minorEastAsia" w:hAnsiTheme="minorEastAsia" w:eastAsiaTheme="minorEastAsia" w:cstheme="minorEastAsia"/>
          <w:lang w:val="zh-CN" w:eastAsia="zh-CN"/>
        </w:rPr>
        <w:t>议系统、网络视频会议、机房建设、计算机网络、综合布线、配套设施、物理环境提升。</w:t>
      </w:r>
    </w:p>
    <w:p w14:paraId="23278A62">
      <w:pPr>
        <w:spacing w:line="480" w:lineRule="exact"/>
        <w:ind w:firstLine="0" w:firstLineChars="0"/>
        <w:rPr>
          <w:rFonts w:hint="eastAsia" w:asciiTheme="minorEastAsia" w:hAnsiTheme="minorEastAsia" w:eastAsiaTheme="minorEastAsia" w:cstheme="minorEastAsia"/>
          <w:b/>
          <w:bCs/>
          <w:lang w:val="zh-CN" w:eastAsia="zh-CN"/>
        </w:rPr>
      </w:pPr>
      <w:r>
        <w:rPr>
          <w:rFonts w:hint="eastAsia" w:asciiTheme="minorEastAsia" w:hAnsiTheme="minorEastAsia" w:eastAsiaTheme="minorEastAsia" w:cstheme="minorEastAsia"/>
          <w:b/>
          <w:bCs/>
          <w:lang w:val="zh-CN" w:eastAsia="zh-CN"/>
        </w:rPr>
        <w:t xml:space="preserve">二、技术和服务要求（以“★ ”标示的内容为不允许负偏离的实质性要求） </w:t>
      </w:r>
    </w:p>
    <w:p w14:paraId="0FC8F03D">
      <w:pPr>
        <w:pStyle w:val="8"/>
        <w:rPr>
          <w:rFonts w:hint="eastAsia" w:asciiTheme="minorEastAsia" w:hAnsiTheme="minorEastAsia" w:eastAsiaTheme="minorEastAsia" w:cstheme="minorEastAsia"/>
          <w:lang w:eastAsia="zh-CN"/>
        </w:rPr>
      </w:pPr>
    </w:p>
    <w:tbl>
      <w:tblPr>
        <w:tblStyle w:val="16"/>
        <w:tblW w:w="10079" w:type="dxa"/>
        <w:jc w:val="center"/>
        <w:tblLayout w:type="fixed"/>
        <w:tblCellMar>
          <w:top w:w="0" w:type="dxa"/>
          <w:left w:w="108" w:type="dxa"/>
          <w:bottom w:w="0" w:type="dxa"/>
          <w:right w:w="108" w:type="dxa"/>
        </w:tblCellMar>
      </w:tblPr>
      <w:tblGrid>
        <w:gridCol w:w="608"/>
        <w:gridCol w:w="943"/>
        <w:gridCol w:w="6539"/>
        <w:gridCol w:w="997"/>
        <w:gridCol w:w="992"/>
      </w:tblGrid>
      <w:tr w14:paraId="369F58DE">
        <w:tblPrEx>
          <w:tblCellMar>
            <w:top w:w="0" w:type="dxa"/>
            <w:left w:w="108" w:type="dxa"/>
            <w:bottom w:w="0" w:type="dxa"/>
            <w:right w:w="108" w:type="dxa"/>
          </w:tblCellMar>
        </w:tblPrEx>
        <w:trPr>
          <w:trHeight w:val="153" w:hRule="atLeast"/>
          <w:tblHeader/>
          <w:jc w:val="center"/>
        </w:trPr>
        <w:tc>
          <w:tcPr>
            <w:tcW w:w="100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3C0E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大屏幕显示系统</w:t>
            </w:r>
          </w:p>
        </w:tc>
      </w:tr>
      <w:tr w14:paraId="1273227B">
        <w:tblPrEx>
          <w:tblCellMar>
            <w:top w:w="0" w:type="dxa"/>
            <w:left w:w="108" w:type="dxa"/>
            <w:bottom w:w="0" w:type="dxa"/>
            <w:right w:w="108" w:type="dxa"/>
          </w:tblCellMar>
        </w:tblPrEx>
        <w:trPr>
          <w:trHeight w:val="153"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C5D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F1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0F7F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008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86A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48AA4976">
        <w:tblPrEx>
          <w:tblCellMar>
            <w:top w:w="0" w:type="dxa"/>
            <w:left w:w="108" w:type="dxa"/>
            <w:bottom w:w="0" w:type="dxa"/>
            <w:right w:w="108" w:type="dxa"/>
          </w:tblCellMar>
        </w:tblPrEx>
        <w:trPr>
          <w:trHeight w:val="152"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8E7973">
            <w:pPr>
              <w:spacing w:line="400" w:lineRule="exact"/>
              <w:rPr>
                <w:rFonts w:hint="eastAsia" w:asciiTheme="minorEastAsia" w:hAnsiTheme="minorEastAsia" w:eastAsiaTheme="minorEastAsia" w:cstheme="minorEastAsia"/>
                <w:lang w:eastAsia="zh-CN"/>
              </w:rPr>
            </w:pPr>
          </w:p>
        </w:tc>
      </w:tr>
      <w:tr w14:paraId="6794EB4B">
        <w:tblPrEx>
          <w:tblCellMar>
            <w:top w:w="0" w:type="dxa"/>
            <w:left w:w="108" w:type="dxa"/>
            <w:bottom w:w="0" w:type="dxa"/>
            <w:right w:w="108" w:type="dxa"/>
          </w:tblCellMar>
        </w:tblPrEx>
        <w:trPr>
          <w:trHeight w:val="252"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2FA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80E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全倒装COB直显屏</w:t>
            </w:r>
          </w:p>
        </w:tc>
        <w:tc>
          <w:tcPr>
            <w:tcW w:w="6539" w:type="dxa"/>
            <w:tcBorders>
              <w:top w:val="single" w:color="000000" w:sz="4" w:space="0"/>
              <w:left w:val="single" w:color="000000" w:sz="4" w:space="0"/>
              <w:bottom w:val="single" w:color="000000" w:sz="4" w:space="0"/>
              <w:right w:val="single" w:color="000000" w:sz="4" w:space="0"/>
            </w:tcBorders>
            <w:shd w:val="clear" w:color="auto" w:fill="FFFFFF"/>
          </w:tcPr>
          <w:p w14:paraId="485E996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（项号1）1、全屏尺寸≥12.8米*2.05米；</w:t>
            </w:r>
          </w:p>
          <w:p w14:paraId="7F00BB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（项号2）★2、显示像素间距＜0.9mm；</w:t>
            </w:r>
          </w:p>
          <w:p w14:paraId="0CEDF79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（项号3）3、采用LED直显技术，全倒装COB封装类型，晶圆倒置无键合线工艺；</w:t>
            </w:r>
          </w:p>
          <w:p w14:paraId="6F25088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（项号4）4、亮度：≥600cd/㎡；拼接后全屏分辨率为：≥14400*2700；</w:t>
            </w:r>
          </w:p>
          <w:p w14:paraId="416C80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（项号5）5、视觉舒适度（VICO）评价指标：I级；具备自主亮色度采集校正技术，持逐点亮色度校正及现场亮色度校正功能；屏体表面黑度＜29，表面光泽度＜10.5GU，屏正面反射率＜6.5%； </w:t>
            </w:r>
          </w:p>
          <w:p w14:paraId="1D2D73A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（项号6）6、电磁兼容（EMC）测试：符合Class-B级；屏体正面防护等级：≥IP65；屏体金属材料洛氏硬度：≥HRC8级，屏体表面硬度：≥3H；</w:t>
            </w:r>
          </w:p>
          <w:p w14:paraId="190B1CC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（项号7）7、LED直显屏须为原厂生产产品，不接受第三方OEM或ODM代工产品。</w:t>
            </w:r>
          </w:p>
          <w:p w14:paraId="7E49766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8、白场补偿：要求产品在常规的白场应用场景下，具有白场亮色度补偿技术，能够快速准确地对当前LED显示屏亮色度进行补偿。（投标人须提供相关证明文件复印件（加盖投标人公章），并提供国家官方网站的查询结果截图，并说明查询链接及方法以便于验证）。</w:t>
            </w:r>
          </w:p>
          <w:p w14:paraId="3987CB6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（项号9）9、消除95%以上的拍摄摩尔纹现场（特定环境下可达100%消除），有效降低光强辐射，抑制摩尔纹，消除眩光。</w:t>
            </w:r>
          </w:p>
          <w:p w14:paraId="716EB2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（项号10）▲10、</w:t>
            </w:r>
            <w:r>
              <w:rPr>
                <w:rFonts w:hint="eastAsia" w:asciiTheme="minorEastAsia" w:hAnsiTheme="minorEastAsia" w:eastAsiaTheme="minorEastAsia" w:cstheme="minorEastAsia"/>
                <w:b/>
                <w:bCs/>
                <w:lang w:eastAsia="zh-CN"/>
              </w:rPr>
              <w:t>集成封装技术：</w:t>
            </w:r>
            <w:r>
              <w:rPr>
                <w:rFonts w:hint="eastAsia" w:asciiTheme="minorEastAsia" w:hAnsiTheme="minorEastAsia" w:eastAsiaTheme="minorEastAsia" w:cstheme="minorEastAsia"/>
                <w:lang w:eastAsia="zh-CN"/>
              </w:rPr>
              <w:t>显示屏要求采用集成封装技术，对驱动、基板、发光芯片、封装胶体等进行集成封装，通过配合封装胶体相关材料，确保表面平整，避免产生形变。（投标人须提供相关证明文件复印件（加盖投标人公章），并提供国家官方网站的查询结果截图，并说明查询链接及方法以便于验证）。</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197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平方</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9B3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eastAsia="zh-CN"/>
              </w:rPr>
              <w:t>24</w:t>
            </w:r>
            <w:r>
              <w:rPr>
                <w:rFonts w:hint="eastAsia" w:asciiTheme="minorEastAsia" w:hAnsiTheme="minorEastAsia" w:eastAsiaTheme="minorEastAsia" w:cstheme="minorEastAsia"/>
              </w:rPr>
              <w:t xml:space="preserve"> </w:t>
            </w:r>
          </w:p>
        </w:tc>
      </w:tr>
      <w:tr w14:paraId="6A64A6F0">
        <w:tblPrEx>
          <w:tblCellMar>
            <w:top w:w="0" w:type="dxa"/>
            <w:left w:w="108" w:type="dxa"/>
            <w:bottom w:w="0" w:type="dxa"/>
            <w:right w:w="108" w:type="dxa"/>
          </w:tblCellMar>
        </w:tblPrEx>
        <w:trPr>
          <w:trHeight w:val="428"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B5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056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LED控制器</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8E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（项号11）1、支持≥1路DP1.4，≥1路HDMI2.0，≥2路HDMI1.4，≥2路DVI信号输入；</w:t>
            </w:r>
          </w:p>
          <w:p w14:paraId="3477FDC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（项号12）2、具备≥20路网口及≥2路光纤接口输出，带载像素：≥1300万，带载分辨率：≥3840x2160@60Hz；</w:t>
            </w:r>
          </w:p>
          <w:p w14:paraId="144346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（项号13）3、支持自定义带载设置，最宽带载像素：≥16384点，最高带载像素：≥8192点；</w:t>
            </w:r>
          </w:p>
          <w:p w14:paraId="662D02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（项号14）4、支持USB控制及RS232控制功能，USB接口：≥2路；</w:t>
            </w:r>
          </w:p>
          <w:p w14:paraId="5372989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（项号15）5、支持整屏显示、分屏显示功能，显示窗口支持缩放、漫游、叠加等功能</w:t>
            </w:r>
          </w:p>
          <w:p w14:paraId="4CDF5DD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（项号16）6、图层数量：≥6个；</w:t>
            </w:r>
          </w:p>
          <w:p w14:paraId="68CB820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（项号17）7、支持逐点亮色度校正功能；</w:t>
            </w:r>
          </w:p>
          <w:p w14:paraId="755E3FB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（项号18）8、支持低亮高灰功能；</w:t>
            </w:r>
          </w:p>
          <w:p w14:paraId="615E7B5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（项号19）9、要求产品具备LED显示控制和采集校正技术；</w:t>
            </w:r>
          </w:p>
          <w:p w14:paraId="20685EB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（项号20）10、4K-LED控制器须同LED显示屏为同一品牌。</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A19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26E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 </w:t>
            </w:r>
          </w:p>
        </w:tc>
      </w:tr>
      <w:tr w14:paraId="4EE012D6">
        <w:tblPrEx>
          <w:tblCellMar>
            <w:top w:w="0" w:type="dxa"/>
            <w:left w:w="108" w:type="dxa"/>
            <w:bottom w:w="0" w:type="dxa"/>
            <w:right w:w="108" w:type="dxa"/>
          </w:tblCellMar>
        </w:tblPrEx>
        <w:trPr>
          <w:trHeight w:val="47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FAB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36D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大屏门户渲染应用系统</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0A9D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1、满足日常监控、会议会商、参观接待、大数据研判和应急处置的全场景应用要求，具备完整的上屏资源的统一归档汇聚、门户交互控制、业务渲染容器和场景定制、超高分渲染显示和一体化控制等核心功能模块；</w:t>
            </w:r>
          </w:p>
          <w:p w14:paraId="4A2F5B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（项号22）2、系统具备弹性应用架构，支持编播一体和编播分离两种应用模式。在编播一体模式下，直接对画面进行托拉拽后实时渲染，而不需要进行保存和发布；</w:t>
            </w:r>
          </w:p>
          <w:p w14:paraId="055645C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（项号23）3、系统具备数据渲染能力，支持对接数据库、文件导入和手动输入；</w:t>
            </w:r>
          </w:p>
          <w:p w14:paraId="7F9A207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4、提供面向狱政指挥定制型的门户入口，内置参观接待模板，可以根据参观接待的流程，将欢迎词、单位介绍PPT、大数据分析图表等资源编排形成汇报流程，讲解可以使用平板操作控制流程进度。内置会商模板，配置会商主题、会议时间、参会人员并对会商画面进行组合适配；</w:t>
            </w:r>
          </w:p>
          <w:p w14:paraId="39115BF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（项号25）5、支持对应急演练、研判分析、参观接待等场景模式的自定义管理和切换；</w:t>
            </w:r>
          </w:p>
          <w:p w14:paraId="2B6C399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（项号26）6、支持同电脑间的免客户端跨屏联动，包括桌面投屏、应用窗口投屏、网页投屏和文件开窗等模式；</w:t>
            </w:r>
          </w:p>
          <w:p w14:paraId="7A0E28A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（项号27）7、支持离线备份和网络同步。离线备份即将大屏门户系统文件夹直接导入到安全U盘等移动介质中，到新的服务器或者操作台上即可正常运行，不需要额外安装和配置；</w:t>
            </w:r>
          </w:p>
          <w:p w14:paraId="3B22B70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（项号28）8、系统兼容通用的X86架构处理器平台同时兼容信创非X86架构处理器平台。</w:t>
            </w:r>
          </w:p>
          <w:p w14:paraId="66356EE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9、具有3D柱状图、3D折线图、3D环形图、3D散点图等3D图表组件，支持用户扩展，支持3D模型文件直接渲染，格式包括FBX、GLTF、OBJ、STL、PLY、JSON等；支持组件开发工具进行个性化组件扩展；支持桌面快捷容器可关联资源一键播放，桌面快捷目录容器可关联目录，建立桌面资源目录。</w:t>
            </w:r>
          </w:p>
          <w:p w14:paraId="52A4F342">
            <w:pPr>
              <w:pStyle w:val="8"/>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10、支持按照预案流程节点添加资源，资源包括场景、文件、指令或处理信号模式，支持按照流程节点手动执行或设置时间间隔自动执行，支持流程执行替换上一场景或保持上一场景。支持对场景进行标注和标绘，可拖拽标绘图标标签到当前显示场景中，也能用不同颜色和粗细的笔进行标；</w:t>
            </w:r>
          </w:p>
          <w:p w14:paraId="7F20F94F">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（项号31）</w:t>
            </w:r>
            <w:r>
              <w:rPr>
                <w:rFonts w:hint="eastAsia" w:asciiTheme="minorEastAsia" w:hAnsiTheme="minorEastAsia" w:eastAsiaTheme="minorEastAsia" w:cstheme="minorEastAsia"/>
                <w:color w:val="auto"/>
                <w:lang w:eastAsia="zh-CN"/>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lang w:eastAsia="zh-CN"/>
              </w:rPr>
              <w:t>管理和交互功能：</w:t>
            </w:r>
            <w:r>
              <w:rPr>
                <w:rFonts w:hint="eastAsia" w:asciiTheme="minorEastAsia" w:hAnsiTheme="minorEastAsia" w:eastAsiaTheme="minorEastAsia" w:cstheme="minorEastAsia"/>
                <w:lang w:eastAsia="zh-CN"/>
              </w:rPr>
              <w:t>系统支持播控端可见即可得方式编播全部可视素材，能开关IP视频、文件、应用、可视化组件，能实时改变窗口大小、位置，修改图层属性，操作的结果同步显示在大屏上；系统控制支持平板和手机通过浏览器扫码控制场景和资源，通过控制端远程操作大屏资</w:t>
            </w:r>
            <w:r>
              <w:rPr>
                <w:rFonts w:hint="eastAsia" w:asciiTheme="minorEastAsia" w:hAnsiTheme="minorEastAsia" w:eastAsiaTheme="minorEastAsia" w:cstheme="minorEastAsia"/>
                <w:color w:val="auto"/>
                <w:lang w:eastAsia="zh-CN"/>
              </w:rPr>
              <w:t>源窗口和切换场景。（</w:t>
            </w:r>
            <w:r>
              <w:rPr>
                <w:rFonts w:hint="eastAsia" w:asciiTheme="minorEastAsia" w:hAnsiTheme="minorEastAsia" w:eastAsiaTheme="minorEastAsia" w:cstheme="minorEastAsia"/>
                <w:lang w:eastAsia="zh-CN"/>
              </w:rPr>
              <w:t>须提供第三方检测机构出具的具有CMA或CNAS标识的检测报告复印件并加盖投标人公章，原件备查</w:t>
            </w:r>
            <w:r>
              <w:rPr>
                <w:rFonts w:hint="eastAsia" w:asciiTheme="minorEastAsia" w:hAnsiTheme="minorEastAsia" w:eastAsiaTheme="minorEastAsia" w:cstheme="minorEastAsia"/>
                <w:color w:val="auto"/>
                <w:lang w:eastAsia="zh-CN"/>
              </w:rPr>
              <w:t>）</w:t>
            </w:r>
          </w:p>
          <w:p w14:paraId="004ACAC6">
            <w:pPr>
              <w:pStyle w:val="8"/>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（项号32）▲12、</w:t>
            </w:r>
            <w:r>
              <w:rPr>
                <w:rFonts w:hint="eastAsia" w:asciiTheme="minorEastAsia" w:hAnsiTheme="minorEastAsia" w:eastAsiaTheme="minorEastAsia" w:cstheme="minorEastAsia"/>
                <w:b/>
                <w:bCs/>
                <w:lang w:eastAsia="zh-CN"/>
              </w:rPr>
              <w:t>兼容性：</w:t>
            </w:r>
            <w:r>
              <w:rPr>
                <w:rFonts w:hint="eastAsia" w:asciiTheme="minorEastAsia" w:hAnsiTheme="minorEastAsia" w:eastAsiaTheme="minorEastAsia" w:cstheme="minorEastAsia"/>
                <w:lang w:eastAsia="zh-CN"/>
              </w:rPr>
              <w:t>大屏门户渲染应用系统软件可支持在国产操作系统和国产化处理器上正常运行使用；（须提供国产化操作系统和应用系统软件功能兼容性相关证明材料并加盖投标人公章作为佐证依据）。</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5C1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A1F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A53B0B6">
        <w:tblPrEx>
          <w:tblCellMar>
            <w:top w:w="0" w:type="dxa"/>
            <w:left w:w="108" w:type="dxa"/>
            <w:bottom w:w="0" w:type="dxa"/>
            <w:right w:w="108" w:type="dxa"/>
          </w:tblCellMar>
        </w:tblPrEx>
        <w:trPr>
          <w:trHeight w:val="268"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8A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CA8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高分渲染工作站</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1C6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（项号33）1、分辨率算法自适配渲染功能，可通过自适配算法实现显示结果不变形失真；</w:t>
            </w:r>
          </w:p>
          <w:p w14:paraId="0E29B4A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（项号34）2、支持将整屏一张图渲染，且在超高清视频播放时均不出现因画面撕裂、不同步问题；</w:t>
            </w:r>
          </w:p>
          <w:p w14:paraId="5C06C4E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（项号35）3、CPU主频≥2.3GHz；</w:t>
            </w:r>
          </w:p>
          <w:p w14:paraId="671286B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（项号36）4、标配CPU数量：≥2颗；</w:t>
            </w:r>
          </w:p>
          <w:p w14:paraId="67CBC17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（项号37）5、总线规格：≥10.4GT/s 2UPI；</w:t>
            </w:r>
          </w:p>
          <w:p w14:paraId="02988E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（项号38）6、CPU核心：≥10核；</w:t>
            </w:r>
          </w:p>
          <w:p w14:paraId="0E49DA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（项号39）7、CPU线程数：≥24线程；</w:t>
            </w:r>
          </w:p>
          <w:p w14:paraId="4A9489C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（项号40）8、内存大小：≥64GB；</w:t>
            </w:r>
          </w:p>
          <w:p w14:paraId="736F050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（项号41）9、硬盘：1块≥512GB 2.5英寸 SATA SSD Class 20+1块≥4TB 3.5英寸 5400RPM SATA HDD；</w:t>
            </w:r>
          </w:p>
          <w:p w14:paraId="245EE5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（项号42）10、显卡：显存容量≥8GB，支持≥4路DP输出。</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168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E1B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B042478">
        <w:tblPrEx>
          <w:tblCellMar>
            <w:top w:w="0" w:type="dxa"/>
            <w:left w:w="108" w:type="dxa"/>
            <w:bottom w:w="0" w:type="dxa"/>
            <w:right w:w="108" w:type="dxa"/>
          </w:tblCellMar>
        </w:tblPrEx>
        <w:trPr>
          <w:trHeight w:val="42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117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A6D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视频图像平台解码器</w:t>
            </w:r>
          </w:p>
        </w:tc>
        <w:tc>
          <w:tcPr>
            <w:tcW w:w="6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C95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（项号43）1、支持电脑、视频会议终端等视频输入信号源，支持2路1080P@50/60 或1路4K@30，通过HDMI 1.4本地输入，HDMI可内嵌音频；</w:t>
            </w:r>
          </w:p>
          <w:p w14:paraId="74534C5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（项号44）2、支持≥16路HDMI输出，输出分辨率最高支持4K超高清输出，输出采用帧同步技术，保证所有输出口的图像完全同步；</w:t>
            </w:r>
          </w:p>
          <w:p w14:paraId="295610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（项号45）3、支持两种音频输出方式：HDMI内嵌音频和外置音频输出；</w:t>
            </w:r>
          </w:p>
          <w:p w14:paraId="4EAB36B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（项号46）4、支持网络设备解码，支持H.264、H.265、Smart264、Smart265、MJPEG、HIK264等主流码流格式，支持PS、TS、ES、RTP等主流封装格式，支持子码流及主码流切换；</w:t>
            </w:r>
          </w:p>
          <w:p w14:paraId="4040C02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（项号47）5、最大支持3200w分辨率解码，具有≥128个解码通道，支持≥128路200W视频同时解码上墙；</w:t>
            </w:r>
          </w:p>
          <w:p w14:paraId="2FD8840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（项号48）6、支持≥8路1200W，或≥16路800W，或≥24路500W，或≥40路300W，或≥64路1080P及以下分辨率同时实时解码；</w:t>
            </w:r>
          </w:p>
          <w:p w14:paraId="35E747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（项号49）7、显控系统设备间支持信息交互功能，可通过平台/客户端界面查看屏幕运维信息，包括使用时长、序列号、温度、亮度、显示模式日支持下发配置屏幕参数。</w:t>
            </w:r>
          </w:p>
          <w:p w14:paraId="68FE52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（项号50）▲8、</w:t>
            </w:r>
            <w:r>
              <w:rPr>
                <w:rFonts w:hint="eastAsia" w:asciiTheme="minorEastAsia" w:hAnsiTheme="minorEastAsia" w:eastAsiaTheme="minorEastAsia" w:cstheme="minorEastAsia"/>
                <w:b/>
                <w:bCs/>
                <w:lang w:eastAsia="zh-CN"/>
              </w:rPr>
              <w:t>电视墙自动绑定功能：</w:t>
            </w:r>
            <w:r>
              <w:rPr>
                <w:rFonts w:hint="eastAsia" w:asciiTheme="minorEastAsia" w:hAnsiTheme="minorEastAsia" w:eastAsiaTheme="minorEastAsia" w:cstheme="minorEastAsia"/>
                <w:lang w:eastAsia="zh-CN"/>
              </w:rPr>
              <w:t>显控系统支持自动检测输入源的信号类型，根据信号源类型和显示位置，自动配置信号源所在屏幕的显示场景模式（须提供第三方检测机构出具的具有CMA或CNAS标识的检测报告复印件并加盖投标人公章，原件备查）。</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515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ACD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E5C0087">
        <w:tblPrEx>
          <w:tblCellMar>
            <w:top w:w="0" w:type="dxa"/>
            <w:left w:w="108" w:type="dxa"/>
            <w:bottom w:w="0" w:type="dxa"/>
            <w:right w:w="108" w:type="dxa"/>
          </w:tblCellMar>
        </w:tblPrEx>
        <w:trPr>
          <w:trHeight w:val="596"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020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6FD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PLC配电箱</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8DE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（项号51）1、最大功率：≥20KW；</w:t>
            </w:r>
          </w:p>
          <w:p w14:paraId="35DDF8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（项号52）2、具备过压、过流、欠压、短路、断路保护措施；</w:t>
            </w:r>
          </w:p>
          <w:p w14:paraId="6DA45AD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（项号53）3、支持PLC远程控制和手动控制功能；</w:t>
            </w:r>
          </w:p>
          <w:p w14:paraId="631D22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（项号54）4、支持≥380V~输入，≥220V~输出。</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AD4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4F4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8DC9252">
        <w:tblPrEx>
          <w:tblCellMar>
            <w:top w:w="0" w:type="dxa"/>
            <w:left w:w="108" w:type="dxa"/>
            <w:bottom w:w="0" w:type="dxa"/>
            <w:right w:w="108" w:type="dxa"/>
          </w:tblCellMar>
        </w:tblPrEx>
        <w:trPr>
          <w:trHeight w:val="28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53B3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0EF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安装支架</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58C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（项号55）采用专用LED安装型材根据现场环境设计定制，安装稳固及美观。</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017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FD7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60DB788">
        <w:tblPrEx>
          <w:tblCellMar>
            <w:top w:w="0" w:type="dxa"/>
            <w:left w:w="108" w:type="dxa"/>
            <w:bottom w:w="0" w:type="dxa"/>
            <w:right w:w="108" w:type="dxa"/>
          </w:tblCellMar>
        </w:tblPrEx>
        <w:trPr>
          <w:trHeight w:val="113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231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2D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大屏显示系统辅材</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434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系统必备的网线/电源线/信号线/控制线等，满足系统使用要求，主要包括：</w:t>
            </w:r>
          </w:p>
          <w:p w14:paraId="1C2BBE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（项号56）1、三相电至大屏配电箱的电缆（5*6、5*10、5*25等，线径根据屏幕大小及线缆长度决定）；</w:t>
            </w:r>
          </w:p>
          <w:p w14:paraId="069CBD9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（项号57）2、大屏配电箱到屏体之间的电缆（rvv3*2.5mm）；</w:t>
            </w:r>
          </w:p>
          <w:p w14:paraId="010E5D6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（项号58）3、发送卡到显示屏之间的网线；</w:t>
            </w:r>
          </w:p>
          <w:p w14:paraId="2806B0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（项号59）4、分布式盒到发送卡之间的信号线（HDMI、DVI、DP）；</w:t>
            </w:r>
          </w:p>
          <w:p w14:paraId="172CE90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（项号60）5、大屏配电箱的控制线（485串口线或网线）。</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6F5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09B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A5C3981">
        <w:tblPrEx>
          <w:tblCellMar>
            <w:top w:w="0" w:type="dxa"/>
            <w:left w:w="108" w:type="dxa"/>
            <w:bottom w:w="0" w:type="dxa"/>
            <w:right w:w="108" w:type="dxa"/>
          </w:tblCellMar>
        </w:tblPrEx>
        <w:trPr>
          <w:trHeight w:val="152"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E5C5E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（二）辅助显示系统</w:t>
            </w:r>
          </w:p>
        </w:tc>
      </w:tr>
      <w:tr w14:paraId="5B53FCAD">
        <w:tblPrEx>
          <w:tblCellMar>
            <w:top w:w="0" w:type="dxa"/>
            <w:left w:w="108" w:type="dxa"/>
            <w:bottom w:w="0" w:type="dxa"/>
            <w:right w:w="108" w:type="dxa"/>
          </w:tblCellMar>
        </w:tblPrEx>
        <w:trPr>
          <w:trHeight w:val="217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17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D5AC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触摸一体机</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51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（项号61）1、尺寸≥98寸，内置≥4800W摄像头，≥3840*2160分辨率，≥60Hz高刷新率，4K超清防眩光显示；深度还原画面细节，明暗层次分明，即使在强光、逆光的环境下，依然清晰呈现；</w:t>
            </w:r>
          </w:p>
          <w:p w14:paraId="730CAF7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（项号62）2、采用8阵列麦克风，通过波束成型，轻松拾取≥12米内的人声，支持回声消除，智能降噪；</w:t>
            </w:r>
          </w:p>
          <w:p w14:paraId="433A36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（项号63）3、G-G零贴合技术，极大减少漫反射，屏幕显示无重影；</w:t>
            </w:r>
          </w:p>
          <w:p w14:paraId="4622EB5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（项号64）4、4K超清显示，深度还原画面细节，逆光环境大屏清晰可见；NTSC提升至≥90%；</w:t>
            </w:r>
          </w:p>
          <w:p w14:paraId="187DC0A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（项号65）5、双系统自由选择：支持OPS设备接入，双系统一键切换，灵活选择；</w:t>
            </w:r>
          </w:p>
          <w:p w14:paraId="6A1DCB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（项号66）6、智能AI，开会无忧：Auto-Framing不错过每位与会人员，智能音幕隔离更多干扰，声源定位聚焦发言人员，信息传递更加高效；</w:t>
            </w:r>
          </w:p>
          <w:p w14:paraId="7F9A41E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（项号67）7、无线投屏：摆脱线缆束缚，即使远在会议室的两端也可轻松完成电脑、手机等终端的投屏演示。目前已适配IOS、Android、Windows、MacOS等各主流系统；</w:t>
            </w:r>
          </w:p>
          <w:p w14:paraId="564D12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（项号68）8、包含OPS电脑。</w:t>
            </w:r>
          </w:p>
          <w:p w14:paraId="21781792">
            <w:pPr>
              <w:spacing w:line="400" w:lineRule="exact"/>
              <w:rPr>
                <w:rFonts w:hint="eastAsia" w:asciiTheme="minorEastAsia" w:hAnsiTheme="minorEastAsia" w:eastAsiaTheme="minorEastAsia" w:cstheme="minorEastAsia"/>
                <w:lang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A11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C4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4A212644">
        <w:tblPrEx>
          <w:tblCellMar>
            <w:top w:w="0" w:type="dxa"/>
            <w:left w:w="108" w:type="dxa"/>
            <w:bottom w:w="0" w:type="dxa"/>
            <w:right w:w="108" w:type="dxa"/>
          </w:tblCellMar>
        </w:tblPrEx>
        <w:trPr>
          <w:trHeight w:val="276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B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275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触摸一体机</w:t>
            </w:r>
          </w:p>
        </w:tc>
        <w:tc>
          <w:tcPr>
            <w:tcW w:w="6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0E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（项号69）1、屏幕尺寸≥75寸，支持≥2400W拍照，屏幕支持≥3840*2160分辨率，≥60Hz高刷新率，超清防眩光显示，画面高清不闪烁；</w:t>
            </w:r>
          </w:p>
          <w:p w14:paraId="0F7BB0C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（项号70）2、采用8阵列麦克风，通过自动增益控制，轻松拾取8米内的人声，支持回声消除，智能降噪；</w:t>
            </w:r>
          </w:p>
          <w:p w14:paraId="39D5FB5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（项号71）3、G-G零贴合技术，极大减少漫反射，屏幕显示无重影；</w:t>
            </w:r>
          </w:p>
          <w:p w14:paraId="7F4B5E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（项号72）4、在白板界面任意处长按即可弹出操作面板，完成简单操作；对于大尺寸屏幕无需频繁走动，提升操作效率与灵活性；</w:t>
            </w:r>
          </w:p>
          <w:p w14:paraId="20EAE14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（项号73）5、超清显示，深度还原画面细节，逆光环境大屏清晰可见；</w:t>
            </w:r>
          </w:p>
          <w:p w14:paraId="52EC89F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（项号74）6、更丰富的主题模板、迎宾场景、签名墙等资源，优中选优；防触控设计。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1F3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5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6DF05A78">
        <w:tblPrEx>
          <w:tblCellMar>
            <w:top w:w="0" w:type="dxa"/>
            <w:left w:w="108" w:type="dxa"/>
            <w:bottom w:w="0" w:type="dxa"/>
            <w:right w:w="108" w:type="dxa"/>
          </w:tblCellMar>
        </w:tblPrEx>
        <w:trPr>
          <w:trHeight w:val="28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FA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14D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移动推车</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335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（项号75）1、支持75-98寸显示器、会议一体机等显示设备；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1C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D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0B05B5F5">
        <w:tblPrEx>
          <w:tblCellMar>
            <w:top w:w="0" w:type="dxa"/>
            <w:left w:w="108" w:type="dxa"/>
            <w:bottom w:w="0" w:type="dxa"/>
            <w:right w:w="108" w:type="dxa"/>
          </w:tblCellMar>
        </w:tblPrEx>
        <w:trPr>
          <w:trHeight w:val="428"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A84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8DB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信息发布屏</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C6AE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（项号76）1、屏显尺寸：≥75寸；</w:t>
            </w:r>
          </w:p>
          <w:p w14:paraId="224527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（项号77）2、亮度≥300nits；</w:t>
            </w:r>
          </w:p>
          <w:p w14:paraId="643D846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（项号78）3、配置安卓操作系统，≥2G内存，≥16G存储空间。 </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90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64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742EA214">
        <w:tblPrEx>
          <w:tblCellMar>
            <w:top w:w="0" w:type="dxa"/>
            <w:left w:w="108" w:type="dxa"/>
            <w:bottom w:w="0" w:type="dxa"/>
            <w:right w:w="108" w:type="dxa"/>
          </w:tblCellMar>
        </w:tblPrEx>
        <w:trPr>
          <w:trHeight w:val="93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3F0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13</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7E6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LED屏</w:t>
            </w:r>
          </w:p>
        </w:tc>
        <w:tc>
          <w:tcPr>
            <w:tcW w:w="6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A4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3F指挥中心左侧屏</w:t>
            </w:r>
          </w:p>
          <w:p w14:paraId="2242EA9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（项号79）1、像素间距：≤1.25mm，箱体数量42：6行7列，显示屏面积：≥8.51m²，显示尺寸：≥4.2m×2.025m，分辨率：≥2880*1890；</w:t>
            </w:r>
          </w:p>
          <w:p w14:paraId="778684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（项号80）2、像素结构：1R1G1B；</w:t>
            </w:r>
          </w:p>
          <w:p w14:paraId="50AB72B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（项号81）3、封装方式：SMD；</w:t>
            </w:r>
          </w:p>
          <w:p w14:paraId="6EAD7EF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（项号82）4、像素密度：≥640000点/㎡；</w:t>
            </w:r>
          </w:p>
          <w:p w14:paraId="4742C9D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（项号83）5、箱体模组组成：1*4块模组；</w:t>
            </w:r>
          </w:p>
          <w:p w14:paraId="0778B65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（项号84）6、箱体尺寸：600mm（W）×337.5mm（H）×41.6mm（D）（允许正负偏离5%）；</w:t>
            </w:r>
          </w:p>
          <w:p w14:paraId="5DCC16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（项号85）7、箱体分辨率：≥480×270；</w:t>
            </w:r>
          </w:p>
          <w:p w14:paraId="2B863F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（项号86）8、维护方式：完全前维护 ；</w:t>
            </w:r>
          </w:p>
          <w:p w14:paraId="21627C1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（项号87）9、封装品牌：国产铜线 ；</w:t>
            </w:r>
          </w:p>
          <w:p w14:paraId="1AD7A47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（项号88）10、白平衡亮度：≥600 cd/㎡；</w:t>
            </w:r>
          </w:p>
          <w:p w14:paraId="5A4035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（项号89）11、色温：3000-10000 K可调；</w:t>
            </w:r>
          </w:p>
          <w:p w14:paraId="4B583F5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（项号90）12、可视角：≥160°(H)/160°(V)；</w:t>
            </w:r>
          </w:p>
          <w:p w14:paraId="7CA633E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（项号91）13、对比度：≥3000：1；</w:t>
            </w:r>
          </w:p>
          <w:p w14:paraId="7BEF2D8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（项号92）14、亮度均匀性：≥ 97％ ；</w:t>
            </w:r>
          </w:p>
          <w:p w14:paraId="3C7B4AE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（项号93）15、换帧频率：≥60 Hz；</w:t>
            </w:r>
          </w:p>
          <w:p w14:paraId="403A6C7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（项号94）16、刷新率：≥3840 Hz；</w:t>
            </w:r>
          </w:p>
          <w:p w14:paraId="231998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（项号95）17、灰度等级：最大支持≥16 bit。</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E26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535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8.51 </w:t>
            </w:r>
          </w:p>
        </w:tc>
      </w:tr>
      <w:tr w14:paraId="19971D5F">
        <w:tblPrEx>
          <w:tblCellMar>
            <w:top w:w="0" w:type="dxa"/>
            <w:left w:w="108" w:type="dxa"/>
            <w:bottom w:w="0" w:type="dxa"/>
            <w:right w:w="108" w:type="dxa"/>
          </w:tblCellMar>
        </w:tblPrEx>
        <w:trPr>
          <w:trHeight w:val="38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3BB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083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大屏支架</w:t>
            </w:r>
          </w:p>
        </w:tc>
        <w:tc>
          <w:tcPr>
            <w:tcW w:w="6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659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（项号96）1、厚度：箱体屏幕支架 ≥150mm，模组支架屏幕 ≥126.5mm；</w:t>
            </w:r>
          </w:p>
          <w:p w14:paraId="3405B3A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（项号97）2、弧度：0°；</w:t>
            </w:r>
          </w:p>
          <w:p w14:paraId="401639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（项号98）3、颜色：黑色；</w:t>
            </w:r>
          </w:p>
          <w:p w14:paraId="1307022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（项号99）4、材料： 高强度钢板；</w:t>
            </w:r>
          </w:p>
          <w:p w14:paraId="4646C86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（项号100）5、表面处理：静电喷塑。</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5E3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93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8.51 </w:t>
            </w:r>
          </w:p>
        </w:tc>
      </w:tr>
      <w:tr w14:paraId="5C1767B0">
        <w:tblPrEx>
          <w:tblCellMar>
            <w:top w:w="0" w:type="dxa"/>
            <w:left w:w="108" w:type="dxa"/>
            <w:bottom w:w="0" w:type="dxa"/>
            <w:right w:w="108" w:type="dxa"/>
          </w:tblCellMar>
        </w:tblPrEx>
        <w:trPr>
          <w:trHeight w:val="127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BBB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15</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03A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拼控机箱</w:t>
            </w:r>
          </w:p>
        </w:tc>
        <w:tc>
          <w:tcPr>
            <w:tcW w:w="6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DEB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（项号101）1、采用5U标准机架式设计，运营级ATCA机箱系统；配置≥4口1080P编码办卡1张，≥4路HDMI 1080P输出办卡2张，≥4网口发送卡2张；</w:t>
            </w:r>
          </w:p>
          <w:p w14:paraId="0283E86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（项号102）2、插拔式模块化设计，具备≥10个业务槽位，支持槽位混插，业务板卡支持热插拔；</w:t>
            </w:r>
          </w:p>
          <w:p w14:paraId="7F7C9EB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（项号103）3、双电源冗余设计，配备≥6组（24个）智能风扇自动调温，可拓展双主控；</w:t>
            </w:r>
          </w:p>
          <w:p w14:paraId="4EA19D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（项号104）4、音视频输入；支持HDMI内嵌音频输入，也可配置音频板做外置音频输入；</w:t>
            </w:r>
          </w:p>
          <w:p w14:paraId="427B92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（项号105）5、支持电脑、视频会议终端、超高分服务器等视频输入信号源，支持VGA、DVI、HDMI、TVI、SDI、BNC、HDMI 4K、DP 4K信号输入，支持网络IPC、NVR等设备类型作为网络信号源输入；</w:t>
            </w:r>
          </w:p>
          <w:p w14:paraId="72FAE09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（项号106）6、支持超高分融合，支持≥16个4K超高清信号接入；</w:t>
            </w:r>
          </w:p>
          <w:p w14:paraId="760C254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（项号107）7、音视频输出，支持HDMI内嵌音频输出，也可配置音频板做外置音频输出；</w:t>
            </w:r>
          </w:p>
          <w:p w14:paraId="667E1DE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（项号108）8、支持VGA、DVI、HDMI视频信号输出；</w:t>
            </w:r>
          </w:p>
          <w:p w14:paraId="4B898EA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（项号109）9、采用帧同步技术，保证所有输出口的图像完全同步，画面完整，播放流畅，无卡顿丢帧情况，无撕裂和拼缝现象；</w:t>
            </w:r>
          </w:p>
          <w:p w14:paraId="5F4B40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（项号110）10、音视频编解码，输入板支持H.264/H.265编码，支持子码流及主码流编码；最大支持≥40个编码通道，支持≥40路200W视频编码能力（输入板满配）；</w:t>
            </w:r>
          </w:p>
          <w:p w14:paraId="2DE9CB3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（项号111）11、输出板支持IPC/NVR等网络源解码，支持子码流及主码流解码，包含H264、H265、Smart264、Smart265、MJPEG等主流格式解码，支持PS、TS、ES、RTP、HIK等主流封装格式；</w:t>
            </w:r>
          </w:p>
          <w:p w14:paraId="2B0280D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（项号112）12、最大支持≥960个解码通道，可支持≥480路200W视频同时解码上墙（输出板满配）；</w:t>
            </w:r>
          </w:p>
          <w:p w14:paraId="50B8241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（项号113）13、支持智能解码，支持码流修改和切换，可设置分割画面自动取子码流；</w:t>
            </w:r>
          </w:p>
          <w:p w14:paraId="14251AC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114）14、电视墙功能，支持多电视墙，最大支持≥4个电视墙；支持电视墙预编辑、窗口可视化预览、预监和回显；支持开窗和漫游功能，单屏最大支持≥6个4K图层开窗，单个窗口支持1/4/6/8/9/16/25/36/49/64画面分割；支持32张底图轮巡显示，单个底图分辨率1280×720~7680×4320；</w:t>
            </w:r>
          </w:p>
          <w:p w14:paraId="21E3F9E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（项号115）15、支持虚拟条屏，整机最大支持≥4个字幕，支持背景颜色/透明度、字体类型/颜色/大小/方向、滚动速度设置、时钟添加；</w:t>
            </w:r>
          </w:p>
          <w:p w14:paraId="7630C19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（项号116）16、支持通过客户端软件抓屏，进行桌面投屏上墙；</w:t>
            </w:r>
          </w:p>
          <w:p w14:paraId="6CF7BDC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（项号117）17、最大支持≥128个预设场景，用户可以自定义每个场景电视墙布局；</w:t>
            </w:r>
          </w:p>
          <w:p w14:paraId="5DDEC2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（项号118）18、最大支持≥128个预案轮巡组，每个预案可自定义设置点位、场景、时间；</w:t>
            </w:r>
          </w:p>
          <w:p w14:paraId="291348B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（项号119）19、支持中控设备统一集成管理，通过控制中控主机实现灯光、窗帘、红外等环境控制；</w:t>
            </w:r>
          </w:p>
          <w:p w14:paraId="065C25B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（项号120）20、支持远程配置，重启，恢复默认设置、升级、获取系统状态、日志、校时等日常维护操作；</w:t>
            </w:r>
          </w:p>
          <w:p w14:paraId="6718098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（项号121）21、支持故障自动检测和设备异常报警功能，包括网络断开、IP冲突、非法访问、温度超限、风扇状态异常、解码信号源异常、设备异常等；</w:t>
            </w:r>
          </w:p>
          <w:p w14:paraId="737A17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122）▲22、多电视墙管理和镜像功能：具备单台设备支持多个电视墙独立配置以及场景的独立管理功能，支持场景复制，不同规格电视墙之间实现场景复制，同时还可以实现自动比例调整功能；还应支持镜像功能，一台设备进行电视墙操作时，另一台设备可同时进行同样的操作。（须提供第三方检测机构出具的带有CMA或CNAS标识的检测报告复印件并加盖投标人公章，原件备查）</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24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EF9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60F5CD10">
        <w:tblPrEx>
          <w:tblCellMar>
            <w:top w:w="0" w:type="dxa"/>
            <w:left w:w="108" w:type="dxa"/>
            <w:bottom w:w="0" w:type="dxa"/>
            <w:right w:w="108" w:type="dxa"/>
          </w:tblCellMar>
        </w:tblPrEx>
        <w:trPr>
          <w:trHeight w:val="59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3E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16</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C95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视频线</w:t>
            </w:r>
          </w:p>
        </w:tc>
        <w:tc>
          <w:tcPr>
            <w:tcW w:w="6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008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（项号123）HDMI铜线视频线,支持1080P60Hz型号稳定传输，长度≥10m。</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FB2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EA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r>
      <w:tr w14:paraId="0FAB3B4A">
        <w:tblPrEx>
          <w:tblCellMar>
            <w:top w:w="0" w:type="dxa"/>
            <w:left w:w="108" w:type="dxa"/>
            <w:bottom w:w="0" w:type="dxa"/>
            <w:right w:w="108" w:type="dxa"/>
          </w:tblCellMar>
        </w:tblPrEx>
        <w:trPr>
          <w:trHeight w:val="320" w:hRule="atLeast"/>
          <w:jc w:val="center"/>
        </w:trPr>
        <w:tc>
          <w:tcPr>
            <w:tcW w:w="6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65CC5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17</w:t>
            </w:r>
          </w:p>
        </w:tc>
        <w:tc>
          <w:tcPr>
            <w:tcW w:w="94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1190F5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配电箱</w:t>
            </w:r>
          </w:p>
        </w:tc>
        <w:tc>
          <w:tcPr>
            <w:tcW w:w="653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0E854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（项号124）1、≥10KW LED显示屏PLC智能配电柜；</w:t>
            </w:r>
          </w:p>
          <w:p w14:paraId="31EBE20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（项号125）2、输入电压：≥380V；</w:t>
            </w:r>
          </w:p>
          <w:p w14:paraId="65217A3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（项号126）3、输出电压：≥220V；</w:t>
            </w:r>
          </w:p>
          <w:p w14:paraId="27414D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（项号127）4、额定功率：≥10KW；</w:t>
            </w:r>
          </w:p>
          <w:p w14:paraId="1CACAC6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（项号128）5、输出回路：≥3个单相回路（AC220V）；</w:t>
            </w:r>
          </w:p>
          <w:p w14:paraId="37AF8DE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（项号129）6、每路输出最大带载功率：≤3.33KW。</w:t>
            </w:r>
          </w:p>
        </w:tc>
        <w:tc>
          <w:tcPr>
            <w:tcW w:w="99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52C31D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套</w:t>
            </w:r>
          </w:p>
        </w:tc>
        <w:tc>
          <w:tcPr>
            <w:tcW w:w="99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D03865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6D5A2C14">
        <w:tblPrEx>
          <w:tblCellMar>
            <w:top w:w="0" w:type="dxa"/>
            <w:left w:w="108" w:type="dxa"/>
            <w:bottom w:w="0" w:type="dxa"/>
            <w:right w:w="108" w:type="dxa"/>
          </w:tblCellMar>
        </w:tblPrEx>
        <w:trPr>
          <w:trHeight w:val="152"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14:paraId="600C7C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18</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14:paraId="5C7B76D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配件</w:t>
            </w:r>
          </w:p>
        </w:tc>
        <w:tc>
          <w:tcPr>
            <w:tcW w:w="65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2DF2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（项号130）插排、接插件、网络线、收边等。</w:t>
            </w: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14:paraId="34A5B48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1302B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139B14C2">
      <w:pPr>
        <w:rPr>
          <w:rFonts w:hint="eastAsia" w:asciiTheme="minorEastAsia" w:hAnsiTheme="minorEastAsia" w:eastAsiaTheme="minorEastAsia" w:cstheme="minorEastAsia"/>
        </w:rPr>
      </w:pPr>
    </w:p>
    <w:tbl>
      <w:tblPr>
        <w:tblStyle w:val="16"/>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92"/>
        <w:gridCol w:w="6521"/>
        <w:gridCol w:w="992"/>
        <w:gridCol w:w="965"/>
      </w:tblGrid>
      <w:tr w14:paraId="5FEE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4" w:type="dxa"/>
            <w:gridSpan w:val="5"/>
            <w:shd w:val="clear" w:color="auto" w:fill="auto"/>
            <w:vAlign w:val="center"/>
          </w:tcPr>
          <w:p w14:paraId="269339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二、分布式视频系统</w:t>
            </w:r>
          </w:p>
        </w:tc>
      </w:tr>
      <w:tr w14:paraId="3D10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13B094E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992" w:type="dxa"/>
            <w:shd w:val="clear" w:color="auto" w:fill="auto"/>
            <w:vAlign w:val="center"/>
          </w:tcPr>
          <w:p w14:paraId="374985E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noWrap/>
            <w:vAlign w:val="center"/>
          </w:tcPr>
          <w:p w14:paraId="416626E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225F4FF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965" w:type="dxa"/>
            <w:shd w:val="clear" w:color="auto" w:fill="auto"/>
            <w:vAlign w:val="center"/>
          </w:tcPr>
          <w:p w14:paraId="37258E7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72F1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4" w:type="dxa"/>
            <w:shd w:val="clear" w:color="auto" w:fill="auto"/>
            <w:vAlign w:val="center"/>
          </w:tcPr>
          <w:p w14:paraId="4A39D8D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992" w:type="dxa"/>
            <w:shd w:val="clear" w:color="auto" w:fill="auto"/>
            <w:vAlign w:val="center"/>
          </w:tcPr>
          <w:p w14:paraId="3E45C9B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4K分布式输入节点</w:t>
            </w:r>
          </w:p>
        </w:tc>
        <w:tc>
          <w:tcPr>
            <w:tcW w:w="6521" w:type="dxa"/>
            <w:shd w:val="clear" w:color="auto" w:fill="FFFFFF"/>
            <w:noWrap/>
            <w:vAlign w:val="center"/>
          </w:tcPr>
          <w:p w14:paraId="385FED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（项号131）1、每个节点单元均采用H.265数据流编解码芯片、自带POE供电RJ45接口；支持POE与外部供电双供电模式；</w:t>
            </w:r>
          </w:p>
          <w:p w14:paraId="6E60482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（项号132）2、每个节点具有多路高清视频接口，凤凰头音频输入输出接口，节点具有IR、IO及双向Rs232、Rs485接口、≥2路USB接口，支持HDMI环出功能，不增加额外硬件，通过软件授权可实现KVM功能；</w:t>
            </w:r>
          </w:p>
          <w:p w14:paraId="72DAD81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（项号133）3、节点支持HDMI，DVI、VGA等各种信号，支持最低分辨率800*600到最高分辨率4K@60Hz；支持自动调节编解码码率，保障图像清晰度的一致性；</w:t>
            </w:r>
          </w:p>
          <w:p w14:paraId="04C48A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（项号134）4、为满足会议或者指挥的过程中对突发情况的迅速及时处置，要求系统具有在现场可以实时保存和实时调用；预览区域可同时支持≥16路视频预览；</w:t>
            </w:r>
          </w:p>
          <w:p w14:paraId="5E4C764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135）5、支持LED、DID、LCD、DLP拼接，无需服务器可接入IPC；音视频可同步，可异步切换；支持RTSP、RTMP等标准流媒体协议、支持H.264和H.265的IPC编码摄像机，IPC网络摄像机机信号接入直接输出显示到大屏，无需第三方转码服务器；</w:t>
            </w:r>
          </w:p>
          <w:p w14:paraId="43BD7A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（项号136）6、支持大屏拼接、漫游、多图层叠加显示，单屏支持4路4K视频或者16路1080P信号；</w:t>
            </w:r>
          </w:p>
          <w:p w14:paraId="0FDFA3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（项号137）7、支持多平台实时预览操作、不同终端操作实时同步操作、不同分辨率(模拟/标清/高清)，多平台下配置不依赖服务器情况下自动同步状态；</w:t>
            </w:r>
          </w:p>
          <w:p w14:paraId="6EB3CE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（项号138）8、单路带宽支持3M-20M调节，支持TCP/IP传输；</w:t>
            </w:r>
          </w:p>
          <w:p w14:paraId="36DE69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（项号139）9、支持定时操作，自动开窗口切换画面；支持系统场景能一键恢复；节点设备具备可编程存储能力，可在断电重启后自动恢复系统到断电前状态，如：音量大小、大屏开关、信号位置、灯光环境等；</w:t>
            </w:r>
          </w:p>
          <w:p w14:paraId="2C0F76B4">
            <w:pPr>
              <w:pStyle w:val="8"/>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（项号140）10、为适应不同人员的操作习惯，菜单可提供该≥3 种信号接管方式：信号拖拽、鼠标双击、键盘按键，悬浮菜单包含但不限于推送、大屏控制、视频对讲、分屏、U 盘传输、AI 图文识别控制功能；支持智能 OCR 离线识图功能，可对指定画面进行框选后进行文字识别与提取（识别精度≥99%），识别后可自动排列显示，提取/修改文字并实现在物理隔离状态下的主机之间跨屏复制；支持按预定格式填充于文档或表格；。</w:t>
            </w:r>
          </w:p>
          <w:p w14:paraId="63BB6B9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（项号141）▲11、编码端至解码端(端到端传输)，图像传输延时≤16ms，具备一路HDMI/DP 输出带HDMI线锁扣装置，一路 DVI/SDI 输出，一路 VGA 输出，支持输出节点直接连接 LED 发送卡进行拼接，能对输出的亮度、对比度、色调、饱和度以及增益进行调整；（须提供第三方检测机构出具的具有CMA或CNAS标识的检测报告复印件并加盖投标人公章，原件备查）。</w:t>
            </w:r>
          </w:p>
        </w:tc>
        <w:tc>
          <w:tcPr>
            <w:tcW w:w="992" w:type="dxa"/>
            <w:shd w:val="clear" w:color="auto" w:fill="auto"/>
            <w:vAlign w:val="center"/>
          </w:tcPr>
          <w:p w14:paraId="049DABF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2981C8E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18 </w:t>
            </w:r>
          </w:p>
        </w:tc>
      </w:tr>
      <w:tr w14:paraId="3C6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44" w:type="dxa"/>
            <w:shd w:val="clear" w:color="auto" w:fill="auto"/>
            <w:vAlign w:val="center"/>
          </w:tcPr>
          <w:p w14:paraId="1E718F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p>
        </w:tc>
        <w:tc>
          <w:tcPr>
            <w:tcW w:w="992" w:type="dxa"/>
            <w:shd w:val="clear" w:color="auto" w:fill="auto"/>
            <w:vAlign w:val="center"/>
          </w:tcPr>
          <w:p w14:paraId="34BA03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4K分布式输出节点</w:t>
            </w:r>
          </w:p>
        </w:tc>
        <w:tc>
          <w:tcPr>
            <w:tcW w:w="6521" w:type="dxa"/>
            <w:shd w:val="clear" w:color="auto" w:fill="FFFFFF"/>
            <w:noWrap/>
            <w:vAlign w:val="center"/>
          </w:tcPr>
          <w:p w14:paraId="17EF77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（项号142）1、每个节点单元均采用H.265数据流编解码芯片、自带POE供电RJ45接口；支持POE与外部供电双供电模式；</w:t>
            </w:r>
          </w:p>
          <w:p w14:paraId="2C01504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（项号143）2、每个节点具有多路高清视频接口，凤凰头音频输入输出接口，节点具有IR、IO及双向Rs232、Rs485接口、≥2路USB接口，支持HDMI环出功能，不增加额外硬件，通过软件授权可实现KVM功能；</w:t>
            </w:r>
          </w:p>
          <w:p w14:paraId="476BF1B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（项号144）</w:t>
            </w:r>
            <w:r>
              <w:rPr>
                <w:rFonts w:hint="eastAsia" w:asciiTheme="minorEastAsia" w:hAnsiTheme="minorEastAsia" w:eastAsiaTheme="minorEastAsia" w:cstheme="minorEastAsia"/>
              </w:rPr>
              <w:t>3、节点支持HDMI，DVI、VGA等各种信号，支持最低分辨率800*600到最高分辨率4K@60Hz；支持自动调节编解码码率，保障图像清晰度的一致性；</w:t>
            </w:r>
          </w:p>
          <w:p w14:paraId="6E3D8F7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（项号145）4、为满足会议或者指挥的过程中对突发情况的迅速及时处置，要求系统具有在现场可以实时保存和实时调用；预览区域可同时支持≥16路视频预览；</w:t>
            </w:r>
          </w:p>
          <w:p w14:paraId="138BA8C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146）5、支持LED、DID、LCD、DLP拼接，无需服务器可接入IPC；音视频可同步，可异步切换；支持RTSP、RTMP等标准流媒体协议、支持H.264和H.265的IPC编码摄像机，IPC网络摄像机机信号接入直接输出显示到大屏，无需第三方转码服务器；</w:t>
            </w:r>
          </w:p>
          <w:p w14:paraId="47BF8FE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（项号147）6、支持大屏拼接、漫游、多图层叠加显示，单屏支持4路4K视频或者16路1080P信号；</w:t>
            </w:r>
          </w:p>
          <w:p w14:paraId="4F5B31C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（项号148）7、支持多平台实时预览操作、不同终端操作实时同步操作、不同分辨率(模拟/标清/高清)，多平台下配置不依赖服务器情况下自动同步状态；</w:t>
            </w:r>
          </w:p>
          <w:p w14:paraId="10DB813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（项号149）8、单路带宽支持3M-20M调节，支持TCP/IP传输；</w:t>
            </w:r>
          </w:p>
          <w:p w14:paraId="6BD847B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（项号150）9、支持定时操作，自动开窗口切换画面；支持系统场景能一键恢复；节点设备具备可编程存储能力，可在断电重启后自动恢复系统到断电前状态，如：音量大小、大屏开关、信号位置、灯光环境等。</w:t>
            </w:r>
          </w:p>
        </w:tc>
        <w:tc>
          <w:tcPr>
            <w:tcW w:w="992" w:type="dxa"/>
            <w:shd w:val="clear" w:color="auto" w:fill="auto"/>
            <w:vAlign w:val="center"/>
          </w:tcPr>
          <w:p w14:paraId="4E526D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74EDC32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18 </w:t>
            </w:r>
          </w:p>
        </w:tc>
      </w:tr>
      <w:tr w14:paraId="13D6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4" w:type="dxa"/>
            <w:shd w:val="clear" w:color="auto" w:fill="auto"/>
            <w:vAlign w:val="center"/>
          </w:tcPr>
          <w:p w14:paraId="1D85EB4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p>
        </w:tc>
        <w:tc>
          <w:tcPr>
            <w:tcW w:w="992" w:type="dxa"/>
            <w:shd w:val="clear" w:color="auto" w:fill="auto"/>
            <w:vAlign w:val="center"/>
          </w:tcPr>
          <w:p w14:paraId="16D644F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4K分布式KVM输入节点</w:t>
            </w:r>
          </w:p>
        </w:tc>
        <w:tc>
          <w:tcPr>
            <w:tcW w:w="6521" w:type="dxa"/>
            <w:shd w:val="clear" w:color="auto" w:fill="FFFFFF"/>
            <w:noWrap/>
            <w:vAlign w:val="center"/>
          </w:tcPr>
          <w:p w14:paraId="23AE6D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（项号151）1、每个节点单元均采用H.265数据流编解码芯片、自带POE供电RJ45接口；支持POE与外部供电双供电模式；</w:t>
            </w:r>
          </w:p>
          <w:p w14:paraId="28E165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（项号152）2、每个节点具有多路高清视频接口，凤凰头音频输入输出接口，节点具有IR、IO及双向Rs232、Rs485接口、≥2路USB接口，支持HDMI环出功能，不增加额外硬件，通过软件授权可实现KVM功能；</w:t>
            </w:r>
          </w:p>
          <w:p w14:paraId="3584736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（项号153）</w:t>
            </w:r>
            <w:r>
              <w:rPr>
                <w:rFonts w:hint="eastAsia" w:asciiTheme="minorEastAsia" w:hAnsiTheme="minorEastAsia" w:eastAsiaTheme="minorEastAsia" w:cstheme="minorEastAsia"/>
              </w:rPr>
              <w:t>3、节点支持HDMI，DVI、VGA等各种信号，支持最低分辨率800*600到最高分辨率4K@60Hz；支持自动调节编解码码率，保障图像清晰度的一致性；</w:t>
            </w:r>
          </w:p>
          <w:p w14:paraId="68AB875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（项号154）4、为满足会议或者指挥的过程中对突发情况的迅速及时处置，要求系统具有在现场可以实时保存和实时调用；预览区域可同时支持≥16路视频预览；</w:t>
            </w:r>
          </w:p>
          <w:p w14:paraId="42704E7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155）5、支持LED、DID、LCD、DLP拼接，无需服务器可接入IPC；音视频可同步，可异步切换；支持RTSP、RTMP等标准流媒体协议、支持H.264和H.265的IPC编码摄像机，IPC网络摄像机机信号接入直接输出显示到大屏，无需第三方转码服务器；</w:t>
            </w:r>
          </w:p>
          <w:p w14:paraId="1E55EE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（项号156）6、支持大屏拼接、漫游、多图层叠加显示，单屏支持4路4K视频或者16路1080P信号；</w:t>
            </w:r>
          </w:p>
          <w:p w14:paraId="67E861C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（项号157）7、支持多平台实时预览操作、不同终端操作实时同步操作、不同分辨率(模拟/标清/高清)，多平台下配置不依赖服务器情况下自动同步状态；</w:t>
            </w:r>
          </w:p>
          <w:p w14:paraId="456029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（项号158）8、单路带宽支持3M-20M调节，支持TCP/IP传输；</w:t>
            </w:r>
          </w:p>
          <w:p w14:paraId="0747F73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（项号159）9、支持定时操作，自动开窗口切换画面；支持系统场景能一键恢复；节点设备具备可编程存储能力，可在断电重启后自动恢复系统到断电前状态，如：音量大小、大屏开关、信号位置、灯光环境等。</w:t>
            </w:r>
          </w:p>
        </w:tc>
        <w:tc>
          <w:tcPr>
            <w:tcW w:w="992" w:type="dxa"/>
            <w:shd w:val="clear" w:color="auto" w:fill="auto"/>
            <w:vAlign w:val="center"/>
          </w:tcPr>
          <w:p w14:paraId="42BE2AD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47DB5A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18 </w:t>
            </w:r>
          </w:p>
        </w:tc>
      </w:tr>
      <w:tr w14:paraId="5474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3E4C32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p>
        </w:tc>
        <w:tc>
          <w:tcPr>
            <w:tcW w:w="992" w:type="dxa"/>
            <w:shd w:val="clear" w:color="auto" w:fill="auto"/>
            <w:vAlign w:val="center"/>
          </w:tcPr>
          <w:p w14:paraId="775D85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4K分布式KVM输出节点</w:t>
            </w:r>
          </w:p>
        </w:tc>
        <w:tc>
          <w:tcPr>
            <w:tcW w:w="6521" w:type="dxa"/>
            <w:shd w:val="clear" w:color="auto" w:fill="FFFFFF"/>
            <w:noWrap/>
            <w:vAlign w:val="center"/>
          </w:tcPr>
          <w:p w14:paraId="5907A7A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（项号160）1、通过USB线、鼠标键盘可控制多台主机，一人多屏，快捷OSD菜单键通过键盘便可操作上屏的电脑信号直接给到任意屏幕；</w:t>
            </w:r>
          </w:p>
          <w:p w14:paraId="6B5783D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（项号161）2、支持KVM坐席权限分发。</w:t>
            </w:r>
          </w:p>
        </w:tc>
        <w:tc>
          <w:tcPr>
            <w:tcW w:w="992" w:type="dxa"/>
            <w:shd w:val="clear" w:color="auto" w:fill="auto"/>
            <w:vAlign w:val="center"/>
          </w:tcPr>
          <w:p w14:paraId="065C93F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4CF630E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18 </w:t>
            </w:r>
          </w:p>
        </w:tc>
      </w:tr>
      <w:tr w14:paraId="2DE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4450CF3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992" w:type="dxa"/>
            <w:shd w:val="clear" w:color="auto" w:fill="auto"/>
            <w:vAlign w:val="center"/>
          </w:tcPr>
          <w:p w14:paraId="3605E48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分布式系统客户端软件</w:t>
            </w:r>
          </w:p>
        </w:tc>
        <w:tc>
          <w:tcPr>
            <w:tcW w:w="6521" w:type="dxa"/>
            <w:shd w:val="clear" w:color="auto" w:fill="FFFFFF"/>
            <w:noWrap/>
            <w:vAlign w:val="center"/>
          </w:tcPr>
          <w:p w14:paraId="00102A3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（项号162）1、支持自定义控制组件，保存和调用常用音视频控制场景，音视频预览、自动发现和自动添加，支持触控/鼠标滑动操作，分组分栏自命名等个性化功能。</w:t>
            </w:r>
          </w:p>
        </w:tc>
        <w:tc>
          <w:tcPr>
            <w:tcW w:w="992" w:type="dxa"/>
            <w:shd w:val="clear" w:color="auto" w:fill="auto"/>
            <w:vAlign w:val="center"/>
          </w:tcPr>
          <w:p w14:paraId="1F4EFC2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65" w:type="dxa"/>
            <w:shd w:val="clear" w:color="auto" w:fill="auto"/>
            <w:vAlign w:val="center"/>
          </w:tcPr>
          <w:p w14:paraId="641925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21E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7D18CE2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92" w:type="dxa"/>
            <w:shd w:val="clear" w:color="auto" w:fill="auto"/>
            <w:noWrap/>
            <w:vAlign w:val="center"/>
          </w:tcPr>
          <w:p w14:paraId="36B1B84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中控界面控制软件</w:t>
            </w:r>
          </w:p>
        </w:tc>
        <w:tc>
          <w:tcPr>
            <w:tcW w:w="6521" w:type="dxa"/>
            <w:shd w:val="clear" w:color="auto" w:fill="FFFFFF"/>
            <w:noWrap/>
            <w:vAlign w:val="center"/>
          </w:tcPr>
          <w:p w14:paraId="79D9DA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（项号163）1、平板电脑中控界面控制软件；</w:t>
            </w:r>
          </w:p>
          <w:p w14:paraId="3F6B08F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（项号164）2、含现场编程；</w:t>
            </w:r>
          </w:p>
          <w:p w14:paraId="249021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（项号165）3、支持会场的灯光、窗帘、音箱音量控制管理；支持会议摄像实时跟踪。</w:t>
            </w:r>
          </w:p>
        </w:tc>
        <w:tc>
          <w:tcPr>
            <w:tcW w:w="992" w:type="dxa"/>
            <w:shd w:val="clear" w:color="auto" w:fill="auto"/>
            <w:noWrap/>
            <w:vAlign w:val="center"/>
          </w:tcPr>
          <w:p w14:paraId="17E1FE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65" w:type="dxa"/>
            <w:shd w:val="clear" w:color="auto" w:fill="auto"/>
            <w:vAlign w:val="center"/>
          </w:tcPr>
          <w:p w14:paraId="5A02476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487F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544" w:type="dxa"/>
            <w:shd w:val="clear" w:color="auto" w:fill="auto"/>
            <w:vAlign w:val="center"/>
          </w:tcPr>
          <w:p w14:paraId="2354C7E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w:t>
            </w:r>
          </w:p>
        </w:tc>
        <w:tc>
          <w:tcPr>
            <w:tcW w:w="992" w:type="dxa"/>
            <w:shd w:val="clear" w:color="auto" w:fill="auto"/>
            <w:noWrap/>
            <w:vAlign w:val="center"/>
          </w:tcPr>
          <w:p w14:paraId="0907775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多媒体中央控制主机</w:t>
            </w:r>
          </w:p>
        </w:tc>
        <w:tc>
          <w:tcPr>
            <w:tcW w:w="6521" w:type="dxa"/>
            <w:shd w:val="clear" w:color="auto" w:fill="auto"/>
            <w:noWrap/>
            <w:vAlign w:val="center"/>
          </w:tcPr>
          <w:p w14:paraId="6316A3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（项号166）1、采用≥690MHz主频的32位内嵌式处理器，≥512M DDR内存，≥512M Flash闪存；</w:t>
            </w:r>
          </w:p>
          <w:p w14:paraId="2FA4AA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（项号167）2、支持PC或平板电脑作为控制触摸平台；</w:t>
            </w:r>
          </w:p>
          <w:p w14:paraId="0E8B45A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（项号168）3、支持远程在线调试、远程在线诊断、远程在线编程，可由专业人士在线完成编程；同时支持本地及云平台在线编程，无需安装软件，直接通过浏览器访问主机IP或云平台；</w:t>
            </w:r>
          </w:p>
          <w:p w14:paraId="2D6568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（项号169）4、人工智能神经网络图控制算法，支持任意复杂度控制运行图，实现闭环控制；</w:t>
            </w:r>
          </w:p>
          <w:p w14:paraId="5067795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（项号170）5、支持控制模块编组成宏，支持用户自建功能模块，支持控制UI组件组模板；同时支持三套相互独立的用户控制界面，支持多用户、跨平台、分布式控制；</w:t>
            </w:r>
          </w:p>
          <w:p w14:paraId="66D4CE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（项号171）6、≥8路独立可编程的红外发射接口，可直接转换为单向RS232串口使用；≥6路独立可编程RS-232/422/485双向控制接口；≥8路弱电继电器接口，≥8路数字IO接口；≥2路100M网络接口；</w:t>
            </w:r>
          </w:p>
          <w:p w14:paraId="794623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（项号172）7、需配置PC端控制软件，实现任意电脑通过局域网与中控连接控制会议室设备，达到与触摸屏同等效果。支持同一网络段集中管理，实现互联互通；</w:t>
            </w:r>
          </w:p>
          <w:p w14:paraId="59F25CE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（项号173）8、含两台远程桌面控制器。</w:t>
            </w:r>
          </w:p>
        </w:tc>
        <w:tc>
          <w:tcPr>
            <w:tcW w:w="992" w:type="dxa"/>
            <w:shd w:val="clear" w:color="auto" w:fill="auto"/>
            <w:noWrap/>
            <w:vAlign w:val="center"/>
          </w:tcPr>
          <w:p w14:paraId="25ED550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30D4565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BD4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53EEE77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p>
        </w:tc>
        <w:tc>
          <w:tcPr>
            <w:tcW w:w="992" w:type="dxa"/>
            <w:shd w:val="clear" w:color="auto" w:fill="auto"/>
            <w:noWrap/>
            <w:vAlign w:val="center"/>
          </w:tcPr>
          <w:p w14:paraId="49FD0C4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红外发射棒</w:t>
            </w:r>
          </w:p>
        </w:tc>
        <w:tc>
          <w:tcPr>
            <w:tcW w:w="6521" w:type="dxa"/>
            <w:shd w:val="clear" w:color="auto" w:fill="auto"/>
            <w:noWrap/>
            <w:vAlign w:val="center"/>
          </w:tcPr>
          <w:p w14:paraId="5EC926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（项号174）1、2针可拆卸终端模块，用于连接控制主机红外线埠。</w:t>
            </w:r>
          </w:p>
        </w:tc>
        <w:tc>
          <w:tcPr>
            <w:tcW w:w="992" w:type="dxa"/>
            <w:shd w:val="clear" w:color="auto" w:fill="auto"/>
            <w:noWrap/>
            <w:vAlign w:val="center"/>
          </w:tcPr>
          <w:p w14:paraId="5F4728E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条</w:t>
            </w:r>
          </w:p>
        </w:tc>
        <w:tc>
          <w:tcPr>
            <w:tcW w:w="965" w:type="dxa"/>
            <w:shd w:val="clear" w:color="auto" w:fill="auto"/>
            <w:vAlign w:val="center"/>
          </w:tcPr>
          <w:p w14:paraId="2C23073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 </w:t>
            </w:r>
          </w:p>
        </w:tc>
      </w:tr>
      <w:tr w14:paraId="4781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vMerge w:val="restart"/>
            <w:shd w:val="clear" w:color="auto" w:fill="auto"/>
            <w:vAlign w:val="center"/>
          </w:tcPr>
          <w:p w14:paraId="19068C7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92" w:type="dxa"/>
            <w:shd w:val="clear" w:color="auto" w:fill="auto"/>
            <w:vAlign w:val="center"/>
          </w:tcPr>
          <w:p w14:paraId="6335379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双频千兆无线路由器</w:t>
            </w:r>
          </w:p>
        </w:tc>
        <w:tc>
          <w:tcPr>
            <w:tcW w:w="6521" w:type="dxa"/>
            <w:shd w:val="clear" w:color="auto" w:fill="auto"/>
            <w:noWrap/>
            <w:vAlign w:val="center"/>
          </w:tcPr>
          <w:p w14:paraId="0798DE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（项号175）1、无线高速路由器。</w:t>
            </w:r>
          </w:p>
        </w:tc>
        <w:tc>
          <w:tcPr>
            <w:tcW w:w="992" w:type="dxa"/>
            <w:shd w:val="clear" w:color="auto" w:fill="auto"/>
            <w:vAlign w:val="center"/>
          </w:tcPr>
          <w:p w14:paraId="49B87B2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auto"/>
            <w:vAlign w:val="center"/>
          </w:tcPr>
          <w:p w14:paraId="66012D3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BBB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vMerge w:val="continue"/>
            <w:shd w:val="clear" w:color="auto" w:fill="FFFFFF"/>
            <w:vAlign w:val="center"/>
          </w:tcPr>
          <w:p w14:paraId="79C878DE">
            <w:pPr>
              <w:spacing w:line="400" w:lineRule="exact"/>
              <w:rPr>
                <w:rFonts w:hint="eastAsia" w:asciiTheme="minorEastAsia" w:hAnsiTheme="minorEastAsia" w:eastAsiaTheme="minorEastAsia" w:cstheme="minorEastAsia"/>
              </w:rPr>
            </w:pPr>
          </w:p>
        </w:tc>
        <w:tc>
          <w:tcPr>
            <w:tcW w:w="992" w:type="dxa"/>
            <w:shd w:val="clear" w:color="auto" w:fill="FFFFFF"/>
            <w:vAlign w:val="center"/>
          </w:tcPr>
          <w:p w14:paraId="1CBB609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48口千兆交换机</w:t>
            </w:r>
          </w:p>
        </w:tc>
        <w:tc>
          <w:tcPr>
            <w:tcW w:w="6521" w:type="dxa"/>
            <w:shd w:val="clear" w:color="auto" w:fill="FFFFFF"/>
            <w:noWrap/>
            <w:vAlign w:val="center"/>
          </w:tcPr>
          <w:p w14:paraId="5DDE04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（项号176）1、一主一备（电口）。支持48路千兆电口，4路万兆光口。</w:t>
            </w:r>
          </w:p>
        </w:tc>
        <w:tc>
          <w:tcPr>
            <w:tcW w:w="992" w:type="dxa"/>
            <w:shd w:val="clear" w:color="auto" w:fill="FFFFFF"/>
            <w:vAlign w:val="center"/>
          </w:tcPr>
          <w:p w14:paraId="7033684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65" w:type="dxa"/>
            <w:shd w:val="clear" w:color="auto" w:fill="FFFFFF"/>
            <w:vAlign w:val="center"/>
          </w:tcPr>
          <w:p w14:paraId="43152A4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0AA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vMerge w:val="continue"/>
            <w:shd w:val="clear" w:color="auto" w:fill="FFFFFF"/>
            <w:vAlign w:val="center"/>
          </w:tcPr>
          <w:p w14:paraId="4851697F">
            <w:pPr>
              <w:spacing w:line="400" w:lineRule="exact"/>
              <w:rPr>
                <w:rFonts w:hint="eastAsia" w:asciiTheme="minorEastAsia" w:hAnsiTheme="minorEastAsia" w:eastAsiaTheme="minorEastAsia" w:cstheme="minorEastAsia"/>
              </w:rPr>
            </w:pPr>
          </w:p>
        </w:tc>
        <w:tc>
          <w:tcPr>
            <w:tcW w:w="992" w:type="dxa"/>
            <w:shd w:val="clear" w:color="auto" w:fill="FFFFFF"/>
            <w:vAlign w:val="center"/>
          </w:tcPr>
          <w:p w14:paraId="62998CD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千兆光模块</w:t>
            </w:r>
          </w:p>
        </w:tc>
        <w:tc>
          <w:tcPr>
            <w:tcW w:w="6521" w:type="dxa"/>
            <w:shd w:val="clear" w:color="auto" w:fill="FFFFFF"/>
            <w:noWrap/>
            <w:vAlign w:val="center"/>
          </w:tcPr>
          <w:p w14:paraId="6AAF015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（项号177）1、</w:t>
            </w:r>
            <w:r>
              <w:rPr>
                <w:rFonts w:hint="eastAsia" w:asciiTheme="minorEastAsia" w:hAnsiTheme="minorEastAsia" w:eastAsiaTheme="minorEastAsia" w:cstheme="minorEastAsia"/>
              </w:rPr>
              <w:t>1配4</w:t>
            </w:r>
            <w:r>
              <w:rPr>
                <w:rFonts w:hint="eastAsia" w:asciiTheme="minorEastAsia" w:hAnsiTheme="minorEastAsia" w:eastAsiaTheme="minorEastAsia" w:cstheme="minorEastAsia"/>
                <w:lang w:eastAsia="zh-CN"/>
              </w:rPr>
              <w:t>。</w:t>
            </w:r>
          </w:p>
        </w:tc>
        <w:tc>
          <w:tcPr>
            <w:tcW w:w="992" w:type="dxa"/>
            <w:shd w:val="clear" w:color="auto" w:fill="FFFFFF"/>
            <w:vAlign w:val="center"/>
          </w:tcPr>
          <w:p w14:paraId="05C4D2D2">
            <w:pPr>
              <w:spacing w:line="400" w:lineRule="exact"/>
              <w:rPr>
                <w:rFonts w:hint="eastAsia" w:asciiTheme="minorEastAsia" w:hAnsiTheme="minorEastAsia" w:eastAsiaTheme="minorEastAsia" w:cstheme="minorEastAsia"/>
              </w:rPr>
            </w:pPr>
          </w:p>
        </w:tc>
        <w:tc>
          <w:tcPr>
            <w:tcW w:w="965" w:type="dxa"/>
            <w:shd w:val="clear" w:color="auto" w:fill="FFFFFF"/>
            <w:vAlign w:val="center"/>
          </w:tcPr>
          <w:p w14:paraId="3DE786F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 </w:t>
            </w:r>
          </w:p>
        </w:tc>
      </w:tr>
      <w:tr w14:paraId="3332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6148D5A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92" w:type="dxa"/>
            <w:shd w:val="clear" w:color="auto" w:fill="auto"/>
            <w:vAlign w:val="center"/>
          </w:tcPr>
          <w:p w14:paraId="6979582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软件调试</w:t>
            </w:r>
          </w:p>
        </w:tc>
        <w:tc>
          <w:tcPr>
            <w:tcW w:w="6521" w:type="dxa"/>
            <w:shd w:val="clear" w:color="auto" w:fill="auto"/>
            <w:noWrap/>
            <w:vAlign w:val="center"/>
          </w:tcPr>
          <w:p w14:paraId="608585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（项号178）1、现场编程。</w:t>
            </w:r>
          </w:p>
        </w:tc>
        <w:tc>
          <w:tcPr>
            <w:tcW w:w="992" w:type="dxa"/>
            <w:shd w:val="clear" w:color="auto" w:fill="auto"/>
            <w:vAlign w:val="center"/>
          </w:tcPr>
          <w:p w14:paraId="5CE4021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965" w:type="dxa"/>
            <w:shd w:val="clear" w:color="auto" w:fill="auto"/>
            <w:vAlign w:val="center"/>
          </w:tcPr>
          <w:p w14:paraId="32FE88C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72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4FA776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92" w:type="dxa"/>
            <w:shd w:val="clear" w:color="auto" w:fill="auto"/>
            <w:vAlign w:val="center"/>
          </w:tcPr>
          <w:p w14:paraId="2AA24E9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线材及辅材</w:t>
            </w:r>
          </w:p>
        </w:tc>
        <w:tc>
          <w:tcPr>
            <w:tcW w:w="6521" w:type="dxa"/>
            <w:shd w:val="clear" w:color="auto" w:fill="auto"/>
            <w:noWrap/>
            <w:vAlign w:val="center"/>
          </w:tcPr>
          <w:p w14:paraId="26CEB06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（项号179）1、各种管槽和线材，各种接插件配件等。</w:t>
            </w:r>
          </w:p>
        </w:tc>
        <w:tc>
          <w:tcPr>
            <w:tcW w:w="992" w:type="dxa"/>
            <w:shd w:val="clear" w:color="auto" w:fill="auto"/>
            <w:vAlign w:val="center"/>
          </w:tcPr>
          <w:p w14:paraId="198F056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批</w:t>
            </w:r>
          </w:p>
        </w:tc>
        <w:tc>
          <w:tcPr>
            <w:tcW w:w="965" w:type="dxa"/>
            <w:shd w:val="clear" w:color="auto" w:fill="auto"/>
            <w:vAlign w:val="center"/>
          </w:tcPr>
          <w:p w14:paraId="35EC9E3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0F965873">
      <w:pPr>
        <w:rPr>
          <w:rFonts w:hint="eastAsia" w:asciiTheme="minorEastAsia" w:hAnsiTheme="minorEastAsia" w:eastAsiaTheme="minorEastAsia" w:cstheme="minorEastAsia"/>
        </w:rPr>
      </w:pPr>
    </w:p>
    <w:tbl>
      <w:tblPr>
        <w:tblStyle w:val="16"/>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92"/>
        <w:gridCol w:w="6521"/>
        <w:gridCol w:w="992"/>
        <w:gridCol w:w="1010"/>
      </w:tblGrid>
      <w:tr w14:paraId="3109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104" w:type="dxa"/>
            <w:gridSpan w:val="5"/>
            <w:shd w:val="clear" w:color="auto" w:fill="FFFFFF"/>
            <w:vAlign w:val="center"/>
          </w:tcPr>
          <w:p w14:paraId="2FB1C4F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三、音频扩声系统</w:t>
            </w:r>
          </w:p>
        </w:tc>
      </w:tr>
      <w:tr w14:paraId="06F6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9" w:type="dxa"/>
            <w:shd w:val="clear" w:color="auto" w:fill="FFFFFF"/>
            <w:vAlign w:val="center"/>
          </w:tcPr>
          <w:p w14:paraId="4862A6D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992" w:type="dxa"/>
            <w:shd w:val="clear" w:color="auto" w:fill="FFFFFF"/>
            <w:vAlign w:val="center"/>
          </w:tcPr>
          <w:p w14:paraId="2BA5D5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FFFFFF"/>
            <w:noWrap/>
            <w:vAlign w:val="center"/>
          </w:tcPr>
          <w:p w14:paraId="4D2947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FFFFFF"/>
            <w:vAlign w:val="center"/>
          </w:tcPr>
          <w:p w14:paraId="1E622F8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10" w:type="dxa"/>
            <w:shd w:val="clear" w:color="auto" w:fill="FFFFFF"/>
            <w:vAlign w:val="center"/>
          </w:tcPr>
          <w:p w14:paraId="13343C5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6812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89" w:type="dxa"/>
            <w:shd w:val="clear" w:color="auto" w:fill="auto"/>
            <w:vAlign w:val="center"/>
          </w:tcPr>
          <w:p w14:paraId="2BCD261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auto"/>
            <w:vAlign w:val="center"/>
          </w:tcPr>
          <w:p w14:paraId="222FC00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阵列式扬声器</w:t>
            </w:r>
          </w:p>
        </w:tc>
        <w:tc>
          <w:tcPr>
            <w:tcW w:w="6521" w:type="dxa"/>
            <w:shd w:val="clear" w:color="auto" w:fill="FFFFFF"/>
            <w:vAlign w:val="center"/>
          </w:tcPr>
          <w:p w14:paraId="4A6E232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（项号180）1、全频无源阵列式音箱，≥12个 ≥2.75英寸的低频单元；</w:t>
            </w:r>
          </w:p>
          <w:p w14:paraId="7538A48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（项号181）2、频率响应：≥80Hz-20kHz （±3dB）；</w:t>
            </w:r>
          </w:p>
          <w:p w14:paraId="7CFD3D2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（项号182）3、灵敏度：≥94dB；声压级：≥126dB；</w:t>
            </w:r>
          </w:p>
          <w:p w14:paraId="1512B74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（项号183）4、覆盖角度（水平*垂直）：≥100°×95°。</w:t>
            </w:r>
          </w:p>
        </w:tc>
        <w:tc>
          <w:tcPr>
            <w:tcW w:w="992" w:type="dxa"/>
            <w:shd w:val="clear" w:color="auto" w:fill="auto"/>
            <w:vAlign w:val="center"/>
          </w:tcPr>
          <w:p w14:paraId="34B054C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10" w:type="dxa"/>
            <w:shd w:val="clear" w:color="auto" w:fill="auto"/>
            <w:vAlign w:val="center"/>
          </w:tcPr>
          <w:p w14:paraId="316BDF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697D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89" w:type="dxa"/>
            <w:shd w:val="clear" w:color="auto" w:fill="auto"/>
            <w:vAlign w:val="center"/>
          </w:tcPr>
          <w:p w14:paraId="78BAA08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auto"/>
            <w:vAlign w:val="center"/>
          </w:tcPr>
          <w:p w14:paraId="21C8E3E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主扩音箱功放</w:t>
            </w:r>
          </w:p>
        </w:tc>
        <w:tc>
          <w:tcPr>
            <w:tcW w:w="6521" w:type="dxa"/>
            <w:shd w:val="clear" w:color="auto" w:fill="auto"/>
            <w:vAlign w:val="center"/>
          </w:tcPr>
          <w:p w14:paraId="7318DBF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（项号184）1、立体声模式：8</w:t>
            </w:r>
            <w:r>
              <w:rPr>
                <w:rFonts w:hint="eastAsia" w:asciiTheme="minorEastAsia" w:hAnsiTheme="minorEastAsia" w:eastAsiaTheme="minorEastAsia" w:cstheme="minorEastAsia"/>
              </w:rPr>
              <w:t>Ω</w:t>
            </w:r>
            <w:r>
              <w:rPr>
                <w:rFonts w:hint="eastAsia" w:asciiTheme="minorEastAsia" w:hAnsiTheme="minorEastAsia" w:eastAsiaTheme="minorEastAsia" w:cstheme="minorEastAsia"/>
                <w:lang w:eastAsia="zh-CN"/>
              </w:rPr>
              <w:t>功率≥375W，4</w:t>
            </w:r>
            <w:r>
              <w:rPr>
                <w:rFonts w:hint="eastAsia" w:asciiTheme="minorEastAsia" w:hAnsiTheme="minorEastAsia" w:eastAsiaTheme="minorEastAsia" w:cstheme="minorEastAsia"/>
              </w:rPr>
              <w:t>Ω</w:t>
            </w:r>
            <w:r>
              <w:rPr>
                <w:rFonts w:hint="eastAsia" w:asciiTheme="minorEastAsia" w:hAnsiTheme="minorEastAsia" w:eastAsiaTheme="minorEastAsia" w:cstheme="minorEastAsia"/>
                <w:lang w:eastAsia="zh-CN"/>
              </w:rPr>
              <w:t>功率≥560W；</w:t>
            </w:r>
          </w:p>
          <w:p w14:paraId="243B02A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（项号185）</w:t>
            </w:r>
            <w:r>
              <w:rPr>
                <w:rFonts w:hint="eastAsia" w:asciiTheme="minorEastAsia" w:hAnsiTheme="minorEastAsia" w:eastAsiaTheme="minorEastAsia" w:cstheme="minorEastAsia"/>
              </w:rPr>
              <w:t>2、总谐波失真：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0.05%@8Ω，20Hz-20kHz；</w:t>
            </w:r>
          </w:p>
          <w:p w14:paraId="3CE794C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（项号186）3、保护功能：有短路、开路、过热、超音频和射频保护装置，开机/关机哑音保护，直流成分滤除保护。</w:t>
            </w:r>
          </w:p>
        </w:tc>
        <w:tc>
          <w:tcPr>
            <w:tcW w:w="992" w:type="dxa"/>
            <w:shd w:val="clear" w:color="auto" w:fill="auto"/>
            <w:vAlign w:val="center"/>
          </w:tcPr>
          <w:p w14:paraId="7722507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0" w:type="dxa"/>
            <w:shd w:val="clear" w:color="auto" w:fill="auto"/>
            <w:vAlign w:val="center"/>
          </w:tcPr>
          <w:p w14:paraId="7F2782C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7D08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9" w:type="dxa"/>
            <w:shd w:val="clear" w:color="auto" w:fill="auto"/>
            <w:vAlign w:val="center"/>
          </w:tcPr>
          <w:p w14:paraId="77DD160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auto"/>
            <w:vAlign w:val="center"/>
          </w:tcPr>
          <w:p w14:paraId="1ADFF3D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全频音箱</w:t>
            </w:r>
          </w:p>
        </w:tc>
        <w:tc>
          <w:tcPr>
            <w:tcW w:w="6521" w:type="dxa"/>
            <w:shd w:val="clear" w:color="auto" w:fill="FFFFFF"/>
            <w:vAlign w:val="center"/>
          </w:tcPr>
          <w:p w14:paraId="55808D7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（项号187）1、≥3寸全频扬声器；</w:t>
            </w:r>
          </w:p>
          <w:p w14:paraId="64D88A6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（项号188）2、频响：≥80Hz-16kHz；</w:t>
            </w:r>
          </w:p>
          <w:p w14:paraId="1A8AD27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（项号189）3、灵敏度≥88dB；最大声压级≥109db SPL；</w:t>
            </w:r>
          </w:p>
          <w:p w14:paraId="53B51AA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（项号190）4、指向特性(-6db)：≥100°H×190°V。</w:t>
            </w:r>
          </w:p>
        </w:tc>
        <w:tc>
          <w:tcPr>
            <w:tcW w:w="992" w:type="dxa"/>
            <w:shd w:val="clear" w:color="auto" w:fill="auto"/>
            <w:vAlign w:val="center"/>
          </w:tcPr>
          <w:p w14:paraId="448D372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10" w:type="dxa"/>
            <w:shd w:val="clear" w:color="auto" w:fill="auto"/>
            <w:vAlign w:val="center"/>
          </w:tcPr>
          <w:p w14:paraId="2E56305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234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9" w:type="dxa"/>
            <w:shd w:val="clear" w:color="auto" w:fill="auto"/>
            <w:vAlign w:val="center"/>
          </w:tcPr>
          <w:p w14:paraId="7DBFACE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p>
        </w:tc>
        <w:tc>
          <w:tcPr>
            <w:tcW w:w="992" w:type="dxa"/>
            <w:shd w:val="clear" w:color="auto" w:fill="auto"/>
            <w:vAlign w:val="center"/>
          </w:tcPr>
          <w:p w14:paraId="4EE6E03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全频音箱</w:t>
            </w:r>
          </w:p>
        </w:tc>
        <w:tc>
          <w:tcPr>
            <w:tcW w:w="6521" w:type="dxa"/>
            <w:shd w:val="clear" w:color="auto" w:fill="FFFFFF"/>
            <w:vAlign w:val="center"/>
          </w:tcPr>
          <w:p w14:paraId="4081802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（项号191）1、≥3寸全频扬声器；</w:t>
            </w:r>
          </w:p>
          <w:p w14:paraId="56CAFF3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（项号192）2、频响：≥80Hz-20kHz；</w:t>
            </w:r>
          </w:p>
          <w:p w14:paraId="465681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（项号193）3、灵敏度≥88dB；最大声压级≥108db SPL；</w:t>
            </w:r>
          </w:p>
          <w:p w14:paraId="75ADE0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（项号194）4、指向特性(-6db)：≥90°H×90°V。</w:t>
            </w:r>
          </w:p>
        </w:tc>
        <w:tc>
          <w:tcPr>
            <w:tcW w:w="992" w:type="dxa"/>
            <w:shd w:val="clear" w:color="auto" w:fill="auto"/>
            <w:vAlign w:val="center"/>
          </w:tcPr>
          <w:p w14:paraId="5C54CDB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10" w:type="dxa"/>
            <w:shd w:val="clear" w:color="auto" w:fill="auto"/>
            <w:vAlign w:val="center"/>
          </w:tcPr>
          <w:p w14:paraId="4681B65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55F2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89" w:type="dxa"/>
            <w:shd w:val="clear" w:color="auto" w:fill="auto"/>
            <w:vAlign w:val="center"/>
          </w:tcPr>
          <w:p w14:paraId="6B87153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992" w:type="dxa"/>
            <w:shd w:val="clear" w:color="auto" w:fill="auto"/>
            <w:vAlign w:val="center"/>
          </w:tcPr>
          <w:p w14:paraId="3E181CA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会商室音箱功放</w:t>
            </w:r>
          </w:p>
        </w:tc>
        <w:tc>
          <w:tcPr>
            <w:tcW w:w="6521" w:type="dxa"/>
            <w:shd w:val="clear" w:color="auto" w:fill="auto"/>
            <w:vAlign w:val="center"/>
          </w:tcPr>
          <w:p w14:paraId="2EBCA76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（项号195）1、立体声模式：8</w:t>
            </w:r>
            <w:r>
              <w:rPr>
                <w:rFonts w:hint="eastAsia" w:asciiTheme="minorEastAsia" w:hAnsiTheme="minorEastAsia" w:eastAsiaTheme="minorEastAsia" w:cstheme="minorEastAsia"/>
              </w:rPr>
              <w:t>Ω</w:t>
            </w:r>
            <w:r>
              <w:rPr>
                <w:rFonts w:hint="eastAsia" w:asciiTheme="minorEastAsia" w:hAnsiTheme="minorEastAsia" w:eastAsiaTheme="minorEastAsia" w:cstheme="minorEastAsia"/>
                <w:lang w:eastAsia="zh-CN"/>
              </w:rPr>
              <w:t>功率≥375W，4</w:t>
            </w:r>
            <w:r>
              <w:rPr>
                <w:rFonts w:hint="eastAsia" w:asciiTheme="minorEastAsia" w:hAnsiTheme="minorEastAsia" w:eastAsiaTheme="minorEastAsia" w:cstheme="minorEastAsia"/>
              </w:rPr>
              <w:t>Ω</w:t>
            </w:r>
            <w:r>
              <w:rPr>
                <w:rFonts w:hint="eastAsia" w:asciiTheme="minorEastAsia" w:hAnsiTheme="minorEastAsia" w:eastAsiaTheme="minorEastAsia" w:cstheme="minorEastAsia"/>
                <w:lang w:eastAsia="zh-CN"/>
              </w:rPr>
              <w:t>功率≥560W；</w:t>
            </w:r>
          </w:p>
          <w:p w14:paraId="6F3FA84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（项号196）</w:t>
            </w:r>
            <w:r>
              <w:rPr>
                <w:rFonts w:hint="eastAsia" w:asciiTheme="minorEastAsia" w:hAnsiTheme="minorEastAsia" w:eastAsiaTheme="minorEastAsia" w:cstheme="minorEastAsia"/>
              </w:rPr>
              <w:t>2、总谐波失真：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0.05%@8Ω，20Hz-20kHz；</w:t>
            </w:r>
          </w:p>
          <w:p w14:paraId="2B4DB65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（项号197）3、保护功能：有短路、开路、过热、超音频和射频保护装置，开机/关机哑音保护，直流成分滤除保护。</w:t>
            </w:r>
          </w:p>
        </w:tc>
        <w:tc>
          <w:tcPr>
            <w:tcW w:w="992" w:type="dxa"/>
            <w:shd w:val="clear" w:color="auto" w:fill="auto"/>
            <w:vAlign w:val="center"/>
          </w:tcPr>
          <w:p w14:paraId="02E4C73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0" w:type="dxa"/>
            <w:shd w:val="clear" w:color="auto" w:fill="auto"/>
            <w:vAlign w:val="center"/>
          </w:tcPr>
          <w:p w14:paraId="37B9EEA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r>
      <w:tr w14:paraId="7AC3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89" w:type="dxa"/>
            <w:shd w:val="clear" w:color="auto" w:fill="auto"/>
            <w:vAlign w:val="center"/>
          </w:tcPr>
          <w:p w14:paraId="37DB758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92" w:type="dxa"/>
            <w:shd w:val="clear" w:color="auto" w:fill="auto"/>
            <w:vAlign w:val="center"/>
          </w:tcPr>
          <w:p w14:paraId="34F18E0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数字调音台</w:t>
            </w:r>
          </w:p>
        </w:tc>
        <w:tc>
          <w:tcPr>
            <w:tcW w:w="6521" w:type="dxa"/>
            <w:shd w:val="clear" w:color="auto" w:fill="auto"/>
            <w:noWrap/>
            <w:vAlign w:val="center"/>
          </w:tcPr>
          <w:p w14:paraId="2DB636C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（项号198）1、输入处理通道：≥24个话放输入通道，内置16个通道独立的反馈抑制器，内置16路自动混音（增益共享型），带8个DCA；</w:t>
            </w:r>
          </w:p>
          <w:p w14:paraId="744D67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（项号199）2、输出通道支持L/R、10BUS、HeadPhone(L/R)，10BUS混音总线可选择推子前、推子后（PRE/POST）；</w:t>
            </w:r>
          </w:p>
          <w:p w14:paraId="0984D37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（项号200）3、具有≥17个电动推子，电动推子可操控：≥1个LR主声道推子、≥16个通道推子；</w:t>
            </w:r>
          </w:p>
          <w:p w14:paraId="2B8443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（项号201）4、支持≥8个推子编组、≥8个用户自定义按键、≥4个快速静音组按键；</w:t>
            </w:r>
          </w:p>
          <w:p w14:paraId="4DF3197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（项号202）5、不少于8个立体声效果器；</w:t>
            </w:r>
          </w:p>
          <w:p w14:paraId="032BA64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（项号203）6、支持标准机柜安装；</w:t>
            </w:r>
          </w:p>
          <w:p w14:paraId="0845891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（项号204）7、具有≥10.1英寸1280x800真彩电阻触摸屏、数字编码器以及按键构成的操作面板，能够快速方便地进行设置；</w:t>
            </w:r>
          </w:p>
          <w:p w14:paraId="2A12F6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（项号205）8、内置≥16个通道独立的反馈抑制器，内置≥16路自动混音（增益共享型）；</w:t>
            </w:r>
          </w:p>
          <w:p w14:paraId="47367F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（项号206）9、支持PC端控制。</w:t>
            </w:r>
          </w:p>
        </w:tc>
        <w:tc>
          <w:tcPr>
            <w:tcW w:w="992" w:type="dxa"/>
            <w:shd w:val="clear" w:color="auto" w:fill="auto"/>
            <w:vAlign w:val="center"/>
          </w:tcPr>
          <w:p w14:paraId="5563CF8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0" w:type="dxa"/>
            <w:shd w:val="clear" w:color="auto" w:fill="auto"/>
            <w:vAlign w:val="center"/>
          </w:tcPr>
          <w:p w14:paraId="4F760D1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33F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589" w:type="dxa"/>
            <w:shd w:val="clear" w:color="auto" w:fill="auto"/>
            <w:vAlign w:val="center"/>
          </w:tcPr>
          <w:p w14:paraId="1E22DD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w:t>
            </w:r>
          </w:p>
        </w:tc>
        <w:tc>
          <w:tcPr>
            <w:tcW w:w="992" w:type="dxa"/>
            <w:shd w:val="clear" w:color="auto" w:fill="auto"/>
            <w:vAlign w:val="center"/>
          </w:tcPr>
          <w:p w14:paraId="460EF3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音频处理器</w:t>
            </w:r>
          </w:p>
        </w:tc>
        <w:tc>
          <w:tcPr>
            <w:tcW w:w="6521" w:type="dxa"/>
            <w:shd w:val="clear" w:color="auto" w:fill="auto"/>
            <w:noWrap/>
            <w:vAlign w:val="center"/>
          </w:tcPr>
          <w:p w14:paraId="48D2259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（项号207）1、本地通道：≥8个输入、≥8个输出；</w:t>
            </w:r>
          </w:p>
          <w:p w14:paraId="2C2934E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（项号208）2、支持均衡、延时、混音、压限、滤波等各种音频处理插件；</w:t>
            </w:r>
          </w:p>
          <w:p w14:paraId="4CEEA92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209）3、输入通道支持前级放大、信号发生器、扩展器、压缩器、≥12段参量均衡，≥31段图示均衡、闪避器、AGC自动增益、AM自动混音功能（门限式、增益共享式）、AFC自适应反馈消除、AEC回声消除、ANC噪声消除、音频矩阵；</w:t>
            </w:r>
          </w:p>
          <w:p w14:paraId="35F98D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（项号210）4、AEC通道：≥16路可路由回声抑制；音频播放：内置≥16路（可扩展到128路）播放器，支持MP3、WAV音频文件播放；</w:t>
            </w:r>
          </w:p>
          <w:p w14:paraId="2E24658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（项号211）5、运行网络：标准三层千兆以太网；支持网络音频协议：RTP、VoIP；</w:t>
            </w:r>
          </w:p>
          <w:p w14:paraId="64E4047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（项号212）6、备份机制：支持主机一对一热备份；自动管理：具有计划任务工具，实现定时功能；权限机制：用户PIN码机制，可设置用户不同权限；</w:t>
            </w:r>
          </w:p>
          <w:p w14:paraId="7EB491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（项号213）7、广播功能：配套PS系列呼叫站和软件模块，实现智能广播功能；</w:t>
            </w:r>
          </w:p>
          <w:p w14:paraId="6F10A6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（项号214）8、用户界面：图形化中文用户界面；</w:t>
            </w:r>
          </w:p>
          <w:p w14:paraId="3E5011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（项号215）9、功放遥控：支持对网络功放的远程监控与遥控。</w:t>
            </w:r>
          </w:p>
        </w:tc>
        <w:tc>
          <w:tcPr>
            <w:tcW w:w="992" w:type="dxa"/>
            <w:shd w:val="clear" w:color="auto" w:fill="auto"/>
            <w:vAlign w:val="center"/>
          </w:tcPr>
          <w:p w14:paraId="00E2F1B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0" w:type="dxa"/>
            <w:shd w:val="clear" w:color="auto" w:fill="auto"/>
            <w:vAlign w:val="center"/>
          </w:tcPr>
          <w:p w14:paraId="720552F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4A15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89" w:type="dxa"/>
            <w:shd w:val="clear" w:color="auto" w:fill="auto"/>
            <w:vAlign w:val="center"/>
          </w:tcPr>
          <w:p w14:paraId="59AC915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p>
        </w:tc>
        <w:tc>
          <w:tcPr>
            <w:tcW w:w="992" w:type="dxa"/>
            <w:shd w:val="clear" w:color="auto" w:fill="auto"/>
            <w:vAlign w:val="center"/>
          </w:tcPr>
          <w:p w14:paraId="355C459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有源监听音箱</w:t>
            </w:r>
          </w:p>
        </w:tc>
        <w:tc>
          <w:tcPr>
            <w:tcW w:w="6521" w:type="dxa"/>
            <w:shd w:val="clear" w:color="auto" w:fill="auto"/>
            <w:noWrap/>
            <w:vAlign w:val="center"/>
          </w:tcPr>
          <w:p w14:paraId="7957B6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（项号216）1、≥5.25英寸有源二分频专业监听扬声器；</w:t>
            </w:r>
          </w:p>
          <w:p w14:paraId="001F0FB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（项号217）2、功率≥2X25w；</w:t>
            </w:r>
          </w:p>
          <w:p w14:paraId="4598FAF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（项号218）3、频响范围不少于50Hz-20KHz。</w:t>
            </w:r>
          </w:p>
        </w:tc>
        <w:tc>
          <w:tcPr>
            <w:tcW w:w="992" w:type="dxa"/>
            <w:shd w:val="clear" w:color="auto" w:fill="auto"/>
            <w:vAlign w:val="center"/>
          </w:tcPr>
          <w:p w14:paraId="1470650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10" w:type="dxa"/>
            <w:shd w:val="clear" w:color="auto" w:fill="auto"/>
            <w:vAlign w:val="center"/>
          </w:tcPr>
          <w:p w14:paraId="48FADD3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22B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9" w:type="dxa"/>
            <w:shd w:val="clear" w:color="auto" w:fill="auto"/>
            <w:vAlign w:val="center"/>
          </w:tcPr>
          <w:p w14:paraId="38475F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92" w:type="dxa"/>
            <w:shd w:val="clear" w:color="auto" w:fill="auto"/>
            <w:vAlign w:val="center"/>
          </w:tcPr>
          <w:p w14:paraId="73973D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双手持无线话筒</w:t>
            </w:r>
          </w:p>
        </w:tc>
        <w:tc>
          <w:tcPr>
            <w:tcW w:w="6521" w:type="dxa"/>
            <w:shd w:val="clear" w:color="auto" w:fill="auto"/>
            <w:noWrap/>
            <w:vAlign w:val="center"/>
          </w:tcPr>
          <w:p w14:paraId="3204DC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（项号219）1、工作频率：640MHz-690MHz；</w:t>
            </w:r>
          </w:p>
          <w:p w14:paraId="294CF3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（项号220）2、工作范围≥60米；</w:t>
            </w:r>
          </w:p>
          <w:p w14:paraId="0CD76B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（项号221）3、具有自动静音功能，麦克风跌落、抛掷时，毫秒级响应自动静音，避免冲击声；静置5秒自动静音、≥8分钟自动关机。</w:t>
            </w:r>
          </w:p>
        </w:tc>
        <w:tc>
          <w:tcPr>
            <w:tcW w:w="992" w:type="dxa"/>
            <w:shd w:val="clear" w:color="auto" w:fill="auto"/>
            <w:vAlign w:val="center"/>
          </w:tcPr>
          <w:p w14:paraId="00409C0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10" w:type="dxa"/>
            <w:shd w:val="clear" w:color="auto" w:fill="auto"/>
            <w:vAlign w:val="center"/>
          </w:tcPr>
          <w:p w14:paraId="37C1E36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1002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89" w:type="dxa"/>
            <w:shd w:val="clear" w:color="auto" w:fill="auto"/>
            <w:vAlign w:val="center"/>
          </w:tcPr>
          <w:p w14:paraId="780C75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92" w:type="dxa"/>
            <w:shd w:val="clear" w:color="auto" w:fill="auto"/>
            <w:vAlign w:val="center"/>
          </w:tcPr>
          <w:p w14:paraId="02D45DF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时序净化电源</w:t>
            </w:r>
          </w:p>
        </w:tc>
        <w:tc>
          <w:tcPr>
            <w:tcW w:w="6521" w:type="dxa"/>
            <w:shd w:val="clear" w:color="auto" w:fill="auto"/>
            <w:noWrap/>
            <w:vAlign w:val="center"/>
          </w:tcPr>
          <w:p w14:paraId="1B1D517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（项号222）1、支持≥12路电源时序控制，每路输出≥AC220V（10A）采用万能插座，容量≥10KVA；</w:t>
            </w:r>
          </w:p>
          <w:p w14:paraId="3373882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（项号223）2、面板控制：具备时序开关控制；</w:t>
            </w:r>
          </w:p>
          <w:p w14:paraId="04F14E1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（项号224）3、外部控制：支持DC5~24V 电压信号控制；支持干接点控制，支持RS232控制；</w:t>
            </w:r>
          </w:p>
          <w:p w14:paraId="0895088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（项号225）4、净化滤波器：具备容量≥40A的EMI滤波器；</w:t>
            </w:r>
          </w:p>
          <w:p w14:paraId="10A716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（项号226）5、具有通道延时编辑功能，可以自定义修改通道间的延时时间。集成RS485远程控制功能，支持通过USB、RS485、RS232等多样控制方式；</w:t>
            </w:r>
          </w:p>
          <w:p w14:paraId="6013EF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（项号227）6、支持定时开关机任务的功能，定时时长最长可设置达≥12个月的定时开关机功能。</w:t>
            </w:r>
          </w:p>
        </w:tc>
        <w:tc>
          <w:tcPr>
            <w:tcW w:w="992" w:type="dxa"/>
            <w:shd w:val="clear" w:color="auto" w:fill="auto"/>
            <w:vAlign w:val="center"/>
          </w:tcPr>
          <w:p w14:paraId="604040B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0" w:type="dxa"/>
            <w:shd w:val="clear" w:color="auto" w:fill="auto"/>
            <w:vAlign w:val="center"/>
          </w:tcPr>
          <w:p w14:paraId="29BB819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37E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9" w:type="dxa"/>
            <w:shd w:val="clear" w:color="auto" w:fill="auto"/>
            <w:vAlign w:val="center"/>
          </w:tcPr>
          <w:p w14:paraId="58E4C4A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1</w:t>
            </w:r>
          </w:p>
        </w:tc>
        <w:tc>
          <w:tcPr>
            <w:tcW w:w="992" w:type="dxa"/>
            <w:shd w:val="clear" w:color="auto" w:fill="auto"/>
            <w:vAlign w:val="center"/>
          </w:tcPr>
          <w:p w14:paraId="33BE4D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多媒体接口</w:t>
            </w:r>
          </w:p>
        </w:tc>
        <w:tc>
          <w:tcPr>
            <w:tcW w:w="6521" w:type="dxa"/>
            <w:shd w:val="clear" w:color="auto" w:fill="auto"/>
            <w:noWrap/>
            <w:vAlign w:val="center"/>
          </w:tcPr>
          <w:p w14:paraId="063249C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（项号228）1、根据现场需求定制。</w:t>
            </w:r>
          </w:p>
        </w:tc>
        <w:tc>
          <w:tcPr>
            <w:tcW w:w="992" w:type="dxa"/>
            <w:shd w:val="clear" w:color="auto" w:fill="auto"/>
            <w:vAlign w:val="center"/>
          </w:tcPr>
          <w:p w14:paraId="67876C8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10" w:type="dxa"/>
            <w:shd w:val="clear" w:color="auto" w:fill="auto"/>
            <w:vAlign w:val="center"/>
          </w:tcPr>
          <w:p w14:paraId="602FA7E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4ED7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9" w:type="dxa"/>
            <w:shd w:val="clear" w:color="auto" w:fill="auto"/>
            <w:vAlign w:val="center"/>
          </w:tcPr>
          <w:p w14:paraId="21C5ED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12</w:t>
            </w:r>
          </w:p>
        </w:tc>
        <w:tc>
          <w:tcPr>
            <w:tcW w:w="992" w:type="dxa"/>
            <w:shd w:val="clear" w:color="auto" w:fill="auto"/>
            <w:vAlign w:val="center"/>
          </w:tcPr>
          <w:p w14:paraId="205E7CF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线材及辅材</w:t>
            </w:r>
          </w:p>
        </w:tc>
        <w:tc>
          <w:tcPr>
            <w:tcW w:w="6521" w:type="dxa"/>
            <w:shd w:val="clear" w:color="auto" w:fill="auto"/>
            <w:noWrap/>
            <w:vAlign w:val="center"/>
          </w:tcPr>
          <w:p w14:paraId="76EEE60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（项号229）1、各种管槽和线材，各种接插件配件等。</w:t>
            </w:r>
          </w:p>
        </w:tc>
        <w:tc>
          <w:tcPr>
            <w:tcW w:w="992" w:type="dxa"/>
            <w:shd w:val="clear" w:color="auto" w:fill="auto"/>
            <w:vAlign w:val="center"/>
          </w:tcPr>
          <w:p w14:paraId="2E4A33A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批</w:t>
            </w:r>
          </w:p>
        </w:tc>
        <w:tc>
          <w:tcPr>
            <w:tcW w:w="1010" w:type="dxa"/>
            <w:shd w:val="clear" w:color="auto" w:fill="auto"/>
            <w:vAlign w:val="center"/>
          </w:tcPr>
          <w:p w14:paraId="1415E0A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bl>
    <w:p w14:paraId="05884F13">
      <w:pPr>
        <w:rPr>
          <w:rFonts w:hint="eastAsia" w:asciiTheme="minorEastAsia" w:hAnsiTheme="minorEastAsia" w:eastAsiaTheme="minorEastAsia" w:cstheme="minorEastAsia"/>
        </w:rPr>
      </w:pPr>
    </w:p>
    <w:tbl>
      <w:tblPr>
        <w:tblStyle w:val="16"/>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992"/>
        <w:gridCol w:w="6521"/>
        <w:gridCol w:w="992"/>
        <w:gridCol w:w="1014"/>
      </w:tblGrid>
      <w:tr w14:paraId="3DA7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3" w:type="dxa"/>
            <w:gridSpan w:val="5"/>
            <w:shd w:val="clear" w:color="auto" w:fill="auto"/>
            <w:vAlign w:val="center"/>
          </w:tcPr>
          <w:p w14:paraId="2446C57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数字会议系统</w:t>
            </w:r>
          </w:p>
        </w:tc>
      </w:tr>
      <w:tr w14:paraId="5D26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shd w:val="clear" w:color="auto" w:fill="auto"/>
            <w:vAlign w:val="center"/>
          </w:tcPr>
          <w:p w14:paraId="7FDDCF7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992" w:type="dxa"/>
            <w:shd w:val="clear" w:color="auto" w:fill="auto"/>
            <w:vAlign w:val="center"/>
          </w:tcPr>
          <w:p w14:paraId="4B29C43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noWrap/>
            <w:vAlign w:val="center"/>
          </w:tcPr>
          <w:p w14:paraId="355CD3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46F630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14" w:type="dxa"/>
            <w:shd w:val="clear" w:color="auto" w:fill="auto"/>
            <w:vAlign w:val="center"/>
          </w:tcPr>
          <w:p w14:paraId="5E43A9E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5321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94" w:type="dxa"/>
            <w:shd w:val="clear" w:color="auto" w:fill="FFFFFF"/>
            <w:vAlign w:val="center"/>
          </w:tcPr>
          <w:p w14:paraId="4FB14A4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FFFFFF"/>
            <w:vAlign w:val="center"/>
          </w:tcPr>
          <w:p w14:paraId="16BDBA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三色墨水屏桌牌（手机蓝牙版）</w:t>
            </w:r>
          </w:p>
        </w:tc>
        <w:tc>
          <w:tcPr>
            <w:tcW w:w="6521" w:type="dxa"/>
            <w:shd w:val="clear" w:color="auto" w:fill="FFFFFF"/>
            <w:vAlign w:val="center"/>
          </w:tcPr>
          <w:p w14:paraId="1BBF6D1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（项号230）1、两面屏幕均为≥7.5英寸，红、黑、白三色墨水屏，分辨率为≥800×480；</w:t>
            </w:r>
          </w:p>
          <w:p w14:paraId="0EF904C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（项号231）2、功耗低，省电，不刷新不耗电，平均每天刷新4-5次可使用12个月；</w:t>
            </w:r>
          </w:p>
          <w:p w14:paraId="3A576D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（项号232）3、供电方式：干电池；</w:t>
            </w:r>
          </w:p>
          <w:p w14:paraId="18F5E9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（项号233）4、工作和储存环境温度：0℃-50℃；</w:t>
            </w:r>
          </w:p>
          <w:p w14:paraId="405433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（项号234）5、通过蓝牙通讯更新数据；</w:t>
            </w:r>
          </w:p>
          <w:p w14:paraId="7629044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（项号235）6、采用移动终端集中控制会场布局及信息编辑及发送；</w:t>
            </w:r>
          </w:p>
          <w:p w14:paraId="10A858A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（项号236）7、纸质显示效果不闪屏，更护眼，所有显示内容可批量导入系统。人员信息可快速一键下发，节能环保。</w:t>
            </w:r>
          </w:p>
        </w:tc>
        <w:tc>
          <w:tcPr>
            <w:tcW w:w="992" w:type="dxa"/>
            <w:shd w:val="clear" w:color="auto" w:fill="FFFFFF"/>
            <w:vAlign w:val="center"/>
          </w:tcPr>
          <w:p w14:paraId="5C19336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5785546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r>
      <w:tr w14:paraId="2B7F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94" w:type="dxa"/>
            <w:shd w:val="clear" w:color="auto" w:fill="FFFFFF"/>
            <w:vAlign w:val="center"/>
          </w:tcPr>
          <w:p w14:paraId="744402A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FFFFFF"/>
            <w:vAlign w:val="center"/>
          </w:tcPr>
          <w:p w14:paraId="67C2BD8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全数字多媒体会议控制主机</w:t>
            </w:r>
          </w:p>
        </w:tc>
        <w:tc>
          <w:tcPr>
            <w:tcW w:w="6521" w:type="dxa"/>
            <w:shd w:val="clear" w:color="auto" w:fill="FFFFFF"/>
            <w:vAlign w:val="center"/>
          </w:tcPr>
          <w:p w14:paraId="4A929B9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（项号237）1、支持局域网及外网的连接通讯，支持超强的会议管理功能；支持维护数据库，监测终端,安全涉密性强；</w:t>
            </w:r>
          </w:p>
          <w:p w14:paraId="7F51DF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（项号238）2、后置≥1路HDMI输出,≥2路USB输入。一台设备支持多会议室有效的远程管理等，系统搭建实现全数字化全网络化，布线简单便捷；</w:t>
            </w:r>
          </w:p>
          <w:p w14:paraId="1A58CC9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（项号239）3、支持≥4路千兆对拓展控制器输出，≥2路百兆专用POE输出；</w:t>
            </w:r>
          </w:p>
          <w:p w14:paraId="112D11D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（项号240）4、前置≥17.3寸显示屏，分辨率≥1920*1080，可以实时观看会议后台信息；</w:t>
            </w:r>
          </w:p>
          <w:p w14:paraId="28A8583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（项号241）5、≥2路USB口。</w:t>
            </w:r>
          </w:p>
        </w:tc>
        <w:tc>
          <w:tcPr>
            <w:tcW w:w="992" w:type="dxa"/>
            <w:shd w:val="clear" w:color="auto" w:fill="FFFFFF"/>
            <w:vAlign w:val="center"/>
          </w:tcPr>
          <w:p w14:paraId="4BC6C1C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79DA855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773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94" w:type="dxa"/>
            <w:shd w:val="clear" w:color="auto" w:fill="FFFFFF"/>
            <w:vAlign w:val="center"/>
          </w:tcPr>
          <w:p w14:paraId="40C4E13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FFFFFF"/>
            <w:vAlign w:val="center"/>
          </w:tcPr>
          <w:p w14:paraId="556D134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无纸会议系统后台管理程序软件</w:t>
            </w:r>
          </w:p>
        </w:tc>
        <w:tc>
          <w:tcPr>
            <w:tcW w:w="6521" w:type="dxa"/>
            <w:shd w:val="clear" w:color="auto" w:fill="FFFFFF"/>
            <w:vAlign w:val="center"/>
          </w:tcPr>
          <w:p w14:paraId="4E756E7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（项号242）1、支持多会议室管理，会议室支持可视化布局配置管理。支持会议室坐席可视化控制；</w:t>
            </w:r>
          </w:p>
          <w:p w14:paraId="2BF8620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（项号243）2、管理后台提供自定义多个会务管理员账号，分配后台角色，角色可自定义后台菜单查看权限；</w:t>
            </w:r>
          </w:p>
          <w:p w14:paraId="21AEE3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（项号244）3、管理后台提供自选会议模块组建成会议向导流程模板（模块包含会议、议题、资料、投票、前后屏管理、参会人员、人员中控排座），可创建多套会议向导流程模板；</w:t>
            </w:r>
          </w:p>
          <w:p w14:paraId="51331EE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（项号245）4、上传文件采用国标SM4加密算法加密；</w:t>
            </w:r>
          </w:p>
          <w:p w14:paraId="460F177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（项号246）5、系统可以自动检测到带密码保护的文档，管理人员可以在管理界面输入文件密码，根据密码系统自动解密文档；</w:t>
            </w:r>
          </w:p>
          <w:p w14:paraId="5710E2C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（项号247）6、支持人员管理设定人员密级，如未设定人员密级，则默认为最低密级。参会人员根据自己的密级只能参加相应密级以下的会议和查看相应密级以下的文件；</w:t>
            </w:r>
          </w:p>
          <w:p w14:paraId="0C35F9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（项号248）7、支持向导创建会议时设置会议保密级别，根据参会人员密级，设定参加响应级别密级的会议；</w:t>
            </w:r>
          </w:p>
          <w:p w14:paraId="49FCC0F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（项号249）8、支持大文件上传可上≥2GB的视频文件；</w:t>
            </w:r>
          </w:p>
          <w:p w14:paraId="0925BE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（项号250）9、可自定义资料上传后缀范围、资料上传大小限制，支持全办公格式（doc、docx、xls、xlsx、ppt、pptx、pdf、png、jpg、html、htm、mht、tif、tiff、txt）、支持扩展行业用文件格式（ceb、dwg、dxf）。</w:t>
            </w:r>
          </w:p>
          <w:p w14:paraId="21AAD50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（项号251）10、软件运行于Linux操作系统之上，可为无纸化多媒体会议系统提供管理、控制、数据交互、服务等功能，系统须确保数据信息交互的安全性。</w:t>
            </w:r>
          </w:p>
        </w:tc>
        <w:tc>
          <w:tcPr>
            <w:tcW w:w="992" w:type="dxa"/>
            <w:shd w:val="clear" w:color="auto" w:fill="FFFFFF"/>
            <w:vAlign w:val="center"/>
          </w:tcPr>
          <w:p w14:paraId="38FBDE3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14" w:type="dxa"/>
            <w:shd w:val="clear" w:color="auto" w:fill="FFFFFF"/>
            <w:vAlign w:val="center"/>
          </w:tcPr>
          <w:p w14:paraId="17F0F0D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343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94" w:type="dxa"/>
            <w:shd w:val="clear" w:color="auto" w:fill="FFFFFF"/>
            <w:vAlign w:val="center"/>
          </w:tcPr>
          <w:p w14:paraId="4B05206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shd w:val="clear" w:color="auto" w:fill="FFFFFF"/>
            <w:vAlign w:val="center"/>
          </w:tcPr>
          <w:p w14:paraId="6DACD7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无纸化拓展控制器</w:t>
            </w:r>
          </w:p>
        </w:tc>
        <w:tc>
          <w:tcPr>
            <w:tcW w:w="6521" w:type="dxa"/>
            <w:shd w:val="clear" w:color="auto" w:fill="FFFFFF"/>
            <w:vAlign w:val="center"/>
          </w:tcPr>
          <w:p w14:paraId="05A5306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（项号252）1、支持≥22路千兆输出，用于连接会议系统控制主机及终端；</w:t>
            </w:r>
          </w:p>
          <w:p w14:paraId="206703E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（项号253）2、支持≥4个千兆SFP+光纤口，≥1个控制口。</w:t>
            </w:r>
          </w:p>
        </w:tc>
        <w:tc>
          <w:tcPr>
            <w:tcW w:w="992" w:type="dxa"/>
            <w:shd w:val="clear" w:color="auto" w:fill="FFFFFF"/>
            <w:vAlign w:val="center"/>
          </w:tcPr>
          <w:p w14:paraId="15FF969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1014" w:type="dxa"/>
            <w:shd w:val="clear" w:color="auto" w:fill="FFFFFF"/>
            <w:vAlign w:val="center"/>
          </w:tcPr>
          <w:p w14:paraId="4A3EEDB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21DF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4" w:type="dxa"/>
            <w:shd w:val="clear" w:color="auto" w:fill="FFFFFF"/>
            <w:vAlign w:val="center"/>
          </w:tcPr>
          <w:p w14:paraId="2B32349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992" w:type="dxa"/>
            <w:shd w:val="clear" w:color="auto" w:fill="FFFFFF"/>
            <w:vAlign w:val="center"/>
          </w:tcPr>
          <w:p w14:paraId="38252A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触摸双面联动升降一体机</w:t>
            </w:r>
          </w:p>
        </w:tc>
        <w:tc>
          <w:tcPr>
            <w:tcW w:w="6521" w:type="dxa"/>
            <w:shd w:val="clear" w:color="auto" w:fill="FFFFFF"/>
            <w:vAlign w:val="center"/>
          </w:tcPr>
          <w:p w14:paraId="6ABF13B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（项号254）1、内侧采用≥15.6英寸液晶屏，采用≥十点电容触控，感应力度≤10g，触摸反应时间≤5ms，液晶屏分辨率：≥1920*1080dpi，亮度≥250流明；</w:t>
            </w:r>
          </w:p>
          <w:p w14:paraId="669064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（项号255）2、外侧内嵌≥11.6英寸TFT液晶屏，分辨率≥1366*768，可显示与会者的姓名/职务/单位名称/LOGO/会徽/会标等，背景可自定义联网编辑，外壳为铝合金一体成型方式；</w:t>
            </w:r>
          </w:p>
          <w:p w14:paraId="4D9206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（项号256）3、屏幕升起后可自动后仰0~30度，自动后仰停止角度任意可调，可实现后仰前屏时；</w:t>
            </w:r>
          </w:p>
          <w:p w14:paraId="5627ECC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（项号257）4、显示屏外壳采用航空铝材CNC切削工艺一次成型；屏幕最薄处≤5mm；表面处理为喷砂阳极氧化。</w:t>
            </w:r>
          </w:p>
          <w:p w14:paraId="5F2880B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258）5、升降器面板宽度≥52（mm)面板为铝合金材料，升降器桌面开口尺寸宽度≤53mm；自带USB接口和电源按钮；嵌入式电动升降系统，电容触控控制升降及前后仰角，具有电源保护功能，按键触控点次数≥50000次，反应时间：≤5MS，升降器产品支持RS-485通讯协议； </w:t>
            </w:r>
          </w:p>
          <w:p w14:paraId="1A8F18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（项号259）6、支持RS485协议编程统一升降或是单独升降,仰角仰俯等中控操作；</w:t>
            </w:r>
          </w:p>
          <w:p w14:paraId="69309E5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（项号260）7、支持多操作系统，微信小程序等平台混合组网使用，任意一个平台下发起文件分享时，其他所有终端均可以查看分享内容，并可以进行批注操作，支持多系统同屏交互；</w:t>
            </w:r>
          </w:p>
          <w:p w14:paraId="2BCDB5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（项号261）8、文件批注开启时智能化判断文件批注和滑动翻页无需二次切换操作（单指批注，双指滑动翻页）；</w:t>
            </w:r>
          </w:p>
          <w:p w14:paraId="2072F7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（项号262）9、支持同时打开多文件查看，可以不退出当前查看的文件切换查看其他文件，查看文件支持最小化到任务栏，不退出文件下可以呼叫、通知查看、投票等其它操作功能。</w:t>
            </w:r>
          </w:p>
        </w:tc>
        <w:tc>
          <w:tcPr>
            <w:tcW w:w="992" w:type="dxa"/>
            <w:shd w:val="clear" w:color="auto" w:fill="FFFFFF"/>
            <w:vAlign w:val="center"/>
          </w:tcPr>
          <w:p w14:paraId="1AE3A5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台</w:t>
            </w:r>
          </w:p>
        </w:tc>
        <w:tc>
          <w:tcPr>
            <w:tcW w:w="1014" w:type="dxa"/>
            <w:shd w:val="clear" w:color="auto" w:fill="FFFFFF"/>
            <w:vAlign w:val="center"/>
          </w:tcPr>
          <w:p w14:paraId="7CFAF49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16</w:t>
            </w:r>
          </w:p>
        </w:tc>
      </w:tr>
      <w:tr w14:paraId="7906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4" w:type="dxa"/>
            <w:shd w:val="clear" w:color="auto" w:fill="FFFFFF"/>
            <w:vAlign w:val="center"/>
          </w:tcPr>
          <w:p w14:paraId="33EC814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shd w:val="clear" w:color="auto" w:fill="FFFFFF"/>
            <w:vAlign w:val="center"/>
          </w:tcPr>
          <w:p w14:paraId="1065CF0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发射器</w:t>
            </w:r>
          </w:p>
        </w:tc>
        <w:tc>
          <w:tcPr>
            <w:tcW w:w="6521" w:type="dxa"/>
            <w:shd w:val="clear" w:color="auto" w:fill="FFFFFF"/>
            <w:vAlign w:val="center"/>
          </w:tcPr>
          <w:p w14:paraId="4FA229F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（项号263）1、Wi-Fi 6高性能无线接入点，采用独立的三射频设计，向下兼容802.11a/b/g/n/ac/Wave2，支持MU-MIMO，整机最大传输速率可达1.901Gbps，满足室内大容量，高吞吐量的应用需求；</w:t>
            </w:r>
          </w:p>
          <w:p w14:paraId="0E31A64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（项号264）2、支持本地供电与PoE远程供电方式；</w:t>
            </w:r>
          </w:p>
          <w:p w14:paraId="01BEB7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（项号265）3、支持包括OPEN，WEP, WPA，WPA2，WPA-PSK，WPA2-PSK，802.11i在内的多种认证加密标准。</w:t>
            </w:r>
          </w:p>
        </w:tc>
        <w:tc>
          <w:tcPr>
            <w:tcW w:w="992" w:type="dxa"/>
            <w:shd w:val="clear" w:color="auto" w:fill="FFFFFF"/>
            <w:vAlign w:val="center"/>
          </w:tcPr>
          <w:p w14:paraId="47B50CD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1014" w:type="dxa"/>
            <w:shd w:val="clear" w:color="auto" w:fill="FFFFFF"/>
            <w:vAlign w:val="center"/>
          </w:tcPr>
          <w:p w14:paraId="5A49222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r>
      <w:tr w14:paraId="2C0E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4" w:type="dxa"/>
            <w:shd w:val="clear" w:color="auto" w:fill="FFFFFF"/>
            <w:vAlign w:val="center"/>
          </w:tcPr>
          <w:p w14:paraId="5B9FC6B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shd w:val="clear" w:color="auto" w:fill="FFFFFF"/>
            <w:vAlign w:val="center"/>
          </w:tcPr>
          <w:p w14:paraId="404415C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大屏交互控制器</w:t>
            </w:r>
          </w:p>
        </w:tc>
        <w:tc>
          <w:tcPr>
            <w:tcW w:w="6521" w:type="dxa"/>
            <w:shd w:val="clear" w:color="auto" w:fill="FFFFFF"/>
            <w:vAlign w:val="center"/>
          </w:tcPr>
          <w:p w14:paraId="7A3AE9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（项号266）</w:t>
            </w:r>
            <w:r>
              <w:rPr>
                <w:rFonts w:hint="eastAsia" w:asciiTheme="minorEastAsia" w:hAnsiTheme="minorEastAsia" w:eastAsiaTheme="minorEastAsia" w:cstheme="minorEastAsia"/>
              </w:rPr>
              <w:t>1、背面接口：≥1*HDMI，≥1*VGA，≥1*RJ45，≥2*USB2.0，≥2*USB3.0,≥1*AUDIO；</w:t>
            </w:r>
          </w:p>
          <w:p w14:paraId="3F9CAB4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（项号267）</w:t>
            </w:r>
            <w:r>
              <w:rPr>
                <w:rFonts w:hint="eastAsia" w:asciiTheme="minorEastAsia" w:hAnsiTheme="minorEastAsia" w:eastAsiaTheme="minorEastAsia" w:cstheme="minorEastAsia"/>
              </w:rPr>
              <w:t>2、USB2.0≥2</w:t>
            </w:r>
            <w:r>
              <w:rPr>
                <w:rFonts w:hint="eastAsia" w:asciiTheme="minorEastAsia" w:hAnsiTheme="minorEastAsia" w:eastAsiaTheme="minorEastAsia" w:cstheme="minorEastAsia"/>
                <w:lang w:eastAsia="zh-CN"/>
              </w:rPr>
              <w:t>个</w:t>
            </w:r>
            <w:r>
              <w:rPr>
                <w:rFonts w:hint="eastAsia" w:asciiTheme="minorEastAsia" w:hAnsiTheme="minorEastAsia" w:eastAsiaTheme="minorEastAsia" w:cstheme="minorEastAsia"/>
              </w:rPr>
              <w:t>、power、reset、电源和硬盘指示灯；</w:t>
            </w:r>
          </w:p>
          <w:p w14:paraId="26A719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（项号268）3、内置专用投影控制管理软件，可将任何一路无纸化终端的桌面投放到显示大屏上。内有切换功能，可以实现本地和远程信号的切换，画面清晰。</w:t>
            </w:r>
          </w:p>
        </w:tc>
        <w:tc>
          <w:tcPr>
            <w:tcW w:w="992" w:type="dxa"/>
            <w:shd w:val="clear" w:color="auto" w:fill="FFFFFF"/>
            <w:vAlign w:val="center"/>
          </w:tcPr>
          <w:p w14:paraId="5E0C858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15340DB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11B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shd w:val="clear" w:color="auto" w:fill="FFFFFF"/>
            <w:vAlign w:val="center"/>
          </w:tcPr>
          <w:p w14:paraId="680842F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shd w:val="clear" w:color="auto" w:fill="FFFFFF"/>
            <w:vAlign w:val="center"/>
          </w:tcPr>
          <w:p w14:paraId="5F1291E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流媒体服务器</w:t>
            </w:r>
          </w:p>
        </w:tc>
        <w:tc>
          <w:tcPr>
            <w:tcW w:w="6521" w:type="dxa"/>
            <w:shd w:val="clear" w:color="auto" w:fill="FFFFFF"/>
            <w:vAlign w:val="center"/>
          </w:tcPr>
          <w:p w14:paraId="3EFE3F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（项号269）1、接口配置：≥1路HDMI视频输入接口，≥1路HDMI视频输出接口 ，≥1路3.5mm音频输入接口和≥1路3.5mm音频输出接口，实现音视频同步输入输出；≥4 个USB接口、SP/2接口≥1个，RJ45接口≥3个；</w:t>
            </w:r>
          </w:p>
          <w:p w14:paraId="1CDD60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（项号270）2、具备H.264/AVC格式，MainprofileBaseline编码符合IPTV标准；</w:t>
            </w:r>
          </w:p>
          <w:p w14:paraId="540FB38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（项号271）3、具备Program节目流及Transport传输流；</w:t>
            </w:r>
          </w:p>
          <w:p w14:paraId="714907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（项号272）4、全分辨率：HDMI/分量1080P/60HZ/30HZ/25HZ,DVI/VGA支持1600 × 1200；</w:t>
            </w:r>
          </w:p>
          <w:p w14:paraId="1919D2A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（项号273）5、具备TS流与裸流（纯H264+AAC/MP3）；</w:t>
            </w:r>
          </w:p>
          <w:p w14:paraId="7273157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（项号274）6、采用HDMI信号输入，用于高清视频信号 (720P/1080i/1080P) 或高分辨率高桢率AV,VGA,DVI,HDMI信号的编码及网络传输；</w:t>
            </w:r>
          </w:p>
          <w:p w14:paraId="44B9988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（项号275）7、任何矩阵信号都可以转换成网络信号，在无纸化终端和投影仪上进行同步显示；</w:t>
            </w:r>
          </w:p>
          <w:p w14:paraId="0DCC77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（项号276）8、适用于各种需要对高清视频信号及高分辨率高桢率模拟和数字信号进行采集并基于IP网络传送的场合，满足高清（视频）会议录播、高清视频监控等应用的需要。</w:t>
            </w:r>
          </w:p>
        </w:tc>
        <w:tc>
          <w:tcPr>
            <w:tcW w:w="992" w:type="dxa"/>
            <w:shd w:val="clear" w:color="auto" w:fill="FFFFFF"/>
            <w:vAlign w:val="center"/>
          </w:tcPr>
          <w:p w14:paraId="1C52318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14" w:type="dxa"/>
            <w:shd w:val="clear" w:color="auto" w:fill="FFFFFF"/>
            <w:vAlign w:val="center"/>
          </w:tcPr>
          <w:p w14:paraId="466F869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364C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shd w:val="clear" w:color="auto" w:fill="FFFFFF"/>
            <w:vAlign w:val="center"/>
          </w:tcPr>
          <w:p w14:paraId="4279A13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92" w:type="dxa"/>
            <w:shd w:val="clear" w:color="auto" w:fill="FFFFFF"/>
            <w:vAlign w:val="center"/>
          </w:tcPr>
          <w:p w14:paraId="562BDCD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会议平板</w:t>
            </w:r>
          </w:p>
        </w:tc>
        <w:tc>
          <w:tcPr>
            <w:tcW w:w="6521" w:type="dxa"/>
            <w:shd w:val="clear" w:color="auto" w:fill="FFFFFF"/>
            <w:vAlign w:val="center"/>
          </w:tcPr>
          <w:p w14:paraId="0D4B22A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（项号277）1、≥10寸平板（安卓系统或鸿蒙系统），支持跟各下属大队进行实时音视频会议用。</w:t>
            </w:r>
          </w:p>
        </w:tc>
        <w:tc>
          <w:tcPr>
            <w:tcW w:w="992" w:type="dxa"/>
            <w:shd w:val="clear" w:color="auto" w:fill="FFFFFF"/>
            <w:vAlign w:val="center"/>
          </w:tcPr>
          <w:p w14:paraId="5345E6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台</w:t>
            </w:r>
          </w:p>
        </w:tc>
        <w:tc>
          <w:tcPr>
            <w:tcW w:w="1014" w:type="dxa"/>
            <w:shd w:val="clear" w:color="auto" w:fill="FFFFFF"/>
            <w:vAlign w:val="center"/>
          </w:tcPr>
          <w:p w14:paraId="16D7EB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w:t>
            </w:r>
          </w:p>
        </w:tc>
      </w:tr>
      <w:tr w14:paraId="5B22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shd w:val="clear" w:color="auto" w:fill="FFFFFF"/>
            <w:vAlign w:val="center"/>
          </w:tcPr>
          <w:p w14:paraId="6C89033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92" w:type="dxa"/>
            <w:shd w:val="clear" w:color="auto" w:fill="FFFFFF"/>
            <w:vAlign w:val="center"/>
          </w:tcPr>
          <w:p w14:paraId="3FB2D2B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无纸化会议终端客户端软件</w:t>
            </w:r>
          </w:p>
        </w:tc>
        <w:tc>
          <w:tcPr>
            <w:tcW w:w="6521" w:type="dxa"/>
            <w:shd w:val="clear" w:color="auto" w:fill="FFFFFF"/>
            <w:vAlign w:val="center"/>
          </w:tcPr>
          <w:p w14:paraId="5EBD4C3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（项号278）1、支持显示参会人的基本信息，并支持在座位表展示个人名称；支持会议信息展示；</w:t>
            </w:r>
          </w:p>
          <w:p w14:paraId="55E3AD7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（项号279）2、文件阅览：可查看进行中或未开始的议题及其文件；支持文档批注功能；支持查看会议临时文件，支持上传本地文件；</w:t>
            </w:r>
          </w:p>
          <w:p w14:paraId="58939B6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（项号280）3、支持网络浏览功能，可浏览以太网网络，并可在服务端统一配置预设的网页地址，用户可在App中直接打开配置好的网页；</w:t>
            </w:r>
          </w:p>
          <w:p w14:paraId="3BAD06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281）4、支持会议签到功能。可查看当前签到情况，支持签到的过程与结果进行实时投屏。支持签名签到、登录即签到、按钮签到、人脸签到、拍照签到；（指纹、人脸身份认证功能需要相应硬件支持和人脸识别服务器）</w:t>
            </w:r>
          </w:p>
          <w:p w14:paraId="465975A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（项号282）5、支持会议投票功能，支持投票过程实时投屏。支持投屏签名确认、拍照确认、人脸认证；</w:t>
            </w:r>
          </w:p>
          <w:p w14:paraId="08C4CB4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（项号283）6、支持会议评分功能，支持评分过程实时投屏。支持评分签名确认、拍照确认、人脸认证；</w:t>
            </w:r>
          </w:p>
          <w:p w14:paraId="5BE771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（项号284）7、支持参会人查看会议纪要文件，确认纪要文件，以及提出意见，并生成最终纪要文件；</w:t>
            </w:r>
          </w:p>
          <w:p w14:paraId="5D5862E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（项号285）8、支持会议议题功能，支持下发议题至侯会屏进行显示；支持会议标语功能，支持多个会议标语切换，并支持推送至大屏和客户端显示；</w:t>
            </w:r>
          </w:p>
          <w:p w14:paraId="536B441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（项号286）9、支持在会议中统一控制终端显示欢迎欢迎界面、会议信息、显示标语、退出标语、显示铭牌、退出铭牌、结束会议等操作；</w:t>
            </w:r>
          </w:p>
          <w:p w14:paraId="45CBE64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（项号287）10、系统支持侯会信息发布显示，支持开始议题前进行提示；</w:t>
            </w:r>
          </w:p>
          <w:p w14:paraId="7A761D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（项号288）11、支持免密登录、账号密码、人脸识别入会。</w:t>
            </w:r>
          </w:p>
        </w:tc>
        <w:tc>
          <w:tcPr>
            <w:tcW w:w="992" w:type="dxa"/>
            <w:shd w:val="clear" w:color="auto" w:fill="FFFFFF"/>
            <w:vAlign w:val="center"/>
          </w:tcPr>
          <w:p w14:paraId="3DF9E09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套</w:t>
            </w:r>
          </w:p>
        </w:tc>
        <w:tc>
          <w:tcPr>
            <w:tcW w:w="1014" w:type="dxa"/>
            <w:shd w:val="clear" w:color="auto" w:fill="FFFFFF"/>
            <w:vAlign w:val="center"/>
          </w:tcPr>
          <w:p w14:paraId="463055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w:t>
            </w:r>
          </w:p>
        </w:tc>
      </w:tr>
      <w:tr w14:paraId="4E8C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shd w:val="clear" w:color="auto" w:fill="FFFFFF"/>
            <w:vAlign w:val="center"/>
          </w:tcPr>
          <w:p w14:paraId="7F21815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shd w:val="clear" w:color="auto" w:fill="FFFFFF"/>
            <w:vAlign w:val="center"/>
          </w:tcPr>
          <w:p w14:paraId="4486A5A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线材及辅材</w:t>
            </w:r>
          </w:p>
        </w:tc>
        <w:tc>
          <w:tcPr>
            <w:tcW w:w="6521" w:type="dxa"/>
            <w:shd w:val="clear" w:color="auto" w:fill="FFFFFF"/>
            <w:vAlign w:val="center"/>
          </w:tcPr>
          <w:p w14:paraId="34DF1B1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（项号289）1、各种管槽和线材，各种接插件配件等。</w:t>
            </w:r>
          </w:p>
        </w:tc>
        <w:tc>
          <w:tcPr>
            <w:tcW w:w="992" w:type="dxa"/>
            <w:shd w:val="clear" w:color="auto" w:fill="FFFFFF"/>
            <w:vAlign w:val="center"/>
          </w:tcPr>
          <w:p w14:paraId="6DF5D9C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批</w:t>
            </w:r>
          </w:p>
        </w:tc>
        <w:tc>
          <w:tcPr>
            <w:tcW w:w="1014" w:type="dxa"/>
            <w:shd w:val="clear" w:color="auto" w:fill="FFFFFF"/>
            <w:vAlign w:val="center"/>
          </w:tcPr>
          <w:p w14:paraId="64A0D03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0BAE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3" w:type="dxa"/>
            <w:gridSpan w:val="5"/>
            <w:shd w:val="clear" w:color="auto" w:fill="FFFFFF"/>
            <w:vAlign w:val="center"/>
          </w:tcPr>
          <w:p w14:paraId="7B6EE1E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（一）指挥大厅会议讨论系统</w:t>
            </w:r>
          </w:p>
        </w:tc>
      </w:tr>
      <w:tr w14:paraId="03E0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4" w:type="dxa"/>
            <w:shd w:val="clear" w:color="auto" w:fill="FFFFFF"/>
            <w:vAlign w:val="center"/>
          </w:tcPr>
          <w:p w14:paraId="35D543A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92" w:type="dxa"/>
            <w:shd w:val="clear" w:color="auto" w:fill="FFFFFF"/>
            <w:vAlign w:val="center"/>
          </w:tcPr>
          <w:p w14:paraId="1AC0F16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会议控制主机</w:t>
            </w:r>
          </w:p>
        </w:tc>
        <w:tc>
          <w:tcPr>
            <w:tcW w:w="6521" w:type="dxa"/>
            <w:shd w:val="clear" w:color="auto" w:fill="FFFFFF"/>
            <w:vAlign w:val="center"/>
          </w:tcPr>
          <w:p w14:paraId="04B077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（项号290）1、内置高性能DSP处理器，具有音频矩阵、啸叫抑制、EQ、音量、延时器等调节功能，具备前面板OLED显示屏，≥20×2字符；</w:t>
            </w:r>
          </w:p>
          <w:p w14:paraId="270499D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291）2、主席席位与代表席位无硬件差别，每个席位都可设定为主席席位；主机与席位间可实行多种连接方式，包括但不限于：菊花链，环形连接，菊花链+环形连接；≥3种可选会议模式：自由发言（先入先出/后入先出）、请求发言、远程控制；</w:t>
            </w:r>
          </w:p>
          <w:p w14:paraId="7C5A9A4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（项号292）3、支持U盘录音；</w:t>
            </w:r>
          </w:p>
          <w:p w14:paraId="1F67FF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（项号293）4、内置数字音色库，可选择不同类型音色（包括但不限于男女高音，中音，低音，原音）；</w:t>
            </w:r>
          </w:p>
          <w:p w14:paraId="5DBC849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（项号294）5、内置音频处理器，输出通道带有均衡及压限，噪门，增益等功能前置输出功能，可灵活配置为角色分离输出模式、同传输出模式、相控输出模式。每个输出通道都可以调节EQ、音量、延时器等参数；</w:t>
            </w:r>
          </w:p>
          <w:p w14:paraId="24439B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（项号295）6、具备≥3种语言的同声传译功能；</w:t>
            </w:r>
          </w:p>
          <w:p w14:paraId="69CFC9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（项号296）7、触发话筒：手动按键或语音；</w:t>
            </w:r>
          </w:p>
          <w:p w14:paraId="7F1A5C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（项号297）8、支持通过电脑操作或使用移动设备进行远程操作，可设置操作员和管理员权限及密码。</w:t>
            </w:r>
          </w:p>
          <w:p w14:paraId="3BF845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（项号298）▲9、</w:t>
            </w:r>
            <w:r>
              <w:rPr>
                <w:rFonts w:hint="eastAsia" w:asciiTheme="minorEastAsia" w:hAnsiTheme="minorEastAsia" w:eastAsiaTheme="minorEastAsia" w:cstheme="minorEastAsia"/>
                <w:b/>
                <w:bCs/>
                <w:lang w:eastAsia="zh-CN"/>
              </w:rPr>
              <w:t>角色分离功能:</w:t>
            </w:r>
            <w:r>
              <w:rPr>
                <w:rFonts w:hint="eastAsia" w:asciiTheme="minorEastAsia" w:hAnsiTheme="minorEastAsia" w:eastAsiaTheme="minorEastAsia" w:cstheme="minorEastAsia"/>
                <w:lang w:eastAsia="zh-CN"/>
              </w:rPr>
              <w:t>支持≥16通道 发言角色分离输出模式，有线或无线单元可根据ID号独立输出，最大支持128路有线单元或无线单元独立音频输出，并支持通过录音软件实现每个单元独立录音、或语音转写设备对接实现发言角色分离。（须提供第三方检测机构出具的具有CMA或CNAS标识的检测报告复印件并加盖投标人公章，原件备查）。</w:t>
            </w:r>
          </w:p>
          <w:p w14:paraId="416E2C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（项号299）10、会议控制主机支持通过WEB控制音频矩阵参数（包括EQ、音量、延时器、话筒灵敏度等）、输出模式切换、开关话筒同步、中英俄法四种语言切换、控制角色分离主机。</w:t>
            </w:r>
          </w:p>
        </w:tc>
        <w:tc>
          <w:tcPr>
            <w:tcW w:w="992" w:type="dxa"/>
            <w:shd w:val="clear" w:color="auto" w:fill="FFFFFF"/>
            <w:vAlign w:val="center"/>
          </w:tcPr>
          <w:p w14:paraId="262FEB5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4481E4C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B0D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94" w:type="dxa"/>
            <w:shd w:val="clear" w:color="auto" w:fill="FFFFFF"/>
            <w:vAlign w:val="center"/>
          </w:tcPr>
          <w:p w14:paraId="3CFBEC2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shd w:val="clear" w:color="auto" w:fill="FFFFFF"/>
            <w:vAlign w:val="center"/>
          </w:tcPr>
          <w:p w14:paraId="7504664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方管</w:t>
            </w:r>
            <w:r>
              <w:rPr>
                <w:rFonts w:hint="eastAsia" w:asciiTheme="minorEastAsia" w:hAnsiTheme="minorEastAsia" w:eastAsiaTheme="minorEastAsia" w:cstheme="minorEastAsia"/>
              </w:rPr>
              <w:t>话筒</w:t>
            </w:r>
          </w:p>
        </w:tc>
        <w:tc>
          <w:tcPr>
            <w:tcW w:w="6521" w:type="dxa"/>
            <w:shd w:val="clear" w:color="auto" w:fill="FFFFFF"/>
            <w:vAlign w:val="center"/>
          </w:tcPr>
          <w:p w14:paraId="75E37E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（项号300）1、超指向性收音设计，并提供供电放大器电路；</w:t>
            </w:r>
          </w:p>
          <w:p w14:paraId="1208DCE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（项号301）2、带LED灯的无噪式开关，可设定话筒右通道静音或正常收音；同时作为左通道远程设备的逻辑控制；</w:t>
            </w:r>
          </w:p>
          <w:p w14:paraId="3555A1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（项号302）3、具备双网层防风罩，可减低环境噪声及风声；</w:t>
            </w:r>
          </w:p>
          <w:p w14:paraId="4A3D009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（项号303）4、双元件背板静电型电容式话筒；</w:t>
            </w:r>
          </w:p>
          <w:p w14:paraId="0DA4D11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（项号304）5、频率响应≥20~20,000Hz；</w:t>
            </w:r>
          </w:p>
          <w:p w14:paraId="43919B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（项号305）6、两路话筒互为备份，任意一路系统故障，可无缝切换至另外一路，保证会议正常进行。</w:t>
            </w:r>
          </w:p>
        </w:tc>
        <w:tc>
          <w:tcPr>
            <w:tcW w:w="992" w:type="dxa"/>
            <w:shd w:val="clear" w:color="auto" w:fill="FFFFFF"/>
            <w:vAlign w:val="center"/>
          </w:tcPr>
          <w:p w14:paraId="1D34301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14" w:type="dxa"/>
            <w:shd w:val="clear" w:color="auto" w:fill="FFFFFF"/>
            <w:vAlign w:val="center"/>
          </w:tcPr>
          <w:p w14:paraId="7F7ED7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14:paraId="3525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4" w:type="dxa"/>
            <w:shd w:val="clear" w:color="auto" w:fill="FFFFFF"/>
            <w:vAlign w:val="center"/>
          </w:tcPr>
          <w:p w14:paraId="1154D39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shd w:val="clear" w:color="auto" w:fill="FFFFFF"/>
            <w:vAlign w:val="center"/>
          </w:tcPr>
          <w:p w14:paraId="18B0191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数字矩阵音频处理器</w:t>
            </w:r>
          </w:p>
        </w:tc>
        <w:tc>
          <w:tcPr>
            <w:tcW w:w="6521" w:type="dxa"/>
            <w:shd w:val="clear" w:color="auto" w:fill="FFFFFF"/>
            <w:vAlign w:val="center"/>
          </w:tcPr>
          <w:p w14:paraId="2EEFEAD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（项号306）▲1、</w:t>
            </w:r>
            <w:r>
              <w:rPr>
                <w:rFonts w:hint="eastAsia" w:asciiTheme="minorEastAsia" w:hAnsiTheme="minorEastAsia" w:eastAsiaTheme="minorEastAsia" w:cstheme="minorEastAsia"/>
                <w:b/>
                <w:bCs/>
                <w:lang w:eastAsia="zh-CN"/>
              </w:rPr>
              <w:t>自动混音功能:</w:t>
            </w:r>
            <w:r>
              <w:rPr>
                <w:rFonts w:hint="eastAsia" w:asciiTheme="minorEastAsia" w:hAnsiTheme="minorEastAsia" w:eastAsiaTheme="minorEastAsia" w:cstheme="minorEastAsia"/>
                <w:lang w:eastAsia="zh-CN"/>
              </w:rPr>
              <w:t xml:space="preserve"> 具有自动混音功能，包括增益共享型自动混音以及门限型自动混音。</w:t>
            </w:r>
            <w:r>
              <w:rPr>
                <w:rFonts w:hint="eastAsia" w:asciiTheme="minorEastAsia" w:hAnsiTheme="minorEastAsia" w:eastAsiaTheme="minorEastAsia" w:cstheme="minorEastAsia"/>
                <w:b/>
                <w:bCs/>
                <w:lang w:eastAsia="zh-CN"/>
              </w:rPr>
              <w:t>自动增益功能:</w:t>
            </w:r>
            <w:r>
              <w:rPr>
                <w:rFonts w:hint="eastAsia" w:asciiTheme="minorEastAsia" w:hAnsiTheme="minorEastAsia" w:eastAsiaTheme="minorEastAsia" w:cstheme="minorEastAsia"/>
                <w:lang w:eastAsia="zh-CN"/>
              </w:rPr>
              <w:t>具有自动增益功能，能够有效将话筒音量保持在一定动态范围；</w:t>
            </w:r>
            <w:r>
              <w:rPr>
                <w:rFonts w:hint="eastAsia" w:asciiTheme="minorEastAsia" w:hAnsiTheme="minorEastAsia" w:eastAsiaTheme="minorEastAsia" w:cstheme="minorEastAsia"/>
                <w:b/>
                <w:bCs/>
                <w:lang w:eastAsia="zh-CN"/>
              </w:rPr>
              <w:t>同时开麦管理功能:</w:t>
            </w:r>
            <w:r>
              <w:rPr>
                <w:rFonts w:hint="eastAsia" w:asciiTheme="minorEastAsia" w:hAnsiTheme="minorEastAsia" w:eastAsiaTheme="minorEastAsia" w:cstheme="minorEastAsia"/>
                <w:lang w:eastAsia="zh-CN"/>
              </w:rPr>
              <w:t>支持话筒同时开麦数量≥16个有线单元及≥8个无线单元；（须提供第三方检测机构出具的具有CMA或CNAS标识的检测报告复印件并加盖投标人公章，原件备查）。</w:t>
            </w:r>
          </w:p>
          <w:p w14:paraId="390B5CF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（项号307）2、具有可选的增益共享或门控模式；</w:t>
            </w:r>
          </w:p>
          <w:p w14:paraId="6F00C0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（项号308）3、每个输入系统配有≥4段均衡器，每个输出系统配有≥12段均衡器；配备≥10个压缩器/除频器和≥8个频段的反馈抑制器，可插入于每路输入/输出系统；</w:t>
            </w:r>
          </w:p>
          <w:p w14:paraId="2B4A7B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（项号309）4、配备振荡器功能，可检查每个输出系统的音频；</w:t>
            </w:r>
          </w:p>
          <w:p w14:paraId="3F143CE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（项号310）5、可以从前面板进行音频输入/输出设置，可以使用从PC进行详细设置；通过应用程序可以进行离线设备设置；可以通过IP远程协议从外部进行控制。</w:t>
            </w:r>
          </w:p>
        </w:tc>
        <w:tc>
          <w:tcPr>
            <w:tcW w:w="992" w:type="dxa"/>
            <w:shd w:val="clear" w:color="auto" w:fill="FFFFFF"/>
            <w:vAlign w:val="center"/>
          </w:tcPr>
          <w:p w14:paraId="6CA32F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37690B4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A3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113" w:type="dxa"/>
            <w:gridSpan w:val="5"/>
            <w:shd w:val="clear" w:color="auto" w:fill="FFFFFF"/>
            <w:vAlign w:val="center"/>
          </w:tcPr>
          <w:p w14:paraId="17D97C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（二）会商区会议讨论系统</w:t>
            </w:r>
          </w:p>
        </w:tc>
      </w:tr>
      <w:tr w14:paraId="230D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94" w:type="dxa"/>
            <w:shd w:val="clear" w:color="auto" w:fill="FFFFFF"/>
            <w:vAlign w:val="center"/>
          </w:tcPr>
          <w:p w14:paraId="1EDD14B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w:t>
            </w:r>
          </w:p>
        </w:tc>
        <w:tc>
          <w:tcPr>
            <w:tcW w:w="992" w:type="dxa"/>
            <w:shd w:val="clear" w:color="auto" w:fill="FFFFFF"/>
            <w:vAlign w:val="center"/>
          </w:tcPr>
          <w:p w14:paraId="10DA007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方管</w:t>
            </w:r>
            <w:r>
              <w:rPr>
                <w:rFonts w:hint="eastAsia" w:asciiTheme="minorEastAsia" w:hAnsiTheme="minorEastAsia" w:eastAsiaTheme="minorEastAsia" w:cstheme="minorEastAsia"/>
              </w:rPr>
              <w:t>话筒</w:t>
            </w:r>
          </w:p>
        </w:tc>
        <w:tc>
          <w:tcPr>
            <w:tcW w:w="6521" w:type="dxa"/>
            <w:shd w:val="clear" w:color="auto" w:fill="FFFFFF"/>
            <w:vAlign w:val="center"/>
          </w:tcPr>
          <w:p w14:paraId="4E02F02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（项号311）1、超指向性收音设计，并提供供电放大器电路；</w:t>
            </w:r>
          </w:p>
          <w:p w14:paraId="7F9EDE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（项号312）2、带LED灯的无噪式开关，可设定话筒右通道静音或正常收音；同时作为左通道远程设备的逻辑控制；</w:t>
            </w:r>
          </w:p>
          <w:p w14:paraId="69EB6C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（项号313）3、具备双网层防风罩，可减低环境噪声及风声；</w:t>
            </w:r>
          </w:p>
          <w:p w14:paraId="0230D7D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（项号314）4、双元件背板静电型电容式话筒；</w:t>
            </w:r>
          </w:p>
          <w:p w14:paraId="3D9AD2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（项号315）5、频率响应≥20~20,000Hz；</w:t>
            </w:r>
          </w:p>
          <w:p w14:paraId="045C36B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（项号316）6、两路话筒互为备份，任意一路系统故障，可无缝切换至另外一路，保证会议正常进行。</w:t>
            </w:r>
          </w:p>
        </w:tc>
        <w:tc>
          <w:tcPr>
            <w:tcW w:w="992" w:type="dxa"/>
            <w:shd w:val="clear" w:color="auto" w:fill="FFFFFF"/>
            <w:vAlign w:val="center"/>
          </w:tcPr>
          <w:p w14:paraId="18A7AEE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14" w:type="dxa"/>
            <w:shd w:val="clear" w:color="auto" w:fill="FFFFFF"/>
            <w:vAlign w:val="center"/>
          </w:tcPr>
          <w:p w14:paraId="10CF14B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r>
      <w:tr w14:paraId="7711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4" w:type="dxa"/>
            <w:shd w:val="clear" w:color="auto" w:fill="FFFFFF"/>
            <w:vAlign w:val="center"/>
          </w:tcPr>
          <w:p w14:paraId="5821E8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15</w:t>
            </w:r>
          </w:p>
        </w:tc>
        <w:tc>
          <w:tcPr>
            <w:tcW w:w="992" w:type="dxa"/>
            <w:shd w:val="clear" w:color="auto" w:fill="FFFFFF"/>
            <w:vAlign w:val="center"/>
          </w:tcPr>
          <w:p w14:paraId="51ED038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有线会讨主机</w:t>
            </w:r>
          </w:p>
        </w:tc>
        <w:tc>
          <w:tcPr>
            <w:tcW w:w="6521" w:type="dxa"/>
            <w:shd w:val="clear" w:color="auto" w:fill="FFFFFF"/>
            <w:vAlign w:val="center"/>
          </w:tcPr>
          <w:p w14:paraId="2312764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（项号317）1、主控机与会议系统单体连接之数位控制及声音信号采用同一电缆传送；</w:t>
            </w:r>
          </w:p>
          <w:p w14:paraId="6C445E7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（项号318）2、可独立运作或是外接电脑结合软体同步联动操作，实现多种会务管理功能(会议模式或操作：指定发言、自由发言、申请发言及先进先出发言等)；</w:t>
            </w:r>
          </w:p>
          <w:p w14:paraId="2123F71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（项号319）3、单机可实现下列几个会议功能：开放式会议、限制发言、先进先出；</w:t>
            </w:r>
          </w:p>
          <w:p w14:paraId="5BCEF4F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（项号320）4、具有三种会务管理模式:开放模式(Free )、先进先出(FIFO)、限制发言（LIMIT）；</w:t>
            </w:r>
          </w:p>
          <w:p w14:paraId="1C35C86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（项号321）5、可选择同时发言之麦克风数1-9支(含)或全开放式发言。</w:t>
            </w:r>
          </w:p>
        </w:tc>
        <w:tc>
          <w:tcPr>
            <w:tcW w:w="992" w:type="dxa"/>
            <w:shd w:val="clear" w:color="auto" w:fill="FFFFFF"/>
            <w:vAlign w:val="center"/>
          </w:tcPr>
          <w:p w14:paraId="56E1318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FFFFFF"/>
            <w:vAlign w:val="center"/>
          </w:tcPr>
          <w:p w14:paraId="0765F6E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A03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shd w:val="clear" w:color="auto" w:fill="FFFFFF"/>
            <w:vAlign w:val="center"/>
          </w:tcPr>
          <w:p w14:paraId="55E1DCA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6</w:t>
            </w:r>
          </w:p>
        </w:tc>
        <w:tc>
          <w:tcPr>
            <w:tcW w:w="992" w:type="dxa"/>
            <w:shd w:val="clear" w:color="auto" w:fill="auto"/>
            <w:vAlign w:val="center"/>
          </w:tcPr>
          <w:p w14:paraId="0EA5C6B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话筒延长线缆</w:t>
            </w:r>
          </w:p>
        </w:tc>
        <w:tc>
          <w:tcPr>
            <w:tcW w:w="6521" w:type="dxa"/>
            <w:shd w:val="clear" w:color="auto" w:fill="auto"/>
            <w:vAlign w:val="center"/>
          </w:tcPr>
          <w:p w14:paraId="5D2DDD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（项号322）1、长度≥20m。</w:t>
            </w:r>
          </w:p>
        </w:tc>
        <w:tc>
          <w:tcPr>
            <w:tcW w:w="992" w:type="dxa"/>
            <w:shd w:val="clear" w:color="auto" w:fill="FFFFFF"/>
            <w:vAlign w:val="center"/>
          </w:tcPr>
          <w:p w14:paraId="5251162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条</w:t>
            </w:r>
          </w:p>
        </w:tc>
        <w:tc>
          <w:tcPr>
            <w:tcW w:w="1014" w:type="dxa"/>
            <w:shd w:val="clear" w:color="auto" w:fill="auto"/>
            <w:vAlign w:val="center"/>
          </w:tcPr>
          <w:p w14:paraId="30AF76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FBB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shd w:val="clear" w:color="auto" w:fill="FFFFFF"/>
            <w:vAlign w:val="center"/>
          </w:tcPr>
          <w:p w14:paraId="5624561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7</w:t>
            </w:r>
          </w:p>
        </w:tc>
        <w:tc>
          <w:tcPr>
            <w:tcW w:w="992" w:type="dxa"/>
            <w:shd w:val="clear" w:color="auto" w:fill="auto"/>
            <w:vAlign w:val="center"/>
          </w:tcPr>
          <w:p w14:paraId="5754514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会议讨论辅材</w:t>
            </w:r>
          </w:p>
        </w:tc>
        <w:tc>
          <w:tcPr>
            <w:tcW w:w="6521" w:type="dxa"/>
            <w:shd w:val="clear" w:color="auto" w:fill="auto"/>
            <w:vAlign w:val="center"/>
          </w:tcPr>
          <w:p w14:paraId="4A9A0D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（项号323）1、管槽和线材，接插件配件等。</w:t>
            </w:r>
          </w:p>
        </w:tc>
        <w:tc>
          <w:tcPr>
            <w:tcW w:w="992" w:type="dxa"/>
            <w:shd w:val="clear" w:color="auto" w:fill="auto"/>
            <w:vAlign w:val="center"/>
          </w:tcPr>
          <w:p w14:paraId="6C871E6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014" w:type="dxa"/>
            <w:shd w:val="clear" w:color="auto" w:fill="auto"/>
            <w:vAlign w:val="center"/>
          </w:tcPr>
          <w:p w14:paraId="5A01553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6E82A7BF">
      <w:pPr>
        <w:rPr>
          <w:rFonts w:hint="eastAsia" w:asciiTheme="minorEastAsia" w:hAnsiTheme="minorEastAsia" w:eastAsiaTheme="minorEastAsia" w:cstheme="minorEastAsia"/>
        </w:rPr>
      </w:pPr>
    </w:p>
    <w:tbl>
      <w:tblPr>
        <w:tblStyle w:val="16"/>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992"/>
        <w:gridCol w:w="6521"/>
        <w:gridCol w:w="992"/>
        <w:gridCol w:w="1014"/>
      </w:tblGrid>
      <w:tr w14:paraId="3642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113" w:type="dxa"/>
            <w:gridSpan w:val="5"/>
            <w:shd w:val="clear" w:color="auto" w:fill="auto"/>
            <w:vAlign w:val="center"/>
          </w:tcPr>
          <w:p w14:paraId="680F4BD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网络视频会议</w:t>
            </w:r>
          </w:p>
        </w:tc>
      </w:tr>
      <w:tr w14:paraId="261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94" w:type="dxa"/>
            <w:shd w:val="clear" w:color="auto" w:fill="auto"/>
            <w:vAlign w:val="center"/>
          </w:tcPr>
          <w:p w14:paraId="59D37C1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992" w:type="dxa"/>
            <w:shd w:val="clear" w:color="auto" w:fill="auto"/>
            <w:vAlign w:val="center"/>
          </w:tcPr>
          <w:p w14:paraId="3E448F2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vAlign w:val="center"/>
          </w:tcPr>
          <w:p w14:paraId="50614D0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3DDBB6F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14" w:type="dxa"/>
            <w:shd w:val="clear" w:color="auto" w:fill="auto"/>
            <w:vAlign w:val="center"/>
          </w:tcPr>
          <w:p w14:paraId="1EBAD81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3220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94" w:type="dxa"/>
            <w:shd w:val="clear" w:color="auto" w:fill="auto"/>
            <w:vAlign w:val="center"/>
          </w:tcPr>
          <w:p w14:paraId="4374283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auto"/>
            <w:vAlign w:val="center"/>
          </w:tcPr>
          <w:p w14:paraId="2204686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网络视频会议主机</w:t>
            </w:r>
          </w:p>
        </w:tc>
        <w:tc>
          <w:tcPr>
            <w:tcW w:w="6521" w:type="dxa"/>
            <w:shd w:val="clear" w:color="auto" w:fill="auto"/>
            <w:vAlign w:val="center"/>
          </w:tcPr>
          <w:p w14:paraId="6C8A32E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（项号324）1、采用硬件分体式结构，非PC架构、非工控机架构；</w:t>
            </w:r>
          </w:p>
          <w:p w14:paraId="7C9801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（项号325）2、支持ITU-T H.323和IETF SIP通信标准，会议速率支持128Kbps－8Mbps；</w:t>
            </w:r>
          </w:p>
          <w:p w14:paraId="0206268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（项号326）3、支持H.264、H.264 High Profile、H.265视频协议,支持G.711、G.722、G.728、G.722.1AnnexC、G.719、MPEG4-AAC LC/LD、Opus等音频协议，可达到≥20KHz的宽频效果，支持H.239、BFCP双流协议标准；</w:t>
            </w:r>
          </w:p>
          <w:p w14:paraId="6D3246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327）4、支持1080p、720p高清分辨率，并向下兼容4CIF、CIF标清分辨率，支持在较低的带宽下实现超高清视频效果，支持384Kbps呼叫带宽情况下可实现1080p图像传输，在保证主视频1080p30前提下，辅视频可以支持到1080p30；</w:t>
            </w:r>
          </w:p>
          <w:p w14:paraId="68374E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（项号328）5、支持≥4路高清视频输入接口、≥4路高清输出接口，支持≥5进5出独立的音频输入输出接口；</w:t>
            </w:r>
          </w:p>
          <w:p w14:paraId="6977E2A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（项号329）6、支持标准的HDBaseT视频输入接口，支持视频、供电、控制三线合一，可通过网线作为传输介质，无需外接其他设备传输距离可达100米；</w:t>
            </w:r>
          </w:p>
          <w:p w14:paraId="2ADEB2D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（项号330）7、支持云虚拟会议室功能，终端注册入网后，可实时获取当前已创建的虚拟会议室列表及状态（预约或会议中），可以直接选择需要参加的虚拟会议室加入；</w:t>
            </w:r>
          </w:p>
          <w:p w14:paraId="769568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（项号331）8、支持不低于120个摄像机预置位存储和调用，支持摄像机预置位快照及预览功能，可直观地显示预置位场景；</w:t>
            </w:r>
          </w:p>
          <w:p w14:paraId="003E8C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（项号332）9、终端配套的遥控器采用ZigBee控制，在不低于15米可控范围内，控制信号不会被遮挡；</w:t>
            </w:r>
          </w:p>
          <w:p w14:paraId="50752FD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333）★10、设备支持向上无缝兼容对接福建省监狱管理局高清视频会议系统、高清视频指挥系统，上级MCU可直接对会议主机进行远程会议、远程调度、远程控制和远程升级等功能，含》1路对接福建省监狱管理局MCU的接入端口。投标人应提供专项承诺并加盖投标人公章。</w:t>
            </w:r>
          </w:p>
        </w:tc>
        <w:tc>
          <w:tcPr>
            <w:tcW w:w="992" w:type="dxa"/>
            <w:shd w:val="clear" w:color="auto" w:fill="auto"/>
            <w:vAlign w:val="center"/>
          </w:tcPr>
          <w:p w14:paraId="32CD1C2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auto"/>
            <w:vAlign w:val="center"/>
          </w:tcPr>
          <w:p w14:paraId="5B38996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1E9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94" w:type="dxa"/>
            <w:shd w:val="clear" w:color="auto" w:fill="auto"/>
            <w:vAlign w:val="center"/>
          </w:tcPr>
          <w:p w14:paraId="650D54F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auto"/>
            <w:vAlign w:val="center"/>
          </w:tcPr>
          <w:p w14:paraId="516B7B8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会议摄像机</w:t>
            </w:r>
          </w:p>
        </w:tc>
        <w:tc>
          <w:tcPr>
            <w:tcW w:w="6521" w:type="dxa"/>
            <w:shd w:val="clear" w:color="auto" w:fill="auto"/>
            <w:vAlign w:val="center"/>
          </w:tcPr>
          <w:p w14:paraId="4187DD7D">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（项号334）1、支持壁装、三脚架安装或吊顶安装等多种安装方式，可按用户需求进行安装；</w:t>
            </w:r>
          </w:p>
          <w:p w14:paraId="313C1928">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（项号335）2、镜头图像传感器采用不小于1/2.8" 传感器，支持1080P60、1080p30、1080p25、720p60、720p50等高清信号输出；</w:t>
            </w:r>
          </w:p>
          <w:p w14:paraId="7555B5AD">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（项号336）3、支持不小于12倍光学变焦；支持广角镜头，水平视角不小于80°；</w:t>
            </w:r>
          </w:p>
          <w:p w14:paraId="1943B349">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（项号337）4、视频输出接口具备HDMI、HDBaseT接口；</w:t>
            </w:r>
          </w:p>
          <w:p w14:paraId="5A17A306">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（项号338）5、支持供电、显示、控制多线合一，只连接一根超五类网线实现供电、图像显示、摄像机控制，支持信号传输≥100米；</w:t>
            </w:r>
          </w:p>
          <w:p w14:paraId="565E3D59">
            <w:pPr>
              <w:pStyle w:val="29"/>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（项号339）6、水平转动范围：≥±170°，垂直转动范围：≥ -30°～50°；</w:t>
            </w:r>
          </w:p>
          <w:p w14:paraId="025838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（项号340）7、支持自带显示屏，可方便显示视频输出分辨率；</w:t>
            </w:r>
          </w:p>
          <w:p w14:paraId="68B4F6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（项号341）8、支持保存不少于255个预置位；</w:t>
            </w:r>
          </w:p>
          <w:p w14:paraId="23AC12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（项号342）9、支持ZigBee控制，支持360°控制、有遮挡物时也能正常控制。</w:t>
            </w:r>
          </w:p>
        </w:tc>
        <w:tc>
          <w:tcPr>
            <w:tcW w:w="992" w:type="dxa"/>
            <w:shd w:val="clear" w:color="auto" w:fill="auto"/>
            <w:vAlign w:val="center"/>
          </w:tcPr>
          <w:p w14:paraId="326E3E6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auto"/>
            <w:vAlign w:val="center"/>
          </w:tcPr>
          <w:p w14:paraId="21D23A0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69EA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4" w:type="dxa"/>
            <w:shd w:val="clear" w:color="auto" w:fill="auto"/>
            <w:vAlign w:val="center"/>
          </w:tcPr>
          <w:p w14:paraId="7D552D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auto"/>
            <w:vAlign w:val="center"/>
          </w:tcPr>
          <w:p w14:paraId="1E60425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壁装支架</w:t>
            </w:r>
          </w:p>
        </w:tc>
        <w:tc>
          <w:tcPr>
            <w:tcW w:w="6521" w:type="dxa"/>
            <w:shd w:val="clear" w:color="auto" w:fill="auto"/>
            <w:vAlign w:val="center"/>
          </w:tcPr>
          <w:p w14:paraId="0D3D25D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（项号343）摄像机壁装支架。</w:t>
            </w:r>
          </w:p>
        </w:tc>
        <w:tc>
          <w:tcPr>
            <w:tcW w:w="992" w:type="dxa"/>
            <w:shd w:val="clear" w:color="auto" w:fill="auto"/>
            <w:vAlign w:val="center"/>
          </w:tcPr>
          <w:p w14:paraId="04C36B1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14" w:type="dxa"/>
            <w:shd w:val="clear" w:color="auto" w:fill="auto"/>
            <w:vAlign w:val="center"/>
          </w:tcPr>
          <w:p w14:paraId="6E286FF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788B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94" w:type="dxa"/>
            <w:shd w:val="clear" w:color="auto" w:fill="auto"/>
            <w:vAlign w:val="center"/>
          </w:tcPr>
          <w:p w14:paraId="67393AE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shd w:val="clear" w:color="auto" w:fill="auto"/>
            <w:vAlign w:val="center"/>
          </w:tcPr>
          <w:p w14:paraId="31B3348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高清视频采集卡</w:t>
            </w:r>
          </w:p>
        </w:tc>
        <w:tc>
          <w:tcPr>
            <w:tcW w:w="6521" w:type="dxa"/>
            <w:shd w:val="clear" w:color="auto" w:fill="auto"/>
            <w:vAlign w:val="center"/>
          </w:tcPr>
          <w:p w14:paraId="179737B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（项号344）1、设备连接接口：≥1个USB3.0，≥300-350MB/s传输带宽；</w:t>
            </w:r>
          </w:p>
          <w:p w14:paraId="7278976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（项号345）2、视频ADC位深：≥10Bit；</w:t>
            </w:r>
          </w:p>
          <w:p w14:paraId="2A779D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（项号346）3、板载DDR配置：≥1GB DDR3；</w:t>
            </w:r>
          </w:p>
          <w:p w14:paraId="624252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（项号347）4、HDMI接口：≥1个HDMI输入，可转接DVI；符合HDMI1.4标准；SDI：支持SMPTE260M，SMPTE274M、SMPTE295M和SMPTE296M；</w:t>
            </w:r>
          </w:p>
          <w:p w14:paraId="1A406DD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（项号348）5、模拟音频：模拟音频输入，支持双声道立体声输入；</w:t>
            </w:r>
          </w:p>
          <w:p w14:paraId="066592A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（项号349）6、支持≥1920*1080@60FPS并向下兼容；支持HDCP；</w:t>
            </w:r>
          </w:p>
          <w:p w14:paraId="2149025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（项号350）7、音频混音：支持模拟音频混合到数字hdmi或sdi音频。</w:t>
            </w:r>
          </w:p>
        </w:tc>
        <w:tc>
          <w:tcPr>
            <w:tcW w:w="992" w:type="dxa"/>
            <w:shd w:val="clear" w:color="auto" w:fill="auto"/>
            <w:vAlign w:val="center"/>
          </w:tcPr>
          <w:p w14:paraId="0478033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auto"/>
            <w:vAlign w:val="center"/>
          </w:tcPr>
          <w:p w14:paraId="4E419AE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672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94" w:type="dxa"/>
            <w:shd w:val="clear" w:color="auto" w:fill="auto"/>
            <w:vAlign w:val="center"/>
          </w:tcPr>
          <w:p w14:paraId="561062E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shd w:val="clear" w:color="auto" w:fill="auto"/>
            <w:vAlign w:val="center"/>
          </w:tcPr>
          <w:p w14:paraId="6F22D12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音频采集卡</w:t>
            </w:r>
          </w:p>
        </w:tc>
        <w:tc>
          <w:tcPr>
            <w:tcW w:w="6521" w:type="dxa"/>
            <w:shd w:val="clear" w:color="auto" w:fill="auto"/>
            <w:vAlign w:val="center"/>
          </w:tcPr>
          <w:p w14:paraId="58CDCB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（项号351）1、≥2BIT/192KHZUSB3.0音频接口双A类D-PRE话放，支持≤48V供电；</w:t>
            </w:r>
          </w:p>
          <w:p w14:paraId="7C330DC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（项号352）2、≥两路模拟XLR/TRS混合输入接口，不少于两路TRS大三芯主输出接口，具备无延迟DSP运算的监听系统；</w:t>
            </w:r>
          </w:p>
          <w:p w14:paraId="474B72A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（项号353）3、USB3.0供电即插即用；</w:t>
            </w:r>
          </w:p>
          <w:p w14:paraId="6752181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（项号354）4、带有MIDI输入和输出接口坚固的金属外壳；</w:t>
            </w:r>
          </w:p>
          <w:p w14:paraId="1F22DA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（项号355）5、跨平台兼容性，支持WINDOWSMACOS和IOS。</w:t>
            </w:r>
          </w:p>
        </w:tc>
        <w:tc>
          <w:tcPr>
            <w:tcW w:w="992" w:type="dxa"/>
            <w:shd w:val="clear" w:color="auto" w:fill="auto"/>
            <w:vAlign w:val="center"/>
          </w:tcPr>
          <w:p w14:paraId="67F3372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14" w:type="dxa"/>
            <w:shd w:val="clear" w:color="auto" w:fill="auto"/>
            <w:vAlign w:val="center"/>
          </w:tcPr>
          <w:p w14:paraId="4ABDA60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0F4B391A">
      <w:pPr>
        <w:rPr>
          <w:rFonts w:hint="eastAsia" w:asciiTheme="minorEastAsia" w:hAnsiTheme="minorEastAsia" w:eastAsiaTheme="minorEastAsia" w:cstheme="minorEastAsia"/>
        </w:rPr>
      </w:pPr>
    </w:p>
    <w:tbl>
      <w:tblPr>
        <w:tblStyle w:val="16"/>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92"/>
        <w:gridCol w:w="6521"/>
        <w:gridCol w:w="992"/>
        <w:gridCol w:w="1027"/>
      </w:tblGrid>
      <w:tr w14:paraId="76ED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8" w:type="dxa"/>
            <w:gridSpan w:val="5"/>
            <w:shd w:val="clear" w:color="auto" w:fill="auto"/>
            <w:vAlign w:val="center"/>
          </w:tcPr>
          <w:p w14:paraId="723F84B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rPr>
              <w:t>机房建设</w:t>
            </w:r>
          </w:p>
        </w:tc>
      </w:tr>
      <w:tr w14:paraId="032F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7BD089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编号 </w:t>
            </w:r>
          </w:p>
        </w:tc>
        <w:tc>
          <w:tcPr>
            <w:tcW w:w="992" w:type="dxa"/>
            <w:shd w:val="clear" w:color="auto" w:fill="auto"/>
            <w:vAlign w:val="center"/>
          </w:tcPr>
          <w:p w14:paraId="1301069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noWrap/>
            <w:vAlign w:val="center"/>
          </w:tcPr>
          <w:p w14:paraId="59948A9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5885FAA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27" w:type="dxa"/>
            <w:shd w:val="clear" w:color="auto" w:fill="auto"/>
            <w:vAlign w:val="center"/>
          </w:tcPr>
          <w:p w14:paraId="4DE2C5E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3B0D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29BF92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auto"/>
            <w:vAlign w:val="center"/>
          </w:tcPr>
          <w:p w14:paraId="706374F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服务器机柜</w:t>
            </w:r>
          </w:p>
        </w:tc>
        <w:tc>
          <w:tcPr>
            <w:tcW w:w="6521" w:type="dxa"/>
            <w:shd w:val="clear" w:color="auto" w:fill="auto"/>
            <w:noWrap/>
            <w:vAlign w:val="center"/>
          </w:tcPr>
          <w:p w14:paraId="6FB02BC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（项号356）1、宽*深*高：600*1400*2000mm（允许正负偏离5%）；</w:t>
            </w:r>
          </w:p>
          <w:p w14:paraId="71A9CC2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（项号357）2、冷热通道全密闭，前门单开钢化玻璃门，后门单开钣金门；</w:t>
            </w:r>
          </w:p>
          <w:p w14:paraId="71F832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（项号358）3、内置智能灯光系统：配置有三色氛围灯（参观模式、门禁状态、告警联动）及白光照明灯（开门亮灯、关门熄灯）；</w:t>
            </w:r>
          </w:p>
          <w:p w14:paraId="5542CA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（项号359）4、内置智能弹门系统：前后门配置有开门按钮、电子扣锁及弹门机构；</w:t>
            </w:r>
          </w:p>
          <w:p w14:paraId="1458F8D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（项号360）5、机柜不含侧板、活动轮、支撑脚，内部标配有：</w:t>
            </w:r>
          </w:p>
          <w:p w14:paraId="78B0A2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a、1U理线架≥1个；</w:t>
            </w:r>
          </w:p>
          <w:p w14:paraId="56BCBE2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b、垂直理线板≥2个；</w:t>
            </w:r>
          </w:p>
          <w:p w14:paraId="3EF821E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c、PDU安装板≥2套；</w:t>
            </w:r>
          </w:p>
          <w:p w14:paraId="691340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d、冷通道密闭组件1套（含封堵件、密封胶条、毛刷等）；</w:t>
            </w:r>
          </w:p>
          <w:p w14:paraId="240A686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e、配套螺钉螺母≥50套及并柜螺钉≥1套。</w:t>
            </w:r>
          </w:p>
        </w:tc>
        <w:tc>
          <w:tcPr>
            <w:tcW w:w="992" w:type="dxa"/>
            <w:shd w:val="clear" w:color="auto" w:fill="FFFFFF"/>
            <w:vAlign w:val="center"/>
          </w:tcPr>
          <w:p w14:paraId="4F856C8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架</w:t>
            </w:r>
          </w:p>
        </w:tc>
        <w:tc>
          <w:tcPr>
            <w:tcW w:w="1027" w:type="dxa"/>
            <w:shd w:val="clear" w:color="auto" w:fill="FFFFFF"/>
            <w:vAlign w:val="center"/>
          </w:tcPr>
          <w:p w14:paraId="091F716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 </w:t>
            </w:r>
          </w:p>
        </w:tc>
      </w:tr>
      <w:tr w14:paraId="04FF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DDB7E7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auto"/>
            <w:vAlign w:val="center"/>
          </w:tcPr>
          <w:p w14:paraId="513BDF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主控柜</w:t>
            </w:r>
          </w:p>
        </w:tc>
        <w:tc>
          <w:tcPr>
            <w:tcW w:w="6521" w:type="dxa"/>
            <w:shd w:val="clear" w:color="auto" w:fill="FFFFFF"/>
            <w:noWrap/>
            <w:vAlign w:val="center"/>
          </w:tcPr>
          <w:p w14:paraId="3A18C06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（项号361）1、宽*深*高：600*1400*2000mm（允许正负偏离5%）；</w:t>
            </w:r>
          </w:p>
          <w:p w14:paraId="669C97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（项号362）2、冷热通道全密闭，前门单开钢化玻璃门，后门单开钣金门；</w:t>
            </w:r>
          </w:p>
          <w:p w14:paraId="52D9AAB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（项号363）3、内置智能灯光系统：配置有三色氛围灯（参观模式、门禁状态、告警联动）及白光照明灯（开门亮灯、关门熄灯）；</w:t>
            </w:r>
          </w:p>
          <w:p w14:paraId="019136A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（项号364）4、内置智能弹门系统：前后门配置有开门按钮、电子扣锁及弹门机构；</w:t>
            </w:r>
          </w:p>
          <w:p w14:paraId="0844B54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（项号365）5、内置门禁灯光控制模块；</w:t>
            </w:r>
          </w:p>
          <w:p w14:paraId="49191FA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（项号366）6、内部可预制供配电系统、监控系统等，作为微模块统一管理控制柜，摆放于微模块左侧第一柜；</w:t>
            </w:r>
          </w:p>
          <w:p w14:paraId="7165494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（项号367）7、前门单开钢化玻璃门可安装≥10寸触摸屏；</w:t>
            </w:r>
          </w:p>
          <w:p w14:paraId="1D356D5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（项号368）8、前门配置有物联锁，具备指纹/刷卡/密码/应急机械开锁等多种组合开门方式；</w:t>
            </w:r>
          </w:p>
          <w:p w14:paraId="15D86BD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（项号369）9、机柜不含活动轮、支撑脚，内部标配有：</w:t>
            </w:r>
          </w:p>
          <w:p w14:paraId="5EFC19E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a、左/右侧板；</w:t>
            </w:r>
          </w:p>
          <w:p w14:paraId="1F3932D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b、1U理线架≥1个；</w:t>
            </w:r>
          </w:p>
          <w:p w14:paraId="3AE8351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c、垂直理线板≥2个；</w:t>
            </w:r>
          </w:p>
          <w:p w14:paraId="3C9911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d、PDU安装板≥2套；</w:t>
            </w:r>
          </w:p>
          <w:p w14:paraId="4694AE8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e、冷通道密闭组件1套（含封堵件、密封胶条、毛刷等）；</w:t>
            </w:r>
          </w:p>
          <w:p w14:paraId="70CA1EF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f、配套螺钉螺母≥50套及并柜螺钉≥1套。</w:t>
            </w:r>
          </w:p>
        </w:tc>
        <w:tc>
          <w:tcPr>
            <w:tcW w:w="992" w:type="dxa"/>
            <w:shd w:val="clear" w:color="auto" w:fill="FFFFFF"/>
            <w:vAlign w:val="center"/>
          </w:tcPr>
          <w:p w14:paraId="5AEE462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架</w:t>
            </w:r>
          </w:p>
        </w:tc>
        <w:tc>
          <w:tcPr>
            <w:tcW w:w="1027" w:type="dxa"/>
            <w:shd w:val="clear" w:color="auto" w:fill="FFFFFF"/>
            <w:vAlign w:val="center"/>
          </w:tcPr>
          <w:p w14:paraId="7DD1AF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C98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C25FCA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auto"/>
            <w:vAlign w:val="center"/>
          </w:tcPr>
          <w:p w14:paraId="4A1D87E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侧门</w:t>
            </w:r>
          </w:p>
        </w:tc>
        <w:tc>
          <w:tcPr>
            <w:tcW w:w="6521" w:type="dxa"/>
            <w:shd w:val="clear" w:color="auto" w:fill="auto"/>
            <w:noWrap/>
            <w:vAlign w:val="center"/>
          </w:tcPr>
          <w:p w14:paraId="14E795C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（项号370）封闭式机柜侧门组件，包括侧门钣金，保温设计，以及顶部挂耳便于快速安装。尺寸≥1200mm（宽）*2000mm（高）（允许正负偏离5%）。</w:t>
            </w:r>
          </w:p>
        </w:tc>
        <w:tc>
          <w:tcPr>
            <w:tcW w:w="992" w:type="dxa"/>
            <w:shd w:val="clear" w:color="auto" w:fill="auto"/>
            <w:vAlign w:val="center"/>
          </w:tcPr>
          <w:p w14:paraId="7B6B2C1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架</w:t>
            </w:r>
          </w:p>
        </w:tc>
        <w:tc>
          <w:tcPr>
            <w:tcW w:w="1027" w:type="dxa"/>
            <w:shd w:val="clear" w:color="auto" w:fill="FFFFFF"/>
            <w:vAlign w:val="center"/>
          </w:tcPr>
          <w:p w14:paraId="4EB7FAB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 </w:t>
            </w:r>
          </w:p>
        </w:tc>
      </w:tr>
      <w:tr w14:paraId="24B0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58D6C9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17A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盲板</w:t>
            </w:r>
          </w:p>
        </w:tc>
        <w:tc>
          <w:tcPr>
            <w:tcW w:w="65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C8C7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（项号371）免工具快装式盲板，1U高，黑色。</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FC27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tcBorders>
              <w:top w:val="single" w:color="000000" w:sz="8" w:space="0"/>
              <w:left w:val="nil"/>
              <w:bottom w:val="single" w:color="000000" w:sz="8" w:space="0"/>
              <w:right w:val="single" w:color="000000" w:sz="8" w:space="0"/>
            </w:tcBorders>
            <w:shd w:val="clear" w:color="auto" w:fill="auto"/>
            <w:vAlign w:val="center"/>
          </w:tcPr>
          <w:p w14:paraId="378130C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r>
      <w:tr w14:paraId="3B43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1ADE93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041DF17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L型支架</w:t>
            </w:r>
          </w:p>
        </w:tc>
        <w:tc>
          <w:tcPr>
            <w:tcW w:w="6521" w:type="dxa"/>
            <w:tcBorders>
              <w:top w:val="nil"/>
              <w:left w:val="single" w:color="000000" w:sz="8" w:space="0"/>
              <w:bottom w:val="single" w:color="000000" w:sz="8" w:space="0"/>
              <w:right w:val="single" w:color="000000" w:sz="8" w:space="0"/>
            </w:tcBorders>
            <w:shd w:val="clear" w:color="auto" w:fill="auto"/>
            <w:noWrap/>
            <w:vAlign w:val="center"/>
          </w:tcPr>
          <w:p w14:paraId="6F3504B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（项号372）L型支架一对，≥50kg 承重。</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11F08DD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tcBorders>
              <w:top w:val="nil"/>
              <w:left w:val="nil"/>
              <w:bottom w:val="single" w:color="000000" w:sz="8" w:space="0"/>
              <w:right w:val="single" w:color="000000" w:sz="8" w:space="0"/>
            </w:tcBorders>
            <w:shd w:val="clear" w:color="auto" w:fill="auto"/>
            <w:vAlign w:val="center"/>
          </w:tcPr>
          <w:p w14:paraId="0FD8019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r>
      <w:tr w14:paraId="39B6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482B79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58FFF84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M型走线槽</w:t>
            </w:r>
          </w:p>
        </w:tc>
        <w:tc>
          <w:tcPr>
            <w:tcW w:w="6521" w:type="dxa"/>
            <w:tcBorders>
              <w:top w:val="nil"/>
              <w:left w:val="single" w:color="000000" w:sz="8" w:space="0"/>
              <w:bottom w:val="single" w:color="000000" w:sz="8" w:space="0"/>
              <w:right w:val="single" w:color="000000" w:sz="8" w:space="0"/>
            </w:tcBorders>
            <w:shd w:val="clear" w:color="auto" w:fill="auto"/>
            <w:noWrap/>
            <w:vAlign w:val="center"/>
          </w:tcPr>
          <w:p w14:paraId="7AB4B9C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（项号373）顶部线缆管理组件，双通道隔离走线，与柜体适配</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09DFB3E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tcBorders>
              <w:top w:val="nil"/>
              <w:left w:val="nil"/>
              <w:bottom w:val="single" w:color="000000" w:sz="8" w:space="0"/>
              <w:right w:val="single" w:color="000000" w:sz="8" w:space="0"/>
            </w:tcBorders>
            <w:shd w:val="clear" w:color="auto" w:fill="auto"/>
            <w:vAlign w:val="center"/>
          </w:tcPr>
          <w:p w14:paraId="522F8BB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r>
      <w:tr w14:paraId="2823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F7D302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41DBA9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轻载层板</w:t>
            </w:r>
          </w:p>
        </w:tc>
        <w:tc>
          <w:tcPr>
            <w:tcW w:w="6521" w:type="dxa"/>
            <w:tcBorders>
              <w:top w:val="nil"/>
              <w:left w:val="single" w:color="000000" w:sz="8" w:space="0"/>
              <w:bottom w:val="single" w:color="000000" w:sz="8" w:space="0"/>
              <w:right w:val="single" w:color="000000" w:sz="8" w:space="0"/>
            </w:tcBorders>
            <w:shd w:val="clear" w:color="auto" w:fill="auto"/>
            <w:noWrap/>
            <w:vAlign w:val="center"/>
          </w:tcPr>
          <w:p w14:paraId="6F3E282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（项号374）轻载层板，承重能力≥80kg。</w:t>
            </w:r>
          </w:p>
        </w:tc>
        <w:tc>
          <w:tcPr>
            <w:tcW w:w="992" w:type="dxa"/>
            <w:tcBorders>
              <w:top w:val="nil"/>
              <w:left w:val="single" w:color="000000" w:sz="8" w:space="0"/>
              <w:bottom w:val="single" w:color="000000" w:sz="8" w:space="0"/>
              <w:right w:val="single" w:color="000000" w:sz="8" w:space="0"/>
            </w:tcBorders>
            <w:shd w:val="clear" w:color="auto" w:fill="auto"/>
            <w:vAlign w:val="center"/>
          </w:tcPr>
          <w:p w14:paraId="6A2B00F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张</w:t>
            </w:r>
          </w:p>
        </w:tc>
        <w:tc>
          <w:tcPr>
            <w:tcW w:w="1027" w:type="dxa"/>
            <w:tcBorders>
              <w:top w:val="nil"/>
              <w:left w:val="nil"/>
              <w:bottom w:val="single" w:color="000000" w:sz="8" w:space="0"/>
              <w:right w:val="single" w:color="000000" w:sz="8" w:space="0"/>
            </w:tcBorders>
            <w:shd w:val="clear" w:color="auto" w:fill="auto"/>
            <w:vAlign w:val="center"/>
          </w:tcPr>
          <w:p w14:paraId="0A8C1D9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r>
      <w:tr w14:paraId="237A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30727A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539C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42U垂直理线板</w:t>
            </w:r>
          </w:p>
        </w:tc>
        <w:tc>
          <w:tcPr>
            <w:tcW w:w="6521" w:type="dxa"/>
            <w:tcBorders>
              <w:top w:val="single" w:color="000000" w:sz="8" w:space="0"/>
              <w:left w:val="nil"/>
              <w:bottom w:val="single" w:color="000000" w:sz="8" w:space="0"/>
              <w:right w:val="single" w:color="000000" w:sz="8" w:space="0"/>
            </w:tcBorders>
            <w:shd w:val="clear" w:color="auto" w:fill="auto"/>
            <w:noWrap/>
            <w:vAlign w:val="center"/>
          </w:tcPr>
          <w:p w14:paraId="2D4196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（项号375）垂直理线板, 42U高。</w:t>
            </w:r>
          </w:p>
        </w:tc>
        <w:tc>
          <w:tcPr>
            <w:tcW w:w="992" w:type="dxa"/>
            <w:tcBorders>
              <w:top w:val="single" w:color="000000" w:sz="8" w:space="0"/>
              <w:left w:val="nil"/>
              <w:bottom w:val="single" w:color="000000" w:sz="8" w:space="0"/>
              <w:right w:val="single" w:color="000000" w:sz="8" w:space="0"/>
            </w:tcBorders>
            <w:shd w:val="clear" w:color="auto" w:fill="auto"/>
            <w:vAlign w:val="center"/>
          </w:tcPr>
          <w:p w14:paraId="4E94EC5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张</w:t>
            </w:r>
          </w:p>
        </w:tc>
        <w:tc>
          <w:tcPr>
            <w:tcW w:w="1027" w:type="dxa"/>
            <w:tcBorders>
              <w:top w:val="single" w:color="000000" w:sz="8" w:space="0"/>
              <w:left w:val="nil"/>
              <w:bottom w:val="single" w:color="000000" w:sz="8" w:space="0"/>
              <w:right w:val="single" w:color="000000" w:sz="8" w:space="0"/>
            </w:tcBorders>
            <w:shd w:val="clear" w:color="auto" w:fill="auto"/>
            <w:vAlign w:val="center"/>
          </w:tcPr>
          <w:p w14:paraId="2FC6281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r>
      <w:tr w14:paraId="67ED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8A0535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shd w:val="clear" w:color="auto" w:fill="auto"/>
            <w:vAlign w:val="center"/>
          </w:tcPr>
          <w:p w14:paraId="4CE545B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抗震底座</w:t>
            </w:r>
          </w:p>
        </w:tc>
        <w:tc>
          <w:tcPr>
            <w:tcW w:w="6521" w:type="dxa"/>
            <w:shd w:val="clear" w:color="auto" w:fill="auto"/>
            <w:noWrap/>
            <w:vAlign w:val="center"/>
          </w:tcPr>
          <w:p w14:paraId="5A5BE94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（项号376）≥50*5角钢支架，制作、焊接、安装以及所需相应的配件及材料。</w:t>
            </w:r>
          </w:p>
        </w:tc>
        <w:tc>
          <w:tcPr>
            <w:tcW w:w="992" w:type="dxa"/>
            <w:shd w:val="clear" w:color="auto" w:fill="auto"/>
            <w:vAlign w:val="center"/>
          </w:tcPr>
          <w:p w14:paraId="2475C4B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6AFCAFB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 </w:t>
            </w:r>
          </w:p>
        </w:tc>
      </w:tr>
      <w:tr w14:paraId="3D6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D61120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shd w:val="clear" w:color="auto" w:fill="auto"/>
            <w:vAlign w:val="center"/>
          </w:tcPr>
          <w:p w14:paraId="12C4879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PDU</w:t>
            </w:r>
          </w:p>
        </w:tc>
        <w:tc>
          <w:tcPr>
            <w:tcW w:w="6521" w:type="dxa"/>
            <w:shd w:val="clear" w:color="auto" w:fill="auto"/>
            <w:noWrap/>
            <w:vAlign w:val="center"/>
          </w:tcPr>
          <w:p w14:paraId="2448305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（项号377）输入≥32A，输出16口10A 国标插座。</w:t>
            </w:r>
          </w:p>
        </w:tc>
        <w:tc>
          <w:tcPr>
            <w:tcW w:w="992" w:type="dxa"/>
            <w:shd w:val="clear" w:color="auto" w:fill="auto"/>
            <w:vAlign w:val="center"/>
          </w:tcPr>
          <w:p w14:paraId="5DD5E93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023C2D5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12 </w:t>
            </w:r>
          </w:p>
        </w:tc>
      </w:tr>
      <w:tr w14:paraId="33B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5999EB1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92" w:type="dxa"/>
            <w:shd w:val="clear" w:color="auto" w:fill="FFFFFF"/>
            <w:vAlign w:val="center"/>
          </w:tcPr>
          <w:p w14:paraId="527D5C7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UPS主机</w:t>
            </w:r>
          </w:p>
        </w:tc>
        <w:tc>
          <w:tcPr>
            <w:tcW w:w="6521" w:type="dxa"/>
            <w:shd w:val="clear" w:color="auto" w:fill="FFFFFF"/>
            <w:vAlign w:val="center"/>
          </w:tcPr>
          <w:p w14:paraId="55BAF8F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（项号378）1、纯在线式双变换UPS产品；UPS主机容量30kVA，P根据用户现场情况，可选择采用立式安装或嵌入≥19英寸标准机柜的机架式安装，机架式安装时高度≤3U。 </w:t>
            </w:r>
          </w:p>
          <w:p w14:paraId="2D7BB84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（项号379）2、兼容可立可卧安装，面板LCD重力感应自动切换横屏或竖屏显示 (可手动或自动模式) ；</w:t>
            </w:r>
          </w:p>
          <w:p w14:paraId="2952E6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（项号380）3、为了适应用户现场配电，UPS主机要求支持三进三出、三进单出，该功能需要现场验证；</w:t>
            </w:r>
          </w:p>
          <w:p w14:paraId="639651F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（项号381）4、数字化并机：并机通讯接口板采用SLOT插槽设计，单机和并机可灵活切换，方便备库存，支持并机单用、扩容、冗余、双母线等多种工作制式；支持用户无须拆机现场单机升级成并机；</w:t>
            </w:r>
          </w:p>
          <w:p w14:paraId="2F36FD6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（项号382）5、高性能指标：整机UPS效率：100%阻性负载：≥96.1%，50%阻性负载：≥96.2%，30%阻性负载：≥95.6%；</w:t>
            </w:r>
          </w:p>
          <w:p w14:paraId="66D2A76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（项号383）6、电池直流电压输入范围：单体12V电池支持±12～±20节（即±144V～±240V连续可调），现场配置灵活；</w:t>
            </w:r>
          </w:p>
          <w:p w14:paraId="142320E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（项号384）7、具备大充电电流，设置值1A~20A，充电电流20A满载不降额，缩短充电时间；</w:t>
            </w:r>
          </w:p>
          <w:p w14:paraId="0D5D835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（项号385）8、安全保护：输入浪涌保护，火线对地具有保护措施，能承受更高的浪涌尖峰电压，同时，电池应具备防反接保护。</w:t>
            </w:r>
          </w:p>
        </w:tc>
        <w:tc>
          <w:tcPr>
            <w:tcW w:w="992" w:type="dxa"/>
            <w:shd w:val="clear" w:color="auto" w:fill="FFFFFF"/>
            <w:vAlign w:val="center"/>
          </w:tcPr>
          <w:p w14:paraId="7C531E2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27" w:type="dxa"/>
            <w:shd w:val="clear" w:color="auto" w:fill="FFFFFF"/>
            <w:vAlign w:val="center"/>
          </w:tcPr>
          <w:p w14:paraId="130BF2C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D19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516DA2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12</w:t>
            </w:r>
          </w:p>
        </w:tc>
        <w:tc>
          <w:tcPr>
            <w:tcW w:w="992" w:type="dxa"/>
            <w:shd w:val="clear" w:color="auto" w:fill="FFFFFF"/>
            <w:vAlign w:val="center"/>
          </w:tcPr>
          <w:p w14:paraId="5356B0B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蓄电池</w:t>
            </w:r>
          </w:p>
        </w:tc>
        <w:tc>
          <w:tcPr>
            <w:tcW w:w="6521" w:type="dxa"/>
            <w:shd w:val="clear" w:color="auto" w:fill="FFFFFF"/>
            <w:vAlign w:val="center"/>
          </w:tcPr>
          <w:p w14:paraId="0276C1A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（项号386）1、配置免维护密封铅酸蓄电池组，规格为:≤12V 100AH ，采用高可靠的专业阀控密封式设计，有效确保电池不漏（渗）液、无酸雾、不腐蚀。</w:t>
            </w:r>
          </w:p>
          <w:p w14:paraId="1E07EE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（项号387）2、充电时产生的气体基本被回收还原成电解液，使用时无需加水，补液和测量电解液比重；</w:t>
            </w:r>
          </w:p>
          <w:p w14:paraId="57A3A9E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（项号388）3、独有配方，有效抵抗极板腐蚀；卓越的大电流放电特性，可靠的快速充电性能，优越的深度放电恢复能力，确保电池的使用寿命，浮充设计寿命可达≥6年（25℃）；</w:t>
            </w:r>
          </w:p>
          <w:p w14:paraId="2A4D3C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（项号389）4、蓄电池与主机同一品牌，便于维护和保持主机和蓄电池一致性，浮充设计寿命≥6年。</w:t>
            </w:r>
          </w:p>
        </w:tc>
        <w:tc>
          <w:tcPr>
            <w:tcW w:w="992" w:type="dxa"/>
            <w:shd w:val="clear" w:color="auto" w:fill="FFFFFF"/>
            <w:vAlign w:val="center"/>
          </w:tcPr>
          <w:p w14:paraId="06DD6F6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节</w:t>
            </w:r>
          </w:p>
        </w:tc>
        <w:tc>
          <w:tcPr>
            <w:tcW w:w="1027" w:type="dxa"/>
            <w:shd w:val="clear" w:color="auto" w:fill="FFFFFF"/>
            <w:vAlign w:val="center"/>
          </w:tcPr>
          <w:p w14:paraId="2644688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64 </w:t>
            </w:r>
          </w:p>
        </w:tc>
      </w:tr>
      <w:tr w14:paraId="7F8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37A51F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13</w:t>
            </w:r>
          </w:p>
        </w:tc>
        <w:tc>
          <w:tcPr>
            <w:tcW w:w="992" w:type="dxa"/>
            <w:shd w:val="clear" w:color="auto" w:fill="FFFFFF"/>
            <w:vAlign w:val="center"/>
          </w:tcPr>
          <w:p w14:paraId="2CC4567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电池柜</w:t>
            </w:r>
          </w:p>
        </w:tc>
        <w:tc>
          <w:tcPr>
            <w:tcW w:w="6521" w:type="dxa"/>
            <w:shd w:val="clear" w:color="auto" w:fill="FFFFFF"/>
            <w:vAlign w:val="center"/>
          </w:tcPr>
          <w:p w14:paraId="48D590F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（项号390）电池柜，可安装≥32只12V100Ah铅酸蓄电池，不含连接线和开关，尺寸≤宽992*深866*高1112mm。</w:t>
            </w:r>
          </w:p>
        </w:tc>
        <w:tc>
          <w:tcPr>
            <w:tcW w:w="992" w:type="dxa"/>
            <w:shd w:val="clear" w:color="auto" w:fill="FFFFFF"/>
            <w:vAlign w:val="center"/>
          </w:tcPr>
          <w:p w14:paraId="3724058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个 </w:t>
            </w:r>
          </w:p>
        </w:tc>
        <w:tc>
          <w:tcPr>
            <w:tcW w:w="1027" w:type="dxa"/>
            <w:shd w:val="clear" w:color="auto" w:fill="FFFFFF"/>
            <w:vAlign w:val="center"/>
          </w:tcPr>
          <w:p w14:paraId="7193988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42A5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56EFFEF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w:t>
            </w:r>
          </w:p>
        </w:tc>
        <w:tc>
          <w:tcPr>
            <w:tcW w:w="992" w:type="dxa"/>
            <w:shd w:val="clear" w:color="auto" w:fill="FFFFFF"/>
            <w:vAlign w:val="center"/>
          </w:tcPr>
          <w:p w14:paraId="0FD5D47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蓄电池散力架</w:t>
            </w:r>
          </w:p>
        </w:tc>
        <w:tc>
          <w:tcPr>
            <w:tcW w:w="6521" w:type="dxa"/>
            <w:shd w:val="clear" w:color="auto" w:fill="FFFFFF"/>
            <w:vAlign w:val="center"/>
          </w:tcPr>
          <w:p w14:paraId="09FF38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（项号391）≥50*5mm角钢支架，制作、焊接、安装以及所需相应的配件及材料。</w:t>
            </w:r>
          </w:p>
        </w:tc>
        <w:tc>
          <w:tcPr>
            <w:tcW w:w="992" w:type="dxa"/>
            <w:shd w:val="clear" w:color="auto" w:fill="FFFFFF"/>
            <w:vAlign w:val="center"/>
          </w:tcPr>
          <w:p w14:paraId="404B1A8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735CE0D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4E5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44D3333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15</w:t>
            </w:r>
          </w:p>
        </w:tc>
        <w:tc>
          <w:tcPr>
            <w:tcW w:w="992" w:type="dxa"/>
            <w:shd w:val="clear" w:color="auto" w:fill="FFFFFF"/>
            <w:vAlign w:val="center"/>
          </w:tcPr>
          <w:p w14:paraId="661A3DD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配电柜</w:t>
            </w:r>
          </w:p>
        </w:tc>
        <w:tc>
          <w:tcPr>
            <w:tcW w:w="6521" w:type="dxa"/>
            <w:shd w:val="clear" w:color="auto" w:fill="FFFFFF"/>
            <w:vAlign w:val="center"/>
          </w:tcPr>
          <w:p w14:paraId="2A1A8B1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（项号392）定制配电柜，≥3P/200A；消防强切、二级防雷器、市电及UPS输入输出空开等。</w:t>
            </w:r>
          </w:p>
        </w:tc>
        <w:tc>
          <w:tcPr>
            <w:tcW w:w="992" w:type="dxa"/>
            <w:shd w:val="clear" w:color="auto" w:fill="FFFFFF"/>
            <w:vAlign w:val="center"/>
          </w:tcPr>
          <w:p w14:paraId="0B777BE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2CFCEC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4985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42A7738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16</w:t>
            </w:r>
          </w:p>
        </w:tc>
        <w:tc>
          <w:tcPr>
            <w:tcW w:w="992" w:type="dxa"/>
            <w:shd w:val="clear" w:color="auto" w:fill="FFFFFF"/>
            <w:vAlign w:val="center"/>
          </w:tcPr>
          <w:p w14:paraId="54E0454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电力电缆</w:t>
            </w:r>
          </w:p>
        </w:tc>
        <w:tc>
          <w:tcPr>
            <w:tcW w:w="6521" w:type="dxa"/>
            <w:shd w:val="clear" w:color="auto" w:fill="FFFFFF"/>
            <w:noWrap/>
            <w:vAlign w:val="center"/>
          </w:tcPr>
          <w:p w14:paraId="58100B4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（项号393）UPS输入与输出，YJV- 4×120+1*70mm2。</w:t>
            </w:r>
          </w:p>
        </w:tc>
        <w:tc>
          <w:tcPr>
            <w:tcW w:w="992" w:type="dxa"/>
            <w:shd w:val="clear" w:color="auto" w:fill="FFFFFF"/>
            <w:vAlign w:val="center"/>
          </w:tcPr>
          <w:p w14:paraId="730FCB7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243D52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2465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FFFFFF"/>
            <w:vAlign w:val="center"/>
          </w:tcPr>
          <w:p w14:paraId="797243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17</w:t>
            </w:r>
          </w:p>
        </w:tc>
        <w:tc>
          <w:tcPr>
            <w:tcW w:w="992" w:type="dxa"/>
            <w:shd w:val="clear" w:color="auto" w:fill="FFFFFF"/>
            <w:vAlign w:val="center"/>
          </w:tcPr>
          <w:p w14:paraId="34D0213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电力电缆</w:t>
            </w:r>
          </w:p>
        </w:tc>
        <w:tc>
          <w:tcPr>
            <w:tcW w:w="6521" w:type="dxa"/>
            <w:shd w:val="clear" w:color="auto" w:fill="FFFFFF"/>
            <w:noWrap/>
            <w:vAlign w:val="center"/>
          </w:tcPr>
          <w:p w14:paraId="2A1E809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（项号394）空调输入，RVV-5×6mm2。</w:t>
            </w:r>
          </w:p>
        </w:tc>
        <w:tc>
          <w:tcPr>
            <w:tcW w:w="992" w:type="dxa"/>
            <w:shd w:val="clear" w:color="auto" w:fill="FFFFFF"/>
            <w:vAlign w:val="center"/>
          </w:tcPr>
          <w:p w14:paraId="0E4B09D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5C9406B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60 </w:t>
            </w:r>
          </w:p>
        </w:tc>
      </w:tr>
      <w:tr w14:paraId="03C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1774DF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18</w:t>
            </w:r>
          </w:p>
        </w:tc>
        <w:tc>
          <w:tcPr>
            <w:tcW w:w="992" w:type="dxa"/>
            <w:shd w:val="clear" w:color="auto" w:fill="auto"/>
            <w:vAlign w:val="center"/>
          </w:tcPr>
          <w:p w14:paraId="717ED4F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电力电缆</w:t>
            </w:r>
          </w:p>
        </w:tc>
        <w:tc>
          <w:tcPr>
            <w:tcW w:w="6521" w:type="dxa"/>
            <w:shd w:val="clear" w:color="auto" w:fill="auto"/>
            <w:noWrap/>
            <w:vAlign w:val="center"/>
          </w:tcPr>
          <w:p w14:paraId="6E0093A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（项号395）机柜输入，ZR-RVV3×6mm²。</w:t>
            </w:r>
          </w:p>
        </w:tc>
        <w:tc>
          <w:tcPr>
            <w:tcW w:w="992" w:type="dxa"/>
            <w:shd w:val="clear" w:color="auto" w:fill="auto"/>
            <w:vAlign w:val="center"/>
          </w:tcPr>
          <w:p w14:paraId="5498B8D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2C0978D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50 </w:t>
            </w:r>
          </w:p>
        </w:tc>
      </w:tr>
      <w:tr w14:paraId="5A57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24C744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19</w:t>
            </w:r>
          </w:p>
        </w:tc>
        <w:tc>
          <w:tcPr>
            <w:tcW w:w="992" w:type="dxa"/>
            <w:shd w:val="clear" w:color="auto" w:fill="auto"/>
            <w:vAlign w:val="center"/>
          </w:tcPr>
          <w:p w14:paraId="5F1AE3C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空调插座</w:t>
            </w:r>
          </w:p>
        </w:tc>
        <w:tc>
          <w:tcPr>
            <w:tcW w:w="6521" w:type="dxa"/>
            <w:shd w:val="clear" w:color="auto" w:fill="auto"/>
            <w:noWrap/>
            <w:vAlign w:val="center"/>
          </w:tcPr>
          <w:p w14:paraId="7C95CC8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（项号396）</w:t>
            </w:r>
            <w:r>
              <w:rPr>
                <w:rFonts w:hint="eastAsia" w:asciiTheme="minorEastAsia" w:hAnsiTheme="minorEastAsia" w:eastAsiaTheme="minorEastAsia" w:cstheme="minorEastAsia"/>
              </w:rPr>
              <w:t>配套空调</w:t>
            </w:r>
            <w:r>
              <w:rPr>
                <w:rFonts w:hint="eastAsia" w:asciiTheme="minorEastAsia" w:hAnsiTheme="minorEastAsia" w:eastAsiaTheme="minorEastAsia" w:cstheme="minorEastAsia"/>
                <w:lang w:eastAsia="zh-CN"/>
              </w:rPr>
              <w:t>。</w:t>
            </w:r>
          </w:p>
        </w:tc>
        <w:tc>
          <w:tcPr>
            <w:tcW w:w="992" w:type="dxa"/>
            <w:shd w:val="clear" w:color="auto" w:fill="auto"/>
            <w:vAlign w:val="center"/>
          </w:tcPr>
          <w:p w14:paraId="652E9C3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0AE3E57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24F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CD8CA9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w:t>
            </w:r>
          </w:p>
        </w:tc>
        <w:tc>
          <w:tcPr>
            <w:tcW w:w="992" w:type="dxa"/>
            <w:shd w:val="clear" w:color="auto" w:fill="auto"/>
            <w:vAlign w:val="center"/>
          </w:tcPr>
          <w:p w14:paraId="6DBAE4C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配管及配件</w:t>
            </w:r>
          </w:p>
        </w:tc>
        <w:tc>
          <w:tcPr>
            <w:tcW w:w="6521" w:type="dxa"/>
            <w:shd w:val="clear" w:color="auto" w:fill="auto"/>
            <w:noWrap/>
            <w:vAlign w:val="center"/>
          </w:tcPr>
          <w:p w14:paraId="139FB13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（项号397）</w:t>
            </w:r>
            <w:r>
              <w:rPr>
                <w:rFonts w:hint="eastAsia" w:asciiTheme="minorEastAsia" w:hAnsiTheme="minorEastAsia" w:eastAsiaTheme="minorEastAsia" w:cstheme="minorEastAsia"/>
              </w:rPr>
              <w:t>KBG25</w:t>
            </w:r>
            <w:r>
              <w:rPr>
                <w:rFonts w:hint="eastAsia" w:asciiTheme="minorEastAsia" w:hAnsiTheme="minorEastAsia" w:eastAsiaTheme="minorEastAsia" w:cstheme="minorEastAsia"/>
                <w:lang w:eastAsia="zh-CN"/>
              </w:rPr>
              <w:t>。</w:t>
            </w:r>
          </w:p>
        </w:tc>
        <w:tc>
          <w:tcPr>
            <w:tcW w:w="992" w:type="dxa"/>
            <w:shd w:val="clear" w:color="auto" w:fill="auto"/>
            <w:vAlign w:val="center"/>
          </w:tcPr>
          <w:p w14:paraId="3F82E81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2877317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100 </w:t>
            </w:r>
          </w:p>
        </w:tc>
      </w:tr>
      <w:tr w14:paraId="3271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A0DDD5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21</w:t>
            </w:r>
          </w:p>
        </w:tc>
        <w:tc>
          <w:tcPr>
            <w:tcW w:w="992" w:type="dxa"/>
            <w:shd w:val="clear" w:color="auto" w:fill="auto"/>
            <w:vAlign w:val="center"/>
          </w:tcPr>
          <w:p w14:paraId="24CD3BD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辅材</w:t>
            </w:r>
          </w:p>
        </w:tc>
        <w:tc>
          <w:tcPr>
            <w:tcW w:w="6521" w:type="dxa"/>
            <w:shd w:val="clear" w:color="auto" w:fill="auto"/>
            <w:noWrap/>
            <w:vAlign w:val="center"/>
          </w:tcPr>
          <w:p w14:paraId="3163D9A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（项号398）金属软管、金属底盒及过渡盒、铜鼻子、绝缘端子、胶带、螺丝、扎带、胶布等。</w:t>
            </w:r>
          </w:p>
        </w:tc>
        <w:tc>
          <w:tcPr>
            <w:tcW w:w="992" w:type="dxa"/>
            <w:shd w:val="clear" w:color="auto" w:fill="auto"/>
            <w:vAlign w:val="center"/>
          </w:tcPr>
          <w:p w14:paraId="6B214FF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027" w:type="dxa"/>
            <w:shd w:val="clear" w:color="auto" w:fill="FFFFFF"/>
            <w:vAlign w:val="center"/>
          </w:tcPr>
          <w:p w14:paraId="1715D76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FB4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042117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22</w:t>
            </w:r>
          </w:p>
        </w:tc>
        <w:tc>
          <w:tcPr>
            <w:tcW w:w="992" w:type="dxa"/>
            <w:shd w:val="clear" w:color="auto" w:fill="auto"/>
            <w:vAlign w:val="center"/>
          </w:tcPr>
          <w:p w14:paraId="0D610AB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机</w:t>
            </w:r>
            <w:r>
              <w:rPr>
                <w:rFonts w:hint="eastAsia" w:asciiTheme="minorEastAsia" w:hAnsiTheme="minorEastAsia" w:eastAsiaTheme="minorEastAsia" w:cstheme="minorEastAsia"/>
              </w:rPr>
              <w:t>房间精密空调</w:t>
            </w:r>
          </w:p>
        </w:tc>
        <w:tc>
          <w:tcPr>
            <w:tcW w:w="6521" w:type="dxa"/>
            <w:shd w:val="clear" w:color="auto" w:fill="auto"/>
            <w:vAlign w:val="center"/>
          </w:tcPr>
          <w:p w14:paraId="793C11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（项号399）1、空调制冷量≥12.5kW，机架式空调；</w:t>
            </w:r>
          </w:p>
          <w:p w14:paraId="367818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（项号400）2、机架式空调尺寸要求高度≤10U，深度≤760mm；</w:t>
            </w:r>
          </w:p>
          <w:p w14:paraId="22DCBA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（项号401）3、机架式空调支持三面出风（左右上），确保机柜送风合理，送风面积最大；</w:t>
            </w:r>
          </w:p>
          <w:p w14:paraId="0D794D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（项号402）4、机架式空调后部近风口标配双层尼龙过滤网；</w:t>
            </w:r>
          </w:p>
          <w:p w14:paraId="762C63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（项号403）5、机架式空调室内机配置拉手，可进行抽拉安装；</w:t>
            </w:r>
          </w:p>
          <w:p w14:paraId="0B01B2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（项号404）6、机架式空调可在监控页面上进行调试和控制，无需借助手操器等其他设备进行调试和控制； </w:t>
            </w:r>
          </w:p>
          <w:p w14:paraId="62B2FC9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（项号405）7、机架式空调采用电子膨胀阀；</w:t>
            </w:r>
          </w:p>
          <w:p w14:paraId="5552AA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（项号406）8、机架式空调采用R410A环保制冷剂； </w:t>
            </w:r>
          </w:p>
          <w:p w14:paraId="26C5ADD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（项号407）9、机架式空调标配加热功能， 12.5KW空调电加热量为≥2.0kW； </w:t>
            </w:r>
          </w:p>
          <w:p w14:paraId="428880A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（项号408）10、机架式空调室内机标配强排水泵； </w:t>
            </w:r>
          </w:p>
          <w:p w14:paraId="002BC05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（项号409）11、机架式空调标配湿膜加湿 12.5KW空调加湿量为≥3.0kg/h； </w:t>
            </w:r>
          </w:p>
          <w:p w14:paraId="74272BC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（项号410）12、机架式空调具备防凝露功能； </w:t>
            </w:r>
          </w:p>
          <w:p w14:paraId="2F9BE2B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（项号411）13、机架式空调标配高低浮子开关，配有水浸传感器。</w:t>
            </w:r>
          </w:p>
        </w:tc>
        <w:tc>
          <w:tcPr>
            <w:tcW w:w="992" w:type="dxa"/>
            <w:shd w:val="clear" w:color="auto" w:fill="auto"/>
            <w:vAlign w:val="center"/>
          </w:tcPr>
          <w:p w14:paraId="2173DA3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15C9707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4E08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059BE62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23</w:t>
            </w:r>
          </w:p>
        </w:tc>
        <w:tc>
          <w:tcPr>
            <w:tcW w:w="992" w:type="dxa"/>
            <w:shd w:val="clear" w:color="auto" w:fill="auto"/>
            <w:vAlign w:val="center"/>
          </w:tcPr>
          <w:p w14:paraId="2BD442F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抗震底座（空调）</w:t>
            </w:r>
          </w:p>
        </w:tc>
        <w:tc>
          <w:tcPr>
            <w:tcW w:w="6521" w:type="dxa"/>
            <w:shd w:val="clear" w:color="auto" w:fill="auto"/>
            <w:vAlign w:val="center"/>
          </w:tcPr>
          <w:p w14:paraId="4A20015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（项号412）≥50*5角钢支架，制作、焊接、安装以及所需相应的配件及材料。</w:t>
            </w:r>
          </w:p>
        </w:tc>
        <w:tc>
          <w:tcPr>
            <w:tcW w:w="992" w:type="dxa"/>
            <w:shd w:val="clear" w:color="auto" w:fill="auto"/>
            <w:vAlign w:val="center"/>
          </w:tcPr>
          <w:p w14:paraId="2FC3AE8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35AA1BB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1B6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611AE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24</w:t>
            </w:r>
          </w:p>
        </w:tc>
        <w:tc>
          <w:tcPr>
            <w:tcW w:w="992" w:type="dxa"/>
            <w:shd w:val="clear" w:color="auto" w:fill="auto"/>
            <w:vAlign w:val="center"/>
          </w:tcPr>
          <w:p w14:paraId="5D386D1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空调辅材</w:t>
            </w:r>
          </w:p>
        </w:tc>
        <w:tc>
          <w:tcPr>
            <w:tcW w:w="6521" w:type="dxa"/>
            <w:shd w:val="clear" w:color="auto" w:fill="auto"/>
            <w:vAlign w:val="center"/>
          </w:tcPr>
          <w:p w14:paraId="0F6999A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（项号413）含冷媒铜管20米、保温棉、制冷剂、控制线缆等。</w:t>
            </w:r>
          </w:p>
        </w:tc>
        <w:tc>
          <w:tcPr>
            <w:tcW w:w="992" w:type="dxa"/>
            <w:shd w:val="clear" w:color="auto" w:fill="auto"/>
            <w:vAlign w:val="center"/>
          </w:tcPr>
          <w:p w14:paraId="55C5A6E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27" w:type="dxa"/>
            <w:shd w:val="clear" w:color="auto" w:fill="FFFFFF"/>
            <w:vAlign w:val="center"/>
          </w:tcPr>
          <w:p w14:paraId="6812873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0297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1E15DE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25</w:t>
            </w:r>
          </w:p>
        </w:tc>
        <w:tc>
          <w:tcPr>
            <w:tcW w:w="992" w:type="dxa"/>
            <w:shd w:val="clear" w:color="auto" w:fill="auto"/>
            <w:vAlign w:val="center"/>
          </w:tcPr>
          <w:p w14:paraId="7CB7B57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等电位联结带</w:t>
            </w:r>
          </w:p>
        </w:tc>
        <w:tc>
          <w:tcPr>
            <w:tcW w:w="6521" w:type="dxa"/>
            <w:shd w:val="clear" w:color="auto" w:fill="auto"/>
            <w:noWrap/>
            <w:vAlign w:val="center"/>
          </w:tcPr>
          <w:p w14:paraId="06EF3D6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（项号414）30×3mm2扁铜。</w:t>
            </w:r>
          </w:p>
        </w:tc>
        <w:tc>
          <w:tcPr>
            <w:tcW w:w="992" w:type="dxa"/>
            <w:shd w:val="clear" w:color="auto" w:fill="auto"/>
            <w:vAlign w:val="center"/>
          </w:tcPr>
          <w:p w14:paraId="7359E25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40F3849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60 </w:t>
            </w:r>
          </w:p>
        </w:tc>
      </w:tr>
      <w:tr w14:paraId="7E31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269B57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26</w:t>
            </w:r>
          </w:p>
        </w:tc>
        <w:tc>
          <w:tcPr>
            <w:tcW w:w="992" w:type="dxa"/>
            <w:shd w:val="clear" w:color="auto" w:fill="auto"/>
            <w:vAlign w:val="center"/>
          </w:tcPr>
          <w:p w14:paraId="1010E06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主干接地引下线</w:t>
            </w:r>
          </w:p>
        </w:tc>
        <w:tc>
          <w:tcPr>
            <w:tcW w:w="6521" w:type="dxa"/>
            <w:shd w:val="clear" w:color="auto" w:fill="auto"/>
            <w:noWrap/>
            <w:vAlign w:val="center"/>
          </w:tcPr>
          <w:p w14:paraId="202507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（项号415）ZR-BVR35mm2。</w:t>
            </w:r>
          </w:p>
        </w:tc>
        <w:tc>
          <w:tcPr>
            <w:tcW w:w="992" w:type="dxa"/>
            <w:shd w:val="clear" w:color="auto" w:fill="auto"/>
            <w:vAlign w:val="center"/>
          </w:tcPr>
          <w:p w14:paraId="2E5519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5251B71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80 </w:t>
            </w:r>
          </w:p>
        </w:tc>
      </w:tr>
      <w:tr w14:paraId="6552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907990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27</w:t>
            </w:r>
          </w:p>
        </w:tc>
        <w:tc>
          <w:tcPr>
            <w:tcW w:w="992" w:type="dxa"/>
            <w:shd w:val="clear" w:color="auto" w:fill="auto"/>
            <w:vAlign w:val="center"/>
          </w:tcPr>
          <w:p w14:paraId="7060F9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机柜、配电柜保护接地</w:t>
            </w:r>
          </w:p>
        </w:tc>
        <w:tc>
          <w:tcPr>
            <w:tcW w:w="6521" w:type="dxa"/>
            <w:shd w:val="clear" w:color="auto" w:fill="auto"/>
            <w:noWrap/>
            <w:vAlign w:val="center"/>
          </w:tcPr>
          <w:p w14:paraId="76D2B7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（项号416）BVR16mm2。</w:t>
            </w:r>
          </w:p>
        </w:tc>
        <w:tc>
          <w:tcPr>
            <w:tcW w:w="992" w:type="dxa"/>
            <w:shd w:val="clear" w:color="auto" w:fill="auto"/>
            <w:vAlign w:val="center"/>
          </w:tcPr>
          <w:p w14:paraId="6C806CD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4A20F0F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70 </w:t>
            </w:r>
          </w:p>
        </w:tc>
      </w:tr>
      <w:tr w14:paraId="25E9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81F16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28</w:t>
            </w:r>
          </w:p>
        </w:tc>
        <w:tc>
          <w:tcPr>
            <w:tcW w:w="992" w:type="dxa"/>
            <w:shd w:val="clear" w:color="auto" w:fill="auto"/>
            <w:vAlign w:val="center"/>
          </w:tcPr>
          <w:p w14:paraId="22CEDA9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空调、金属线槽接地</w:t>
            </w:r>
          </w:p>
        </w:tc>
        <w:tc>
          <w:tcPr>
            <w:tcW w:w="6521" w:type="dxa"/>
            <w:shd w:val="clear" w:color="auto" w:fill="auto"/>
            <w:noWrap/>
            <w:vAlign w:val="center"/>
          </w:tcPr>
          <w:p w14:paraId="7048F2F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（项号417）BVR6mm2。</w:t>
            </w:r>
          </w:p>
        </w:tc>
        <w:tc>
          <w:tcPr>
            <w:tcW w:w="992" w:type="dxa"/>
            <w:shd w:val="clear" w:color="auto" w:fill="auto"/>
            <w:vAlign w:val="center"/>
          </w:tcPr>
          <w:p w14:paraId="14876C8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7344BE3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45 </w:t>
            </w:r>
          </w:p>
        </w:tc>
      </w:tr>
      <w:tr w14:paraId="599B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731789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29</w:t>
            </w:r>
          </w:p>
        </w:tc>
        <w:tc>
          <w:tcPr>
            <w:tcW w:w="992" w:type="dxa"/>
            <w:shd w:val="clear" w:color="auto" w:fill="auto"/>
            <w:vAlign w:val="center"/>
          </w:tcPr>
          <w:p w14:paraId="4CA2D85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吊顶支架接地</w:t>
            </w:r>
          </w:p>
        </w:tc>
        <w:tc>
          <w:tcPr>
            <w:tcW w:w="6521" w:type="dxa"/>
            <w:shd w:val="clear" w:color="auto" w:fill="auto"/>
            <w:noWrap/>
            <w:vAlign w:val="center"/>
          </w:tcPr>
          <w:p w14:paraId="29E3C8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（项号418）BVR6mm3，含配件。</w:t>
            </w:r>
          </w:p>
        </w:tc>
        <w:tc>
          <w:tcPr>
            <w:tcW w:w="992" w:type="dxa"/>
            <w:shd w:val="clear" w:color="auto" w:fill="auto"/>
            <w:vAlign w:val="center"/>
          </w:tcPr>
          <w:p w14:paraId="6B916B3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1027" w:type="dxa"/>
            <w:shd w:val="clear" w:color="auto" w:fill="FFFFFF"/>
            <w:vAlign w:val="center"/>
          </w:tcPr>
          <w:p w14:paraId="427414C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75 </w:t>
            </w:r>
          </w:p>
        </w:tc>
      </w:tr>
      <w:tr w14:paraId="3DC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4B805D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30</w:t>
            </w:r>
          </w:p>
        </w:tc>
        <w:tc>
          <w:tcPr>
            <w:tcW w:w="992" w:type="dxa"/>
            <w:shd w:val="clear" w:color="auto" w:fill="auto"/>
            <w:vAlign w:val="center"/>
          </w:tcPr>
          <w:p w14:paraId="4F27F9F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接地端子排</w:t>
            </w:r>
          </w:p>
        </w:tc>
        <w:tc>
          <w:tcPr>
            <w:tcW w:w="6521" w:type="dxa"/>
            <w:shd w:val="clear" w:color="auto" w:fill="auto"/>
            <w:noWrap/>
            <w:vAlign w:val="center"/>
          </w:tcPr>
          <w:p w14:paraId="6D53024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（项号419）≥400*100*10mm（允许正负偏离5%），紫铜排。</w:t>
            </w:r>
          </w:p>
        </w:tc>
        <w:tc>
          <w:tcPr>
            <w:tcW w:w="992" w:type="dxa"/>
            <w:shd w:val="clear" w:color="auto" w:fill="auto"/>
            <w:vAlign w:val="center"/>
          </w:tcPr>
          <w:p w14:paraId="6356202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182D3BC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D5A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29D660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31</w:t>
            </w:r>
          </w:p>
        </w:tc>
        <w:tc>
          <w:tcPr>
            <w:tcW w:w="992" w:type="dxa"/>
            <w:shd w:val="clear" w:color="auto" w:fill="auto"/>
            <w:vAlign w:val="center"/>
          </w:tcPr>
          <w:p w14:paraId="49E86C9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防静电地板</w:t>
            </w:r>
          </w:p>
        </w:tc>
        <w:tc>
          <w:tcPr>
            <w:tcW w:w="6521" w:type="dxa"/>
            <w:shd w:val="clear" w:color="auto" w:fill="auto"/>
            <w:noWrap/>
            <w:vAlign w:val="center"/>
          </w:tcPr>
          <w:p w14:paraId="15D3D75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（项号420）陶瓷防静电地板。</w:t>
            </w:r>
          </w:p>
        </w:tc>
        <w:tc>
          <w:tcPr>
            <w:tcW w:w="992" w:type="dxa"/>
            <w:shd w:val="clear" w:color="auto" w:fill="auto"/>
            <w:vAlign w:val="center"/>
          </w:tcPr>
          <w:p w14:paraId="447FC3F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平方米</w:t>
            </w:r>
          </w:p>
        </w:tc>
        <w:tc>
          <w:tcPr>
            <w:tcW w:w="1027" w:type="dxa"/>
            <w:shd w:val="clear" w:color="auto" w:fill="FFFFFF"/>
            <w:vAlign w:val="center"/>
          </w:tcPr>
          <w:p w14:paraId="1887422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5EEA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6C56CC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w:t>
            </w:r>
          </w:p>
        </w:tc>
        <w:tc>
          <w:tcPr>
            <w:tcW w:w="992" w:type="dxa"/>
            <w:shd w:val="clear" w:color="auto" w:fill="auto"/>
            <w:vAlign w:val="center"/>
          </w:tcPr>
          <w:p w14:paraId="6ECF215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不锈钢踢脚线</w:t>
            </w:r>
          </w:p>
        </w:tc>
        <w:tc>
          <w:tcPr>
            <w:tcW w:w="6521" w:type="dxa"/>
            <w:shd w:val="clear" w:color="auto" w:fill="auto"/>
            <w:noWrap/>
            <w:vAlign w:val="center"/>
          </w:tcPr>
          <w:p w14:paraId="56BDFA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（项号421）</w:t>
            </w:r>
            <w:r>
              <w:rPr>
                <w:rFonts w:hint="eastAsia" w:asciiTheme="minorEastAsia" w:hAnsiTheme="minorEastAsia" w:eastAsiaTheme="minorEastAsia" w:cstheme="minorEastAsia"/>
              </w:rPr>
              <w:t>定制</w:t>
            </w:r>
            <w:r>
              <w:rPr>
                <w:rFonts w:hint="eastAsia" w:asciiTheme="minorEastAsia" w:hAnsiTheme="minorEastAsia" w:eastAsiaTheme="minorEastAsia" w:cstheme="minorEastAsia"/>
                <w:lang w:eastAsia="zh-CN"/>
              </w:rPr>
              <w:t>。</w:t>
            </w:r>
          </w:p>
        </w:tc>
        <w:tc>
          <w:tcPr>
            <w:tcW w:w="992" w:type="dxa"/>
            <w:shd w:val="clear" w:color="auto" w:fill="auto"/>
            <w:vAlign w:val="center"/>
          </w:tcPr>
          <w:p w14:paraId="738F5D4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27" w:type="dxa"/>
            <w:shd w:val="clear" w:color="auto" w:fill="FFFFFF"/>
            <w:vAlign w:val="center"/>
          </w:tcPr>
          <w:p w14:paraId="4AEEC5C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659A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9B6D82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33</w:t>
            </w:r>
          </w:p>
        </w:tc>
        <w:tc>
          <w:tcPr>
            <w:tcW w:w="992" w:type="dxa"/>
            <w:shd w:val="clear" w:color="auto" w:fill="auto"/>
            <w:vAlign w:val="center"/>
          </w:tcPr>
          <w:p w14:paraId="669CEF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活动地板支架构件接地</w:t>
            </w:r>
          </w:p>
        </w:tc>
        <w:tc>
          <w:tcPr>
            <w:tcW w:w="6521" w:type="dxa"/>
            <w:shd w:val="clear" w:color="auto" w:fill="auto"/>
            <w:noWrap/>
            <w:vAlign w:val="center"/>
          </w:tcPr>
          <w:p w14:paraId="26E229F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（项号422）</w:t>
            </w:r>
            <w:r>
              <w:rPr>
                <w:rFonts w:hint="eastAsia" w:asciiTheme="minorEastAsia" w:hAnsiTheme="minorEastAsia" w:eastAsiaTheme="minorEastAsia" w:cstheme="minorEastAsia"/>
              </w:rPr>
              <w:t>含配件</w:t>
            </w:r>
            <w:r>
              <w:rPr>
                <w:rFonts w:hint="eastAsia" w:asciiTheme="minorEastAsia" w:hAnsiTheme="minorEastAsia" w:eastAsiaTheme="minorEastAsia" w:cstheme="minorEastAsia"/>
                <w:lang w:eastAsia="zh-CN"/>
              </w:rPr>
              <w:t>。</w:t>
            </w:r>
          </w:p>
        </w:tc>
        <w:tc>
          <w:tcPr>
            <w:tcW w:w="992" w:type="dxa"/>
            <w:shd w:val="clear" w:color="auto" w:fill="auto"/>
            <w:vAlign w:val="center"/>
          </w:tcPr>
          <w:p w14:paraId="771EAE9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027" w:type="dxa"/>
            <w:shd w:val="clear" w:color="auto" w:fill="FFFFFF"/>
            <w:vAlign w:val="center"/>
          </w:tcPr>
          <w:p w14:paraId="285243E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A9B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E85FD9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34</w:t>
            </w:r>
          </w:p>
        </w:tc>
        <w:tc>
          <w:tcPr>
            <w:tcW w:w="992" w:type="dxa"/>
            <w:shd w:val="clear" w:color="auto" w:fill="auto"/>
            <w:vAlign w:val="center"/>
          </w:tcPr>
          <w:p w14:paraId="3298F85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辅材</w:t>
            </w:r>
          </w:p>
        </w:tc>
        <w:tc>
          <w:tcPr>
            <w:tcW w:w="6521" w:type="dxa"/>
            <w:shd w:val="clear" w:color="auto" w:fill="auto"/>
            <w:vAlign w:val="center"/>
          </w:tcPr>
          <w:p w14:paraId="673E07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（项号423）压线铜端子、铜鼻子、绝缘端子、胶带、螺丝以及其他所需辅材。</w:t>
            </w:r>
          </w:p>
        </w:tc>
        <w:tc>
          <w:tcPr>
            <w:tcW w:w="992" w:type="dxa"/>
            <w:shd w:val="clear" w:color="auto" w:fill="auto"/>
            <w:vAlign w:val="center"/>
          </w:tcPr>
          <w:p w14:paraId="240CAFE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027" w:type="dxa"/>
            <w:shd w:val="clear" w:color="auto" w:fill="FFFFFF"/>
            <w:vAlign w:val="center"/>
          </w:tcPr>
          <w:p w14:paraId="157FBB9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E05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05D72A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35</w:t>
            </w:r>
          </w:p>
        </w:tc>
        <w:tc>
          <w:tcPr>
            <w:tcW w:w="992" w:type="dxa"/>
            <w:shd w:val="clear" w:color="auto" w:fill="auto"/>
            <w:vAlign w:val="center"/>
          </w:tcPr>
          <w:p w14:paraId="3EE1F8D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单瓶式柜式灭火装置</w:t>
            </w:r>
          </w:p>
        </w:tc>
        <w:tc>
          <w:tcPr>
            <w:tcW w:w="6521" w:type="dxa"/>
            <w:shd w:val="clear" w:color="auto" w:fill="auto"/>
            <w:noWrap/>
            <w:vAlign w:val="center"/>
          </w:tcPr>
          <w:p w14:paraId="74011E3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（项号424）≥100KG柜式灭火装置。</w:t>
            </w:r>
          </w:p>
        </w:tc>
        <w:tc>
          <w:tcPr>
            <w:tcW w:w="992" w:type="dxa"/>
            <w:shd w:val="clear" w:color="auto" w:fill="auto"/>
            <w:vAlign w:val="center"/>
          </w:tcPr>
          <w:p w14:paraId="344F69E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瓶组</w:t>
            </w:r>
          </w:p>
        </w:tc>
        <w:tc>
          <w:tcPr>
            <w:tcW w:w="1027" w:type="dxa"/>
            <w:shd w:val="clear" w:color="auto" w:fill="FFFFFF"/>
            <w:vAlign w:val="center"/>
          </w:tcPr>
          <w:p w14:paraId="2907E24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A53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9A6B15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36</w:t>
            </w:r>
          </w:p>
        </w:tc>
        <w:tc>
          <w:tcPr>
            <w:tcW w:w="992" w:type="dxa"/>
            <w:shd w:val="clear" w:color="auto" w:fill="auto"/>
            <w:vAlign w:val="center"/>
          </w:tcPr>
          <w:p w14:paraId="3E13319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灭火剂</w:t>
            </w:r>
          </w:p>
        </w:tc>
        <w:tc>
          <w:tcPr>
            <w:tcW w:w="6521" w:type="dxa"/>
            <w:shd w:val="clear" w:color="auto" w:fill="auto"/>
            <w:noWrap/>
            <w:vAlign w:val="center"/>
          </w:tcPr>
          <w:p w14:paraId="2AAD9E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（项号425）</w:t>
            </w:r>
            <w:r>
              <w:rPr>
                <w:rFonts w:hint="eastAsia" w:asciiTheme="minorEastAsia" w:hAnsiTheme="minorEastAsia" w:eastAsiaTheme="minorEastAsia" w:cstheme="minorEastAsia"/>
              </w:rPr>
              <w:t>七氟丙烷</w:t>
            </w:r>
            <w:r>
              <w:rPr>
                <w:rFonts w:hint="eastAsia" w:asciiTheme="minorEastAsia" w:hAnsiTheme="minorEastAsia" w:eastAsiaTheme="minorEastAsia" w:cstheme="minorEastAsia"/>
                <w:lang w:eastAsia="zh-CN"/>
              </w:rPr>
              <w:t>。</w:t>
            </w:r>
          </w:p>
        </w:tc>
        <w:tc>
          <w:tcPr>
            <w:tcW w:w="992" w:type="dxa"/>
            <w:shd w:val="clear" w:color="auto" w:fill="auto"/>
            <w:vAlign w:val="center"/>
          </w:tcPr>
          <w:p w14:paraId="0587CC5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公斤</w:t>
            </w:r>
          </w:p>
        </w:tc>
        <w:tc>
          <w:tcPr>
            <w:tcW w:w="1027" w:type="dxa"/>
            <w:shd w:val="clear" w:color="auto" w:fill="FFFFFF"/>
            <w:vAlign w:val="center"/>
          </w:tcPr>
          <w:p w14:paraId="5316301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100 </w:t>
            </w:r>
          </w:p>
        </w:tc>
      </w:tr>
      <w:tr w14:paraId="37AC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B39BC8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7</w:t>
            </w:r>
          </w:p>
        </w:tc>
        <w:tc>
          <w:tcPr>
            <w:tcW w:w="992" w:type="dxa"/>
            <w:shd w:val="clear" w:color="auto" w:fill="auto"/>
            <w:vAlign w:val="center"/>
          </w:tcPr>
          <w:p w14:paraId="34FB555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灭火控制器(1区)</w:t>
            </w:r>
          </w:p>
        </w:tc>
        <w:tc>
          <w:tcPr>
            <w:tcW w:w="6521" w:type="dxa"/>
            <w:shd w:val="clear" w:color="auto" w:fill="auto"/>
            <w:noWrap/>
            <w:vAlign w:val="center"/>
          </w:tcPr>
          <w:p w14:paraId="4F808BD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（项号426）1个防区气体灭火控制。</w:t>
            </w:r>
          </w:p>
        </w:tc>
        <w:tc>
          <w:tcPr>
            <w:tcW w:w="992" w:type="dxa"/>
            <w:shd w:val="clear" w:color="auto" w:fill="auto"/>
            <w:vAlign w:val="center"/>
          </w:tcPr>
          <w:p w14:paraId="014B908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5389F0B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504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BB98811">
            <w:pPr>
              <w:spacing w:line="400" w:lineRule="exact"/>
              <w:rPr>
                <w:rFonts w:hint="eastAsia" w:asciiTheme="minorEastAsia" w:hAnsiTheme="minorEastAsia" w:eastAsiaTheme="minorEastAsia" w:cstheme="minorEastAsia"/>
                <w:lang w:eastAsia="zh-CN"/>
              </w:rPr>
            </w:pPr>
            <w:bookmarkStart w:id="4" w:name="_Hlk159320452"/>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8</w:t>
            </w:r>
          </w:p>
        </w:tc>
        <w:tc>
          <w:tcPr>
            <w:tcW w:w="992" w:type="dxa"/>
            <w:shd w:val="clear" w:color="auto" w:fill="auto"/>
            <w:vAlign w:val="center"/>
          </w:tcPr>
          <w:p w14:paraId="3307E97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声光报警器</w:t>
            </w:r>
          </w:p>
        </w:tc>
        <w:tc>
          <w:tcPr>
            <w:tcW w:w="6521" w:type="dxa"/>
            <w:shd w:val="clear" w:color="auto" w:fill="auto"/>
            <w:noWrap/>
            <w:vAlign w:val="center"/>
          </w:tcPr>
          <w:p w14:paraId="77A528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（项号427）插拔式，智能型，电子编码，声和光报警。</w:t>
            </w:r>
          </w:p>
        </w:tc>
        <w:tc>
          <w:tcPr>
            <w:tcW w:w="992" w:type="dxa"/>
            <w:shd w:val="clear" w:color="auto" w:fill="auto"/>
            <w:vAlign w:val="center"/>
          </w:tcPr>
          <w:p w14:paraId="72E187F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3EB529C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0CC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4E933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9</w:t>
            </w:r>
          </w:p>
        </w:tc>
        <w:tc>
          <w:tcPr>
            <w:tcW w:w="992" w:type="dxa"/>
            <w:shd w:val="clear" w:color="auto" w:fill="auto"/>
            <w:vAlign w:val="center"/>
          </w:tcPr>
          <w:p w14:paraId="18AEDAF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放气指示灯</w:t>
            </w:r>
          </w:p>
        </w:tc>
        <w:tc>
          <w:tcPr>
            <w:tcW w:w="6521" w:type="dxa"/>
            <w:shd w:val="clear" w:color="auto" w:fill="auto"/>
            <w:noWrap/>
            <w:vAlign w:val="center"/>
          </w:tcPr>
          <w:p w14:paraId="7844B4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（项号428）智能型，电子编码，≤DC24V供电。</w:t>
            </w:r>
          </w:p>
        </w:tc>
        <w:tc>
          <w:tcPr>
            <w:tcW w:w="992" w:type="dxa"/>
            <w:shd w:val="clear" w:color="auto" w:fill="auto"/>
            <w:vAlign w:val="center"/>
          </w:tcPr>
          <w:p w14:paraId="2736F91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27" w:type="dxa"/>
            <w:shd w:val="clear" w:color="auto" w:fill="FFFFFF"/>
            <w:vAlign w:val="center"/>
          </w:tcPr>
          <w:p w14:paraId="38928BE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A2B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5BE666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40</w:t>
            </w:r>
          </w:p>
        </w:tc>
        <w:tc>
          <w:tcPr>
            <w:tcW w:w="992" w:type="dxa"/>
            <w:shd w:val="clear" w:color="auto" w:fill="auto"/>
            <w:vAlign w:val="center"/>
          </w:tcPr>
          <w:p w14:paraId="332EE12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自动/手动转换器</w:t>
            </w:r>
          </w:p>
        </w:tc>
        <w:tc>
          <w:tcPr>
            <w:tcW w:w="6521" w:type="dxa"/>
            <w:shd w:val="clear" w:color="auto" w:fill="auto"/>
            <w:noWrap/>
            <w:vAlign w:val="center"/>
          </w:tcPr>
          <w:p w14:paraId="181827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（项号429）智能型，电子编码，气体灭火控制器调试或检修时，可设置强制手动状态。</w:t>
            </w:r>
          </w:p>
        </w:tc>
        <w:tc>
          <w:tcPr>
            <w:tcW w:w="992" w:type="dxa"/>
            <w:shd w:val="clear" w:color="auto" w:fill="auto"/>
            <w:vAlign w:val="center"/>
          </w:tcPr>
          <w:p w14:paraId="4934CA6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条</w:t>
            </w:r>
          </w:p>
        </w:tc>
        <w:tc>
          <w:tcPr>
            <w:tcW w:w="1027" w:type="dxa"/>
            <w:shd w:val="clear" w:color="auto" w:fill="FFFFFF"/>
            <w:vAlign w:val="center"/>
          </w:tcPr>
          <w:p w14:paraId="0F6795A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042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4B3044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41</w:t>
            </w:r>
          </w:p>
        </w:tc>
        <w:tc>
          <w:tcPr>
            <w:tcW w:w="992" w:type="dxa"/>
            <w:shd w:val="clear" w:color="auto" w:fill="auto"/>
            <w:vAlign w:val="center"/>
          </w:tcPr>
          <w:p w14:paraId="1902D9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区域启动/停止盒</w:t>
            </w:r>
          </w:p>
        </w:tc>
        <w:tc>
          <w:tcPr>
            <w:tcW w:w="6521" w:type="dxa"/>
            <w:shd w:val="clear" w:color="auto" w:fill="auto"/>
            <w:noWrap/>
            <w:vAlign w:val="center"/>
          </w:tcPr>
          <w:p w14:paraId="19EE5F2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（项号430）智能型，电子编码，可以手动操作启动或停止气体喷放。</w:t>
            </w:r>
          </w:p>
        </w:tc>
        <w:tc>
          <w:tcPr>
            <w:tcW w:w="992" w:type="dxa"/>
            <w:shd w:val="clear" w:color="auto" w:fill="auto"/>
            <w:vAlign w:val="center"/>
          </w:tcPr>
          <w:p w14:paraId="68195C8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27" w:type="dxa"/>
            <w:shd w:val="clear" w:color="auto" w:fill="FFFFFF"/>
            <w:vAlign w:val="center"/>
          </w:tcPr>
          <w:p w14:paraId="5BA298F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6C4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7B2A33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42</w:t>
            </w:r>
          </w:p>
        </w:tc>
        <w:tc>
          <w:tcPr>
            <w:tcW w:w="992" w:type="dxa"/>
            <w:shd w:val="clear" w:color="auto" w:fill="auto"/>
            <w:vAlign w:val="center"/>
          </w:tcPr>
          <w:p w14:paraId="78F5990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烟感探测器</w:t>
            </w:r>
          </w:p>
        </w:tc>
        <w:tc>
          <w:tcPr>
            <w:tcW w:w="6521" w:type="dxa"/>
            <w:shd w:val="clear" w:color="auto" w:fill="auto"/>
            <w:noWrap/>
            <w:vAlign w:val="center"/>
          </w:tcPr>
          <w:p w14:paraId="13414B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（项号431）智能型，电子编码，无极性连接。</w:t>
            </w:r>
          </w:p>
        </w:tc>
        <w:tc>
          <w:tcPr>
            <w:tcW w:w="992" w:type="dxa"/>
            <w:shd w:val="clear" w:color="auto" w:fill="auto"/>
            <w:vAlign w:val="center"/>
          </w:tcPr>
          <w:p w14:paraId="6971C53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27" w:type="dxa"/>
            <w:shd w:val="clear" w:color="auto" w:fill="FFFFFF"/>
            <w:vAlign w:val="center"/>
          </w:tcPr>
          <w:p w14:paraId="4F3C399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60A1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DEECB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43</w:t>
            </w:r>
          </w:p>
        </w:tc>
        <w:tc>
          <w:tcPr>
            <w:tcW w:w="992" w:type="dxa"/>
            <w:shd w:val="clear" w:color="auto" w:fill="auto"/>
            <w:vAlign w:val="center"/>
          </w:tcPr>
          <w:p w14:paraId="4EA5A5F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温感探测器</w:t>
            </w:r>
          </w:p>
        </w:tc>
        <w:tc>
          <w:tcPr>
            <w:tcW w:w="6521" w:type="dxa"/>
            <w:shd w:val="clear" w:color="auto" w:fill="auto"/>
            <w:noWrap/>
            <w:vAlign w:val="center"/>
          </w:tcPr>
          <w:p w14:paraId="1CF8CC2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（项号432）智能型，电子编码，无极性连接。</w:t>
            </w:r>
          </w:p>
        </w:tc>
        <w:tc>
          <w:tcPr>
            <w:tcW w:w="992" w:type="dxa"/>
            <w:shd w:val="clear" w:color="auto" w:fill="auto"/>
            <w:vAlign w:val="center"/>
          </w:tcPr>
          <w:p w14:paraId="6B4FF00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只</w:t>
            </w:r>
          </w:p>
        </w:tc>
        <w:tc>
          <w:tcPr>
            <w:tcW w:w="1027" w:type="dxa"/>
            <w:shd w:val="clear" w:color="auto" w:fill="FFFFFF"/>
            <w:vAlign w:val="center"/>
          </w:tcPr>
          <w:p w14:paraId="0E0FE4A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1801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B8785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44</w:t>
            </w:r>
          </w:p>
        </w:tc>
        <w:tc>
          <w:tcPr>
            <w:tcW w:w="992" w:type="dxa"/>
            <w:shd w:val="clear" w:color="auto" w:fill="auto"/>
            <w:vAlign w:val="center"/>
          </w:tcPr>
          <w:p w14:paraId="15172C2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线缆辅材</w:t>
            </w:r>
          </w:p>
        </w:tc>
        <w:tc>
          <w:tcPr>
            <w:tcW w:w="6521" w:type="dxa"/>
            <w:shd w:val="clear" w:color="auto" w:fill="auto"/>
            <w:noWrap/>
            <w:vAlign w:val="center"/>
          </w:tcPr>
          <w:p w14:paraId="5B4F535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（项号433）</w:t>
            </w:r>
            <w:r>
              <w:rPr>
                <w:rFonts w:hint="eastAsia" w:asciiTheme="minorEastAsia" w:hAnsiTheme="minorEastAsia" w:eastAsiaTheme="minorEastAsia" w:cstheme="minorEastAsia"/>
              </w:rPr>
              <w:t>线缆辅材</w:t>
            </w:r>
            <w:r>
              <w:rPr>
                <w:rFonts w:hint="eastAsia" w:asciiTheme="minorEastAsia" w:hAnsiTheme="minorEastAsia" w:eastAsiaTheme="minorEastAsia" w:cstheme="minorEastAsia"/>
                <w:lang w:eastAsia="zh-CN"/>
              </w:rPr>
              <w:t>。</w:t>
            </w:r>
          </w:p>
        </w:tc>
        <w:tc>
          <w:tcPr>
            <w:tcW w:w="992" w:type="dxa"/>
            <w:shd w:val="clear" w:color="auto" w:fill="auto"/>
            <w:vAlign w:val="center"/>
          </w:tcPr>
          <w:p w14:paraId="4EB3630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批</w:t>
            </w:r>
          </w:p>
        </w:tc>
        <w:tc>
          <w:tcPr>
            <w:tcW w:w="1027" w:type="dxa"/>
            <w:shd w:val="clear" w:color="auto" w:fill="FFFFFF"/>
            <w:vAlign w:val="center"/>
          </w:tcPr>
          <w:p w14:paraId="156DA7C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877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2F33DA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5</w:t>
            </w:r>
          </w:p>
        </w:tc>
        <w:tc>
          <w:tcPr>
            <w:tcW w:w="992" w:type="dxa"/>
            <w:shd w:val="clear" w:color="auto" w:fill="FFFFFF"/>
            <w:vAlign w:val="center"/>
          </w:tcPr>
          <w:p w14:paraId="47CE464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监控主机</w:t>
            </w:r>
          </w:p>
        </w:tc>
        <w:tc>
          <w:tcPr>
            <w:tcW w:w="6521" w:type="dxa"/>
            <w:shd w:val="clear" w:color="auto" w:fill="FFFFFF"/>
            <w:vAlign w:val="center"/>
          </w:tcPr>
          <w:p w14:paraId="3B5B30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（项号434）带HDMI接口；≥2组12VDC输出口；≥4个RS-232/DB9标准口、≥6个RS-485串口；≥6路DI开关量输入及4路DO开关量接口。</w:t>
            </w:r>
          </w:p>
        </w:tc>
        <w:tc>
          <w:tcPr>
            <w:tcW w:w="992" w:type="dxa"/>
            <w:shd w:val="clear" w:color="auto" w:fill="FFFFFF"/>
            <w:vAlign w:val="center"/>
          </w:tcPr>
          <w:p w14:paraId="4EC3E79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27" w:type="dxa"/>
            <w:shd w:val="clear" w:color="auto" w:fill="FFFFFF"/>
            <w:vAlign w:val="center"/>
          </w:tcPr>
          <w:p w14:paraId="157648B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A18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3019C6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6</w:t>
            </w:r>
          </w:p>
        </w:tc>
        <w:tc>
          <w:tcPr>
            <w:tcW w:w="992" w:type="dxa"/>
            <w:shd w:val="clear" w:color="auto" w:fill="FFFFFF"/>
            <w:vAlign w:val="center"/>
          </w:tcPr>
          <w:p w14:paraId="37E7F98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机房监管</w:t>
            </w:r>
            <w:r>
              <w:rPr>
                <w:rFonts w:hint="eastAsia" w:asciiTheme="minorEastAsia" w:hAnsiTheme="minorEastAsia" w:eastAsiaTheme="minorEastAsia" w:cstheme="minorEastAsia"/>
              </w:rPr>
              <w:t>平台软件</w:t>
            </w:r>
          </w:p>
        </w:tc>
        <w:tc>
          <w:tcPr>
            <w:tcW w:w="6521" w:type="dxa"/>
            <w:shd w:val="clear" w:color="auto" w:fill="FFFFFF"/>
            <w:vAlign w:val="center"/>
          </w:tcPr>
          <w:p w14:paraId="7C9935F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435）支持C/S,B/S两种架构的集中监控一体化管理平台，完全支持智能设备监控管理、网络设备监控管理、视频监控、门禁监控等，并且实现各种信息的无缝集成。所有实时信息的显示、报警查询、系统配置、视频等，都通过同一套系统管理。可以提供远程管理、报警管理，设备管理，日志管理，资产管理，权限管理等多种功能。</w:t>
            </w:r>
          </w:p>
        </w:tc>
        <w:tc>
          <w:tcPr>
            <w:tcW w:w="992" w:type="dxa"/>
            <w:shd w:val="clear" w:color="auto" w:fill="FFFFFF"/>
            <w:vAlign w:val="center"/>
          </w:tcPr>
          <w:p w14:paraId="7E71EC2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60D8C7D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619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B4D93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7</w:t>
            </w:r>
          </w:p>
        </w:tc>
        <w:tc>
          <w:tcPr>
            <w:tcW w:w="992" w:type="dxa"/>
            <w:shd w:val="clear" w:color="auto" w:fill="FFFFFF"/>
            <w:vAlign w:val="center"/>
          </w:tcPr>
          <w:p w14:paraId="359E8D5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UPS通讯模块</w:t>
            </w:r>
          </w:p>
        </w:tc>
        <w:tc>
          <w:tcPr>
            <w:tcW w:w="6521" w:type="dxa"/>
            <w:shd w:val="clear" w:color="auto" w:fill="FFFFFF"/>
            <w:vAlign w:val="center"/>
          </w:tcPr>
          <w:p w14:paraId="4F7D967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436）对UPS内部整流器、逆变器、电池、旁路、负载等各部件的运行状态进行实时监视（监测内容由厂家的协议决定，不同品牌、型号的空调可能所监控到的内容不同），一旦有部件发生故障，系统会自动报警，并切换到相关报警界面。实时监视UPS的各种电压、电流、频率、功率等参数，并进行直观的图形界面显示。</w:t>
            </w:r>
          </w:p>
        </w:tc>
        <w:tc>
          <w:tcPr>
            <w:tcW w:w="992" w:type="dxa"/>
            <w:shd w:val="clear" w:color="auto" w:fill="FFFFFF"/>
            <w:vAlign w:val="center"/>
          </w:tcPr>
          <w:p w14:paraId="7025A2C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1DB1AB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3E3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053462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8</w:t>
            </w:r>
          </w:p>
        </w:tc>
        <w:tc>
          <w:tcPr>
            <w:tcW w:w="992" w:type="dxa"/>
            <w:shd w:val="clear" w:color="auto" w:fill="FFFFFF"/>
            <w:vAlign w:val="center"/>
          </w:tcPr>
          <w:p w14:paraId="2D7ECDC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精密空调通讯模块</w:t>
            </w:r>
          </w:p>
        </w:tc>
        <w:tc>
          <w:tcPr>
            <w:tcW w:w="6521" w:type="dxa"/>
            <w:shd w:val="clear" w:color="auto" w:fill="FFFFFF"/>
            <w:vAlign w:val="center"/>
          </w:tcPr>
          <w:p w14:paraId="54132C9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437）实时监视精密空调压缩机、风机、水泵、加热器、加湿器、去湿器、滤网、回风温度和湿度等的运行状态与参数，并可对精密空调实现远程开关机的控制（能监测到的具体内容由厂家的协议决定，不同品牌、型号的精密空调所监控到的内容不同）。同时支持与其它子系统的联动控制，如当温度过高时自动联动启动空调进行制冷。</w:t>
            </w:r>
          </w:p>
        </w:tc>
        <w:tc>
          <w:tcPr>
            <w:tcW w:w="992" w:type="dxa"/>
            <w:shd w:val="clear" w:color="auto" w:fill="FFFFFF"/>
            <w:vAlign w:val="center"/>
          </w:tcPr>
          <w:p w14:paraId="5C1844A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3B093C4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074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4DA63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9</w:t>
            </w:r>
          </w:p>
        </w:tc>
        <w:tc>
          <w:tcPr>
            <w:tcW w:w="992" w:type="dxa"/>
            <w:shd w:val="clear" w:color="auto" w:fill="FFFFFF"/>
            <w:vAlign w:val="center"/>
          </w:tcPr>
          <w:p w14:paraId="5D79853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配电监测模块</w:t>
            </w:r>
          </w:p>
        </w:tc>
        <w:tc>
          <w:tcPr>
            <w:tcW w:w="6521" w:type="dxa"/>
            <w:shd w:val="clear" w:color="auto" w:fill="FFFFFF"/>
            <w:vAlign w:val="center"/>
          </w:tcPr>
          <w:p w14:paraId="0DEFE18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（项号438）实时监测市电进线三相电的电压、相电流、线电压、线电流、有功、无功、视在功率、频率、功率因数、电度等参数。</w:t>
            </w:r>
          </w:p>
        </w:tc>
        <w:tc>
          <w:tcPr>
            <w:tcW w:w="992" w:type="dxa"/>
            <w:shd w:val="clear" w:color="auto" w:fill="FFFFFF"/>
            <w:vAlign w:val="center"/>
          </w:tcPr>
          <w:p w14:paraId="283CA20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01D8C2C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DC7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B3A7FE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50</w:t>
            </w:r>
          </w:p>
        </w:tc>
        <w:tc>
          <w:tcPr>
            <w:tcW w:w="992" w:type="dxa"/>
            <w:shd w:val="clear" w:color="auto" w:fill="FFFFFF"/>
            <w:vAlign w:val="center"/>
          </w:tcPr>
          <w:p w14:paraId="5AF970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非定位式水浸传感器</w:t>
            </w:r>
          </w:p>
        </w:tc>
        <w:tc>
          <w:tcPr>
            <w:tcW w:w="6521" w:type="dxa"/>
            <w:shd w:val="clear" w:color="auto" w:fill="FFFFFF"/>
          </w:tcPr>
          <w:p w14:paraId="67727AA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（项号439）1、控制器面板上有一个2位4档拨码开关，用户可根据检测环境的等级要求来选择不同的反应灵敏度；</w:t>
            </w:r>
          </w:p>
          <w:p w14:paraId="282199F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（项号440）2、适用标准工业模块、DIN导轨安装；</w:t>
            </w:r>
          </w:p>
          <w:p w14:paraId="6F70331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（项号441）3、反应时间 ≤2S；</w:t>
            </w:r>
          </w:p>
          <w:p w14:paraId="3EF33B7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（项号442）4、检测距离≥500米；</w:t>
            </w:r>
          </w:p>
          <w:p w14:paraId="21CA637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（项号443）5、环境额定值：</w:t>
            </w:r>
          </w:p>
          <w:p w14:paraId="270B1C6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5.1存储温度 -20 oC 至 60 oC（4  oF  至 140 oF ）；</w:t>
            </w:r>
          </w:p>
          <w:p w14:paraId="062289F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5.2工作温度 -10  oC 至 50 oC（14 oF  至 122 oF）；</w:t>
            </w:r>
          </w:p>
          <w:p w14:paraId="2104A1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5.3湿度 5%到95%RH（无冷凝）。</w:t>
            </w:r>
          </w:p>
        </w:tc>
        <w:tc>
          <w:tcPr>
            <w:tcW w:w="992" w:type="dxa"/>
            <w:shd w:val="clear" w:color="auto" w:fill="FFFFFF"/>
            <w:vAlign w:val="center"/>
          </w:tcPr>
          <w:p w14:paraId="153AC66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4CBA515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38E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3AD027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51</w:t>
            </w:r>
          </w:p>
        </w:tc>
        <w:tc>
          <w:tcPr>
            <w:tcW w:w="992" w:type="dxa"/>
            <w:shd w:val="clear" w:color="auto" w:fill="FFFFFF"/>
            <w:vAlign w:val="center"/>
          </w:tcPr>
          <w:p w14:paraId="40D8BFB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水浸绳</w:t>
            </w:r>
          </w:p>
        </w:tc>
        <w:tc>
          <w:tcPr>
            <w:tcW w:w="6521" w:type="dxa"/>
            <w:shd w:val="clear" w:color="auto" w:fill="FFFFFF"/>
            <w:vAlign w:val="center"/>
          </w:tcPr>
          <w:p w14:paraId="6B9E7ED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（项号444）1、采用两芯线设计，通用于任何基于短路原理的泄漏检测系统；</w:t>
            </w:r>
          </w:p>
          <w:p w14:paraId="3CE5AF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（项号445）2、采用螺旋结构可以减少环境电磁干扰机误报率，还大大提高了线缆的强度及使用寿命；</w:t>
            </w:r>
          </w:p>
          <w:p w14:paraId="27DE39D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（项号446）3、检测灵敏度高，反应迅速可靠；</w:t>
            </w:r>
          </w:p>
          <w:p w14:paraId="21B002C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（项号447）4、线缆直径≥6.0 mm；</w:t>
            </w:r>
          </w:p>
          <w:p w14:paraId="3DE31B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（项号448）5、检测导线外阻≤20欧姆/100m；</w:t>
            </w:r>
          </w:p>
          <w:p w14:paraId="21CF31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（项号449）6、线缆重量≥28g/米线缆颜色（骨架）黄色。</w:t>
            </w:r>
          </w:p>
        </w:tc>
        <w:tc>
          <w:tcPr>
            <w:tcW w:w="992" w:type="dxa"/>
            <w:shd w:val="clear" w:color="auto" w:fill="FFFFFF"/>
            <w:vAlign w:val="center"/>
          </w:tcPr>
          <w:p w14:paraId="208099C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条</w:t>
            </w:r>
          </w:p>
        </w:tc>
        <w:tc>
          <w:tcPr>
            <w:tcW w:w="1027" w:type="dxa"/>
            <w:shd w:val="clear" w:color="auto" w:fill="FFFFFF"/>
            <w:vAlign w:val="center"/>
          </w:tcPr>
          <w:p w14:paraId="2D793EB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6AD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341741C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52</w:t>
            </w:r>
          </w:p>
        </w:tc>
        <w:tc>
          <w:tcPr>
            <w:tcW w:w="992" w:type="dxa"/>
            <w:shd w:val="clear" w:color="auto" w:fill="FFFFFF"/>
            <w:vAlign w:val="center"/>
          </w:tcPr>
          <w:p w14:paraId="47FBACC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温湿度采集器</w:t>
            </w:r>
          </w:p>
        </w:tc>
        <w:tc>
          <w:tcPr>
            <w:tcW w:w="6521" w:type="dxa"/>
            <w:shd w:val="clear" w:color="auto" w:fill="FFFFFF"/>
            <w:vAlign w:val="center"/>
          </w:tcPr>
          <w:p w14:paraId="48404BB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（项号450）1、供电电源：≤12VDC；电流：≤10mA；</w:t>
            </w:r>
          </w:p>
          <w:p w14:paraId="3E50A92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（项号451）2、显示：数码显示测量值；测量范围：0~100﹪RH；</w:t>
            </w:r>
          </w:p>
          <w:p w14:paraId="42A9755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（项号452）3、精度：±3﹪RH；测温范围：－20~60℃；</w:t>
            </w:r>
          </w:p>
          <w:p w14:paraId="4E508F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（项号453）4、精度：±0.5℃（全量程内）；串行输出：RS485；</w:t>
            </w:r>
          </w:p>
          <w:p w14:paraId="0B4620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（项号454）5、工作环境：－20~60℃，0~100%RH；</w:t>
            </w:r>
          </w:p>
          <w:p w14:paraId="7473594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（项号455）6、通讯协议采用标准MODBUS协议，与软件平台为同一品牌；</w:t>
            </w:r>
          </w:p>
        </w:tc>
        <w:tc>
          <w:tcPr>
            <w:tcW w:w="992" w:type="dxa"/>
            <w:shd w:val="clear" w:color="auto" w:fill="FFFFFF"/>
            <w:vAlign w:val="center"/>
          </w:tcPr>
          <w:p w14:paraId="7F0DD2D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1EE80F5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DA0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65064A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53</w:t>
            </w:r>
          </w:p>
        </w:tc>
        <w:tc>
          <w:tcPr>
            <w:tcW w:w="992" w:type="dxa"/>
            <w:shd w:val="clear" w:color="auto" w:fill="FFFFFF"/>
            <w:vAlign w:val="center"/>
          </w:tcPr>
          <w:p w14:paraId="24607E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烟雾传感器</w:t>
            </w:r>
          </w:p>
        </w:tc>
        <w:tc>
          <w:tcPr>
            <w:tcW w:w="6521" w:type="dxa"/>
            <w:shd w:val="clear" w:color="auto" w:fill="FFFFFF"/>
            <w:vAlign w:val="center"/>
          </w:tcPr>
          <w:p w14:paraId="10B91A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（项号456）1、采用低功耗CMOS微处理器；</w:t>
            </w:r>
          </w:p>
          <w:p w14:paraId="7AD2379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（项号457）2、特殊防潮设计；</w:t>
            </w:r>
          </w:p>
          <w:p w14:paraId="139152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（项号458）3、联网输出方式；</w:t>
            </w:r>
          </w:p>
          <w:p w14:paraId="4244D95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（项号459）4、具有手动测试、手动复位功能；</w:t>
            </w:r>
          </w:p>
          <w:p w14:paraId="58D0AE6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（项号460）5、金属屏蔽罩，抗高频干扰；</w:t>
            </w:r>
          </w:p>
          <w:p w14:paraId="40C87E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（项号461）6、结构设计独特，防尘、防虫、抗外界光线干扰。</w:t>
            </w:r>
          </w:p>
        </w:tc>
        <w:tc>
          <w:tcPr>
            <w:tcW w:w="992" w:type="dxa"/>
            <w:shd w:val="clear" w:color="auto" w:fill="FFFFFF"/>
            <w:vAlign w:val="center"/>
          </w:tcPr>
          <w:p w14:paraId="2CE16D0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18EE829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39FD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5FEC7E4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54</w:t>
            </w:r>
          </w:p>
        </w:tc>
        <w:tc>
          <w:tcPr>
            <w:tcW w:w="992" w:type="dxa"/>
            <w:shd w:val="clear" w:color="auto" w:fill="FFFFFF"/>
            <w:vAlign w:val="center"/>
          </w:tcPr>
          <w:p w14:paraId="279C39F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摄像头 </w:t>
            </w:r>
          </w:p>
        </w:tc>
        <w:tc>
          <w:tcPr>
            <w:tcW w:w="6521" w:type="dxa"/>
            <w:shd w:val="clear" w:color="auto" w:fill="FFFFFF"/>
            <w:vAlign w:val="center"/>
          </w:tcPr>
          <w:p w14:paraId="52580C1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（项号462）≥200万1/2.7”CMOS ICR日夜型半球型网络摄像机、POE供电。</w:t>
            </w:r>
          </w:p>
        </w:tc>
        <w:tc>
          <w:tcPr>
            <w:tcW w:w="992" w:type="dxa"/>
            <w:shd w:val="clear" w:color="auto" w:fill="FFFFFF"/>
            <w:vAlign w:val="center"/>
          </w:tcPr>
          <w:p w14:paraId="414A8A1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1A61648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r>
      <w:tr w14:paraId="505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2BB5994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55</w:t>
            </w:r>
          </w:p>
        </w:tc>
        <w:tc>
          <w:tcPr>
            <w:tcW w:w="992" w:type="dxa"/>
            <w:shd w:val="clear" w:color="auto" w:fill="FFFFFF"/>
            <w:vAlign w:val="center"/>
          </w:tcPr>
          <w:p w14:paraId="4FCF2F4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NVR</w:t>
            </w:r>
          </w:p>
        </w:tc>
        <w:tc>
          <w:tcPr>
            <w:tcW w:w="6521" w:type="dxa"/>
            <w:shd w:val="clear" w:color="auto" w:fill="FFFFFF"/>
            <w:vAlign w:val="center"/>
          </w:tcPr>
          <w:p w14:paraId="0619625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（项号463）≥1U小机箱/IP存储/DSP+ARM架构/嵌入式软硬件设计、≥1盘位，最大支持8TB硬盘\POE供电。</w:t>
            </w:r>
          </w:p>
        </w:tc>
        <w:tc>
          <w:tcPr>
            <w:tcW w:w="992" w:type="dxa"/>
            <w:shd w:val="clear" w:color="auto" w:fill="FFFFFF"/>
            <w:vAlign w:val="center"/>
          </w:tcPr>
          <w:p w14:paraId="21D53D3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27" w:type="dxa"/>
            <w:shd w:val="clear" w:color="auto" w:fill="FFFFFF"/>
            <w:vAlign w:val="center"/>
          </w:tcPr>
          <w:p w14:paraId="7199E81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41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5D152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6</w:t>
            </w:r>
          </w:p>
        </w:tc>
        <w:tc>
          <w:tcPr>
            <w:tcW w:w="992" w:type="dxa"/>
            <w:shd w:val="clear" w:color="auto" w:fill="FFFFFF"/>
            <w:vAlign w:val="center"/>
          </w:tcPr>
          <w:p w14:paraId="1760108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专用硬盘</w:t>
            </w:r>
          </w:p>
        </w:tc>
        <w:tc>
          <w:tcPr>
            <w:tcW w:w="6521" w:type="dxa"/>
            <w:shd w:val="clear" w:color="auto" w:fill="FFFFFF"/>
            <w:vAlign w:val="center"/>
          </w:tcPr>
          <w:p w14:paraId="1081243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（项号464）</w:t>
            </w:r>
            <w:r>
              <w:rPr>
                <w:rFonts w:hint="eastAsia" w:asciiTheme="minorEastAsia" w:hAnsiTheme="minorEastAsia" w:eastAsiaTheme="minorEastAsia" w:cstheme="minorEastAsia"/>
              </w:rPr>
              <w:t>4TB/64MB(6Gb/秒 NCQ)/5900RPM/SATA3</w:t>
            </w:r>
            <w:r>
              <w:rPr>
                <w:rFonts w:hint="eastAsia" w:asciiTheme="minorEastAsia" w:hAnsiTheme="minorEastAsia" w:eastAsiaTheme="minorEastAsia" w:cstheme="minorEastAsia"/>
                <w:lang w:eastAsia="zh-CN"/>
              </w:rPr>
              <w:t>。</w:t>
            </w:r>
          </w:p>
        </w:tc>
        <w:tc>
          <w:tcPr>
            <w:tcW w:w="992" w:type="dxa"/>
            <w:shd w:val="clear" w:color="auto" w:fill="FFFFFF"/>
            <w:vAlign w:val="center"/>
          </w:tcPr>
          <w:p w14:paraId="4B809E6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块</w:t>
            </w:r>
          </w:p>
        </w:tc>
        <w:tc>
          <w:tcPr>
            <w:tcW w:w="1027" w:type="dxa"/>
            <w:shd w:val="clear" w:color="auto" w:fill="FFFFFF"/>
            <w:vAlign w:val="center"/>
          </w:tcPr>
          <w:p w14:paraId="5D312F7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D4D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03FEA1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7</w:t>
            </w:r>
          </w:p>
        </w:tc>
        <w:tc>
          <w:tcPr>
            <w:tcW w:w="992" w:type="dxa"/>
            <w:shd w:val="clear" w:color="auto" w:fill="FFFFFF"/>
            <w:vAlign w:val="center"/>
          </w:tcPr>
          <w:p w14:paraId="610C848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人脸门禁一体机</w:t>
            </w:r>
          </w:p>
        </w:tc>
        <w:tc>
          <w:tcPr>
            <w:tcW w:w="6521" w:type="dxa"/>
            <w:shd w:val="clear" w:color="auto" w:fill="FFFFFF"/>
            <w:vAlign w:val="center"/>
          </w:tcPr>
          <w:p w14:paraId="4122482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（项号465）1、≥7英寸触摸显示屏，屏幕比例9:16，屏幕分辨率 ≥600*1024；</w:t>
            </w:r>
          </w:p>
          <w:p w14:paraId="208FCB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（项号466）2、摄像头参数：采用宽动态 ≥200万双目摄像头；</w:t>
            </w:r>
          </w:p>
          <w:p w14:paraId="01D446D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（项号467）3、认证方式：支持人脸、刷卡（IC卡、手机NFC卡、CPU卡序列号/内容、身份证卡序列号）、密码认证方式，可外接身份证、指纹、蓝牙、二维码功能模块；</w:t>
            </w:r>
          </w:p>
          <w:p w14:paraId="460333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（项号468）4、人脸识别：采用深度学习算法，支持单人或多人识别（≥5人同时认证）功能；支持照片、视频防假；1:N人脸识别速度≤0.2s，人脸验证准确率≥99%；</w:t>
            </w:r>
          </w:p>
          <w:p w14:paraId="0EDFA76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（项号469）5、存储容量：本地支持 ≥10000人脸库、 ≥50000张卡，15万条事件记录；</w:t>
            </w:r>
          </w:p>
          <w:p w14:paraId="54943D3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（项号470）6、使用环境：≥IP65，室内外环境（室外使用必须搭配遮阳罩）。</w:t>
            </w:r>
          </w:p>
        </w:tc>
        <w:tc>
          <w:tcPr>
            <w:tcW w:w="992" w:type="dxa"/>
            <w:shd w:val="clear" w:color="auto" w:fill="FFFFFF"/>
            <w:vAlign w:val="center"/>
          </w:tcPr>
          <w:p w14:paraId="60BA76D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02D4C2A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7305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6FA8794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8</w:t>
            </w:r>
          </w:p>
        </w:tc>
        <w:tc>
          <w:tcPr>
            <w:tcW w:w="992" w:type="dxa"/>
            <w:shd w:val="clear" w:color="auto" w:fill="FFFFFF"/>
            <w:vAlign w:val="center"/>
          </w:tcPr>
          <w:p w14:paraId="44FBFA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磁力锁</w:t>
            </w:r>
          </w:p>
        </w:tc>
        <w:tc>
          <w:tcPr>
            <w:tcW w:w="6521" w:type="dxa"/>
            <w:shd w:val="clear" w:color="auto" w:fill="FFFFFF"/>
            <w:vAlign w:val="center"/>
          </w:tcPr>
          <w:p w14:paraId="3106AB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（项号471）1、支持双门；</w:t>
            </w:r>
          </w:p>
          <w:p w14:paraId="703E75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（项号472）2、工作电压：≤12V；</w:t>
            </w:r>
          </w:p>
          <w:p w14:paraId="64FA904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（项号473）3、工作电流：≤12V/0.45A；</w:t>
            </w:r>
          </w:p>
          <w:p w14:paraId="1E05F83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（项号474）4、加强型安装；</w:t>
            </w:r>
          </w:p>
          <w:p w14:paraId="594C1F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（项号475）5、可承受力: ≥280Kg；</w:t>
            </w:r>
          </w:p>
          <w:p w14:paraId="708AB40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（项号476）6、适用于:金属门、木门、防盗门、玻璃门。</w:t>
            </w:r>
          </w:p>
        </w:tc>
        <w:tc>
          <w:tcPr>
            <w:tcW w:w="992" w:type="dxa"/>
            <w:shd w:val="clear" w:color="auto" w:fill="FFFFFF"/>
            <w:vAlign w:val="center"/>
          </w:tcPr>
          <w:p w14:paraId="606B526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6D4CBBC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90D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7A267E2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9</w:t>
            </w:r>
          </w:p>
        </w:tc>
        <w:tc>
          <w:tcPr>
            <w:tcW w:w="992" w:type="dxa"/>
            <w:shd w:val="clear" w:color="auto" w:fill="FFFFFF"/>
            <w:vAlign w:val="center"/>
          </w:tcPr>
          <w:p w14:paraId="3A1958B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出门按钮</w:t>
            </w:r>
          </w:p>
        </w:tc>
        <w:tc>
          <w:tcPr>
            <w:tcW w:w="6521" w:type="dxa"/>
            <w:shd w:val="clear" w:color="auto" w:fill="FFFFFF"/>
            <w:noWrap/>
            <w:vAlign w:val="center"/>
          </w:tcPr>
          <w:p w14:paraId="0D3D3C4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（项号477）</w:t>
            </w:r>
            <w:r>
              <w:rPr>
                <w:rFonts w:hint="eastAsia" w:asciiTheme="minorEastAsia" w:hAnsiTheme="minorEastAsia" w:eastAsiaTheme="minorEastAsia" w:cstheme="minorEastAsia"/>
              </w:rPr>
              <w:t>86式</w:t>
            </w:r>
            <w:r>
              <w:rPr>
                <w:rFonts w:hint="eastAsia" w:asciiTheme="minorEastAsia" w:hAnsiTheme="minorEastAsia" w:eastAsiaTheme="minorEastAsia" w:cstheme="minorEastAsia"/>
                <w:lang w:eastAsia="zh-CN"/>
              </w:rPr>
              <w:t>。</w:t>
            </w:r>
          </w:p>
        </w:tc>
        <w:tc>
          <w:tcPr>
            <w:tcW w:w="992" w:type="dxa"/>
            <w:shd w:val="clear" w:color="auto" w:fill="FFFFFF"/>
            <w:vAlign w:val="center"/>
          </w:tcPr>
          <w:p w14:paraId="0777F01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6BCA6D2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3BD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260F8C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60</w:t>
            </w:r>
          </w:p>
        </w:tc>
        <w:tc>
          <w:tcPr>
            <w:tcW w:w="992" w:type="dxa"/>
            <w:shd w:val="clear" w:color="auto" w:fill="FFFFFF"/>
            <w:vAlign w:val="center"/>
          </w:tcPr>
          <w:p w14:paraId="422C5DC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感应卡</w:t>
            </w:r>
          </w:p>
        </w:tc>
        <w:tc>
          <w:tcPr>
            <w:tcW w:w="6521" w:type="dxa"/>
            <w:shd w:val="clear" w:color="auto" w:fill="FFFFFF"/>
            <w:noWrap/>
            <w:vAlign w:val="center"/>
          </w:tcPr>
          <w:p w14:paraId="2B21807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（项号478）</w:t>
            </w:r>
            <w:r>
              <w:rPr>
                <w:rFonts w:hint="eastAsia" w:asciiTheme="minorEastAsia" w:hAnsiTheme="minorEastAsia" w:eastAsiaTheme="minorEastAsia" w:cstheme="minorEastAsia"/>
              </w:rPr>
              <w:t>IC卡</w:t>
            </w:r>
            <w:r>
              <w:rPr>
                <w:rFonts w:hint="eastAsia" w:asciiTheme="minorEastAsia" w:hAnsiTheme="minorEastAsia" w:eastAsiaTheme="minorEastAsia" w:cstheme="minorEastAsia"/>
                <w:lang w:eastAsia="zh-CN"/>
              </w:rPr>
              <w:t>。</w:t>
            </w:r>
          </w:p>
        </w:tc>
        <w:tc>
          <w:tcPr>
            <w:tcW w:w="992" w:type="dxa"/>
            <w:shd w:val="clear" w:color="auto" w:fill="FFFFFF"/>
            <w:vAlign w:val="center"/>
          </w:tcPr>
          <w:p w14:paraId="2796645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张</w:t>
            </w:r>
          </w:p>
        </w:tc>
        <w:tc>
          <w:tcPr>
            <w:tcW w:w="1027" w:type="dxa"/>
            <w:shd w:val="clear" w:color="auto" w:fill="FFFFFF"/>
            <w:vAlign w:val="center"/>
          </w:tcPr>
          <w:p w14:paraId="69A0976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10 </w:t>
            </w:r>
          </w:p>
        </w:tc>
      </w:tr>
      <w:tr w14:paraId="307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4480E34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61</w:t>
            </w:r>
          </w:p>
        </w:tc>
        <w:tc>
          <w:tcPr>
            <w:tcW w:w="992" w:type="dxa"/>
            <w:shd w:val="clear" w:color="auto" w:fill="FFFFFF"/>
            <w:vAlign w:val="center"/>
          </w:tcPr>
          <w:p w14:paraId="49226C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告警模块</w:t>
            </w:r>
          </w:p>
        </w:tc>
        <w:tc>
          <w:tcPr>
            <w:tcW w:w="6521" w:type="dxa"/>
            <w:shd w:val="clear" w:color="auto" w:fill="FFFFFF"/>
            <w:noWrap/>
            <w:vAlign w:val="center"/>
          </w:tcPr>
          <w:p w14:paraId="12C76E5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（项号479）1、通过手机短信发送报警信息；</w:t>
            </w:r>
          </w:p>
          <w:p w14:paraId="118C1B2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480）2、短信模块：标准工业级规范设计，支持PDU和TXT短信格式，具有中文短信收发、英文短信收发以及无线上网功能。提供串口RS232标准接口（可自己添加USB转换线，支持USB接口），直接与用户电脑或者工控设备连接，实现短消息收发功能。</w:t>
            </w:r>
          </w:p>
        </w:tc>
        <w:tc>
          <w:tcPr>
            <w:tcW w:w="992" w:type="dxa"/>
            <w:shd w:val="clear" w:color="auto" w:fill="FFFFFF"/>
            <w:vAlign w:val="center"/>
          </w:tcPr>
          <w:p w14:paraId="5E93B57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5021728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5E8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16BBE2A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62</w:t>
            </w:r>
          </w:p>
        </w:tc>
        <w:tc>
          <w:tcPr>
            <w:tcW w:w="992" w:type="dxa"/>
            <w:shd w:val="clear" w:color="auto" w:fill="FFFFFF"/>
            <w:vAlign w:val="center"/>
          </w:tcPr>
          <w:p w14:paraId="552D6F9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控制箱</w:t>
            </w:r>
          </w:p>
        </w:tc>
        <w:tc>
          <w:tcPr>
            <w:tcW w:w="6521" w:type="dxa"/>
            <w:shd w:val="clear" w:color="auto" w:fill="FFFFFF"/>
            <w:noWrap/>
            <w:vAlign w:val="center"/>
          </w:tcPr>
          <w:p w14:paraId="7BF012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（项号481）尺寸≥400*300*100mm；≤DC12V（含工业电源模块）。</w:t>
            </w:r>
          </w:p>
        </w:tc>
        <w:tc>
          <w:tcPr>
            <w:tcW w:w="992" w:type="dxa"/>
            <w:shd w:val="clear" w:color="auto" w:fill="FFFFFF"/>
            <w:vAlign w:val="center"/>
          </w:tcPr>
          <w:p w14:paraId="0F776CA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27" w:type="dxa"/>
            <w:shd w:val="clear" w:color="auto" w:fill="FFFFFF"/>
            <w:vAlign w:val="center"/>
          </w:tcPr>
          <w:p w14:paraId="640D541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bookmarkEnd w:id="4"/>
      <w:tr w14:paraId="5D4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shd w:val="clear" w:color="auto" w:fill="auto"/>
            <w:vAlign w:val="center"/>
          </w:tcPr>
          <w:p w14:paraId="07F763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63</w:t>
            </w:r>
          </w:p>
        </w:tc>
        <w:tc>
          <w:tcPr>
            <w:tcW w:w="992" w:type="dxa"/>
            <w:shd w:val="clear" w:color="auto" w:fill="FFFFFF"/>
            <w:vAlign w:val="center"/>
          </w:tcPr>
          <w:p w14:paraId="21517E6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监控辅材</w:t>
            </w:r>
          </w:p>
        </w:tc>
        <w:tc>
          <w:tcPr>
            <w:tcW w:w="6521" w:type="dxa"/>
            <w:shd w:val="clear" w:color="auto" w:fill="FFFFFF"/>
            <w:noWrap/>
            <w:vAlign w:val="center"/>
          </w:tcPr>
          <w:p w14:paraId="6F28672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（项号482）监控配套线材、标签等。</w:t>
            </w:r>
          </w:p>
        </w:tc>
        <w:tc>
          <w:tcPr>
            <w:tcW w:w="992" w:type="dxa"/>
            <w:shd w:val="clear" w:color="auto" w:fill="FFFFFF"/>
            <w:vAlign w:val="center"/>
          </w:tcPr>
          <w:p w14:paraId="314B62B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27" w:type="dxa"/>
            <w:shd w:val="clear" w:color="auto" w:fill="FFFFFF"/>
            <w:vAlign w:val="center"/>
          </w:tcPr>
          <w:p w14:paraId="65945F8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47B69C1F">
      <w:pPr>
        <w:rPr>
          <w:rFonts w:hint="eastAsia" w:asciiTheme="minorEastAsia" w:hAnsiTheme="minorEastAsia" w:eastAsiaTheme="minorEastAsia" w:cstheme="minorEastAsia"/>
        </w:rPr>
      </w:pPr>
    </w:p>
    <w:tbl>
      <w:tblPr>
        <w:tblStyle w:val="16"/>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2"/>
        <w:gridCol w:w="6521"/>
        <w:gridCol w:w="992"/>
        <w:gridCol w:w="1036"/>
      </w:tblGrid>
      <w:tr w14:paraId="42DE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auto"/>
            <w:vAlign w:val="center"/>
          </w:tcPr>
          <w:p w14:paraId="702D6F0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计算机网络</w:t>
            </w:r>
          </w:p>
        </w:tc>
      </w:tr>
      <w:tr w14:paraId="737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auto"/>
            <w:vAlign w:val="center"/>
          </w:tcPr>
          <w:p w14:paraId="7322DD4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编号 </w:t>
            </w:r>
          </w:p>
        </w:tc>
        <w:tc>
          <w:tcPr>
            <w:tcW w:w="992" w:type="dxa"/>
            <w:shd w:val="clear" w:color="auto" w:fill="auto"/>
            <w:vAlign w:val="center"/>
          </w:tcPr>
          <w:p w14:paraId="6D4B7F5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noWrap/>
            <w:vAlign w:val="center"/>
          </w:tcPr>
          <w:p w14:paraId="1AEBA79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582F11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36" w:type="dxa"/>
            <w:shd w:val="clear" w:color="auto" w:fill="auto"/>
            <w:vAlign w:val="center"/>
          </w:tcPr>
          <w:p w14:paraId="1EA1F9D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3BB3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FFFFFF"/>
            <w:noWrap/>
            <w:vAlign w:val="center"/>
          </w:tcPr>
          <w:p w14:paraId="0772D1B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（一）政务信息网</w:t>
            </w:r>
          </w:p>
        </w:tc>
      </w:tr>
      <w:tr w14:paraId="3BC4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00990D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FFFFFF"/>
            <w:vAlign w:val="center"/>
          </w:tcPr>
          <w:p w14:paraId="481642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业务汇聚交换机</w:t>
            </w:r>
          </w:p>
        </w:tc>
        <w:tc>
          <w:tcPr>
            <w:tcW w:w="6521" w:type="dxa"/>
            <w:shd w:val="clear" w:color="auto" w:fill="FFFFFF"/>
            <w:noWrap/>
            <w:vAlign w:val="center"/>
          </w:tcPr>
          <w:p w14:paraId="4B9DA5E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（项号483）1、端口：≥24个千兆以太网光接口，≥4个万兆光接口；≥12个千兆光模块，≥2个万兆光模块；</w:t>
            </w:r>
          </w:p>
          <w:p w14:paraId="0C3760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（项号484）2、传输速率：10/100/1000Mbps；</w:t>
            </w:r>
          </w:p>
          <w:p w14:paraId="296EA7F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（项号485）3、交换容量：≥336Gbps；</w:t>
            </w:r>
          </w:p>
          <w:p w14:paraId="2393DF4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（项号486）4、包转发率：≥190Mpps；</w:t>
            </w:r>
          </w:p>
          <w:p w14:paraId="145FEF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（项号487）5、堆叠功能：支持可堆叠。</w:t>
            </w:r>
          </w:p>
        </w:tc>
        <w:tc>
          <w:tcPr>
            <w:tcW w:w="992" w:type="dxa"/>
            <w:shd w:val="clear" w:color="auto" w:fill="FFFFFF"/>
            <w:vAlign w:val="center"/>
          </w:tcPr>
          <w:p w14:paraId="1E15CE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30850E2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3B0A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5A315E5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FFFFFF"/>
            <w:vAlign w:val="center"/>
          </w:tcPr>
          <w:p w14:paraId="5429183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终端接入交换机</w:t>
            </w:r>
          </w:p>
        </w:tc>
        <w:tc>
          <w:tcPr>
            <w:tcW w:w="6521" w:type="dxa"/>
            <w:shd w:val="clear" w:color="auto" w:fill="FFFFFF"/>
            <w:noWrap/>
            <w:vAlign w:val="center"/>
          </w:tcPr>
          <w:p w14:paraId="65E85A9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（项号488）1、业务端口：≥24 千兆 10/100/1000M RJ45电口+4 千兆 SFP光口；</w:t>
            </w:r>
          </w:p>
          <w:p w14:paraId="1AE01CF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（项号489）2、交换容量 ：≥104Gbps；</w:t>
            </w:r>
          </w:p>
          <w:p w14:paraId="0F3CFFA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（项号490）3、包转发率： ≥96Mpps。</w:t>
            </w:r>
          </w:p>
        </w:tc>
        <w:tc>
          <w:tcPr>
            <w:tcW w:w="992" w:type="dxa"/>
            <w:shd w:val="clear" w:color="auto" w:fill="FFFFFF"/>
            <w:vAlign w:val="center"/>
          </w:tcPr>
          <w:p w14:paraId="3819CA8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78E1EF4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5B79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FFFFFF"/>
            <w:noWrap/>
            <w:vAlign w:val="center"/>
          </w:tcPr>
          <w:p w14:paraId="0AA7502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（二）智能化设备局域网</w:t>
            </w:r>
          </w:p>
        </w:tc>
      </w:tr>
      <w:tr w14:paraId="26F6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2546205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FFFFFF"/>
            <w:vAlign w:val="center"/>
          </w:tcPr>
          <w:p w14:paraId="312958A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汇聚交换机</w:t>
            </w:r>
          </w:p>
        </w:tc>
        <w:tc>
          <w:tcPr>
            <w:tcW w:w="6521" w:type="dxa"/>
            <w:shd w:val="clear" w:color="auto" w:fill="FFFFFF"/>
            <w:noWrap/>
            <w:vAlign w:val="center"/>
          </w:tcPr>
          <w:p w14:paraId="13D9946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（项号491）1、端口：≥24个10/100/1000Base-T以太网端口；</w:t>
            </w:r>
          </w:p>
          <w:p w14:paraId="4274C6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（项号492）2、传输速率：10/100/1000Mbps；</w:t>
            </w:r>
          </w:p>
          <w:p w14:paraId="225D203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（项号493）3、背板带宽：≥336Gbps；</w:t>
            </w:r>
          </w:p>
          <w:p w14:paraId="64D5C6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（项号494）4、包转发率：≥108Mpps；</w:t>
            </w:r>
          </w:p>
          <w:p w14:paraId="652D87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（项号495）5、堆叠功能：支持可堆叠。</w:t>
            </w:r>
          </w:p>
        </w:tc>
        <w:tc>
          <w:tcPr>
            <w:tcW w:w="992" w:type="dxa"/>
            <w:shd w:val="clear" w:color="auto" w:fill="FFFFFF"/>
            <w:vAlign w:val="center"/>
          </w:tcPr>
          <w:p w14:paraId="1B162D2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6C21118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5B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6AEA322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shd w:val="clear" w:color="auto" w:fill="FFFFFF"/>
            <w:vAlign w:val="center"/>
          </w:tcPr>
          <w:p w14:paraId="25AA35D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POE接入交换机</w:t>
            </w:r>
          </w:p>
        </w:tc>
        <w:tc>
          <w:tcPr>
            <w:tcW w:w="6521" w:type="dxa"/>
            <w:shd w:val="clear" w:color="auto" w:fill="FFFFFF"/>
            <w:noWrap/>
            <w:vAlign w:val="center"/>
          </w:tcPr>
          <w:p w14:paraId="38CF7AA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（项号496）1、千兆，POE供电；</w:t>
            </w:r>
          </w:p>
          <w:p w14:paraId="609D436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（项号497）2、端口：≥48个；</w:t>
            </w:r>
          </w:p>
          <w:p w14:paraId="098F16C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（项号498）3、传输速率：10/100/1000Mbps；</w:t>
            </w:r>
          </w:p>
          <w:p w14:paraId="4ADC58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（项号499）4、背板带宽：≥336gbps；</w:t>
            </w:r>
          </w:p>
          <w:p w14:paraId="4FCC7E2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（项号500）5、包转发率：≥144Mpps。</w:t>
            </w:r>
          </w:p>
        </w:tc>
        <w:tc>
          <w:tcPr>
            <w:tcW w:w="992" w:type="dxa"/>
            <w:shd w:val="clear" w:color="auto" w:fill="FFFFFF"/>
            <w:vAlign w:val="center"/>
          </w:tcPr>
          <w:p w14:paraId="02303D2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6DF61B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402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FFFFFF"/>
            <w:vAlign w:val="center"/>
          </w:tcPr>
          <w:p w14:paraId="247D8E8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（三）其它网络信息点接入</w:t>
            </w:r>
          </w:p>
        </w:tc>
      </w:tr>
      <w:tr w14:paraId="25D3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1EFE10D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shd w:val="clear" w:color="auto" w:fill="FFFFFF"/>
            <w:vAlign w:val="center"/>
          </w:tcPr>
          <w:p w14:paraId="7F867C6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互联网接入交换机</w:t>
            </w:r>
          </w:p>
        </w:tc>
        <w:tc>
          <w:tcPr>
            <w:tcW w:w="6521" w:type="dxa"/>
            <w:shd w:val="clear" w:color="auto" w:fill="FFFFFF"/>
            <w:noWrap/>
            <w:vAlign w:val="center"/>
          </w:tcPr>
          <w:p w14:paraId="1E6910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（项号501）1、端口：≥24个10/100/1000Base-T以太网端口；</w:t>
            </w:r>
          </w:p>
          <w:p w14:paraId="60D1450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（项号502）2、传输速率：10/100/1000Mbps；</w:t>
            </w:r>
          </w:p>
          <w:p w14:paraId="7E9E435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（项号503）3、背板带宽：≥192Gbps；</w:t>
            </w:r>
          </w:p>
          <w:p w14:paraId="6FBB0BF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（项号504）4、包转发率：≥42Mpps；</w:t>
            </w:r>
          </w:p>
          <w:p w14:paraId="4D26ADC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（项号505）5、堆叠功能：支持可堆叠。</w:t>
            </w:r>
          </w:p>
        </w:tc>
        <w:tc>
          <w:tcPr>
            <w:tcW w:w="992" w:type="dxa"/>
            <w:shd w:val="clear" w:color="auto" w:fill="FFFFFF"/>
            <w:vAlign w:val="center"/>
          </w:tcPr>
          <w:p w14:paraId="2D00C8B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3898C37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7694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01D48E7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shd w:val="clear" w:color="auto" w:fill="FFFFFF"/>
            <w:vAlign w:val="center"/>
          </w:tcPr>
          <w:p w14:paraId="5DFE07D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外出押解专网接入交换机</w:t>
            </w:r>
          </w:p>
        </w:tc>
        <w:tc>
          <w:tcPr>
            <w:tcW w:w="6521" w:type="dxa"/>
            <w:shd w:val="clear" w:color="auto" w:fill="FFFFFF"/>
            <w:noWrap/>
            <w:vAlign w:val="center"/>
          </w:tcPr>
          <w:p w14:paraId="05AA20C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（项号506）1、端口：≥24个10/100/1000Base-T以太网端口；</w:t>
            </w:r>
          </w:p>
          <w:p w14:paraId="59684C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（项号507）2、传输速率：10/100/1000Mbps；</w:t>
            </w:r>
          </w:p>
          <w:p w14:paraId="4391166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（项号508）3、背板带宽：≥192Gbps；</w:t>
            </w:r>
          </w:p>
          <w:p w14:paraId="6A55AFC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（项号509）4、包转发率：≥42Mpps；</w:t>
            </w:r>
          </w:p>
          <w:p w14:paraId="25F0B5E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（项号510）5、堆叠功能：支持可堆叠。</w:t>
            </w:r>
          </w:p>
        </w:tc>
        <w:tc>
          <w:tcPr>
            <w:tcW w:w="992" w:type="dxa"/>
            <w:shd w:val="clear" w:color="auto" w:fill="FFFFFF"/>
            <w:vAlign w:val="center"/>
          </w:tcPr>
          <w:p w14:paraId="32CD6A4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3A398D6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8CA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7B0133E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shd w:val="clear" w:color="auto" w:fill="FFFFFF"/>
            <w:vAlign w:val="center"/>
          </w:tcPr>
          <w:p w14:paraId="514F058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政务外网接入交换机</w:t>
            </w:r>
          </w:p>
        </w:tc>
        <w:tc>
          <w:tcPr>
            <w:tcW w:w="6521" w:type="dxa"/>
            <w:shd w:val="clear" w:color="auto" w:fill="FFFFFF"/>
            <w:noWrap/>
            <w:vAlign w:val="center"/>
          </w:tcPr>
          <w:p w14:paraId="7CF9CE9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（项号511）1、端口：≥24个10/100/1000Base-T以太网端口；</w:t>
            </w:r>
          </w:p>
          <w:p w14:paraId="6F1F7B1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（项号512）2、传输速率：10/100/1000Mbps；</w:t>
            </w:r>
          </w:p>
          <w:p w14:paraId="7E8483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（项号513）3、背板带宽：≥192Gbps；</w:t>
            </w:r>
          </w:p>
          <w:p w14:paraId="7E129B6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（项号514）4、包转发率：≥42Mpps；</w:t>
            </w:r>
          </w:p>
          <w:p w14:paraId="19E272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（项号515）5、堆叠功能：支持可堆叠。</w:t>
            </w:r>
          </w:p>
        </w:tc>
        <w:tc>
          <w:tcPr>
            <w:tcW w:w="992" w:type="dxa"/>
            <w:shd w:val="clear" w:color="auto" w:fill="FFFFFF"/>
            <w:vAlign w:val="center"/>
          </w:tcPr>
          <w:p w14:paraId="44F7B7E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201EC14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AFC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5CA5AAC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shd w:val="clear" w:color="auto" w:fill="FFFFFF"/>
            <w:vAlign w:val="center"/>
          </w:tcPr>
          <w:p w14:paraId="167B5EF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生产网接入交换机</w:t>
            </w:r>
          </w:p>
        </w:tc>
        <w:tc>
          <w:tcPr>
            <w:tcW w:w="6521" w:type="dxa"/>
            <w:shd w:val="clear" w:color="auto" w:fill="FFFFFF"/>
            <w:noWrap/>
            <w:vAlign w:val="center"/>
          </w:tcPr>
          <w:p w14:paraId="6811682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（项号516）1、端口：≥24个10/100/1000Base-T以太网端口；</w:t>
            </w:r>
          </w:p>
          <w:p w14:paraId="0BA866E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（项号517）2、传输速率：10/100/1000Mbps；</w:t>
            </w:r>
          </w:p>
          <w:p w14:paraId="7F8860E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（项号518）3、背板带宽：≥192Gbps；</w:t>
            </w:r>
          </w:p>
          <w:p w14:paraId="488A409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（项号519）4、包转发率：≥42Mpps；</w:t>
            </w:r>
          </w:p>
          <w:p w14:paraId="586368A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（项号520）5、堆叠功能：支持可堆叠。</w:t>
            </w:r>
          </w:p>
        </w:tc>
        <w:tc>
          <w:tcPr>
            <w:tcW w:w="992" w:type="dxa"/>
            <w:shd w:val="clear" w:color="auto" w:fill="FFFFFF"/>
            <w:vAlign w:val="center"/>
          </w:tcPr>
          <w:p w14:paraId="155D907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17D83B1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F99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5B2E105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shd w:val="clear" w:color="auto" w:fill="FFFFFF"/>
            <w:vAlign w:val="center"/>
          </w:tcPr>
          <w:p w14:paraId="731FB4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千兆光模块</w:t>
            </w:r>
          </w:p>
        </w:tc>
        <w:tc>
          <w:tcPr>
            <w:tcW w:w="6521" w:type="dxa"/>
            <w:shd w:val="clear" w:color="auto" w:fill="FFFFFF"/>
            <w:noWrap/>
            <w:vAlign w:val="center"/>
          </w:tcPr>
          <w:p w14:paraId="758127F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（项号521）单模模块-(1310nm,10km,LC)。</w:t>
            </w:r>
          </w:p>
        </w:tc>
        <w:tc>
          <w:tcPr>
            <w:tcW w:w="992" w:type="dxa"/>
            <w:shd w:val="clear" w:color="auto" w:fill="FFFFFF"/>
            <w:vAlign w:val="center"/>
          </w:tcPr>
          <w:p w14:paraId="20EABBD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7A9F49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44 </w:t>
            </w:r>
          </w:p>
        </w:tc>
      </w:tr>
      <w:tr w14:paraId="001C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2616287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630DB63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万兆交换机</w:t>
            </w:r>
          </w:p>
        </w:tc>
        <w:tc>
          <w:tcPr>
            <w:tcW w:w="652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62F2C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（项号522）1、交换容量≥2.56Tbps，包转发率≥720Mpps；</w:t>
            </w:r>
          </w:p>
          <w:p w14:paraId="0782683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（项号523）2、提供万兆光口≥24个，40G QSFP+光口≥2个；</w:t>
            </w:r>
          </w:p>
          <w:p w14:paraId="13894A1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（项号524）3、提供≥2个扩展槽，支持多种类型插卡，包括万兆电、万兆光、25G、40G等；</w:t>
            </w:r>
          </w:p>
          <w:p w14:paraId="357579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（项号525）4、支持模块化双电源双风扇，实配模块化双电源双风扇；</w:t>
            </w:r>
          </w:p>
          <w:p w14:paraId="28FC0BC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（项号526）</w:t>
            </w:r>
            <w:r>
              <w:rPr>
                <w:rFonts w:hint="eastAsia" w:asciiTheme="minorEastAsia" w:hAnsiTheme="minorEastAsia" w:eastAsiaTheme="minorEastAsia" w:cstheme="minorEastAsia"/>
              </w:rPr>
              <w:t>5、支持IPv4静态路由、RIP V1/V2、OSPF、BGP、IS-IS，支持IPv6静态路由、RIPng、OSPFv3、BGP4+、IS-IS V6；</w:t>
            </w:r>
          </w:p>
          <w:p w14:paraId="2C30372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（项号527）▲6、支持防火墙插卡功能；（须提供第三方检测机构出具的具有CMA或CNAS标识的检测报告复印件并加盖投标人公章，原件备查）</w:t>
            </w:r>
          </w:p>
          <w:p w14:paraId="7CD6F23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（项号528）7、内置智能管理功能，以图形化操作的方式，实现对网络的统一运维及管理，包括智能管理、智能运维、可视化等；实现组网拓扑可视；</w:t>
            </w:r>
          </w:p>
          <w:p w14:paraId="77775CC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（项号529）8、采用专业的内置防雷技术，支持10KV业务端口防雷能力，使其在比较恶劣的工作环境中也能极大的降低雷击对设备的损坏率；</w:t>
            </w:r>
          </w:p>
          <w:p w14:paraId="68F8346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（项号530）9、配置≥6个万兆多模光模块，配置1条至少3米长40G堆叠电缆；</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0D52421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14:paraId="2F3A4F4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r>
      <w:tr w14:paraId="71F7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FFFFFF"/>
            <w:noWrap/>
            <w:vAlign w:val="center"/>
          </w:tcPr>
          <w:p w14:paraId="09B94A1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（四）密码改造系统</w:t>
            </w:r>
          </w:p>
        </w:tc>
      </w:tr>
      <w:tr w14:paraId="735D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13CD33B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92" w:type="dxa"/>
            <w:shd w:val="clear" w:color="auto" w:fill="FFFFFF"/>
          </w:tcPr>
          <w:p w14:paraId="69A3C06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USBKey</w:t>
            </w:r>
          </w:p>
        </w:tc>
        <w:tc>
          <w:tcPr>
            <w:tcW w:w="6521" w:type="dxa"/>
            <w:shd w:val="clear" w:color="auto" w:fill="FFFFFF"/>
            <w:noWrap/>
            <w:vAlign w:val="center"/>
          </w:tcPr>
          <w:p w14:paraId="41587E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（项号531）存储个人数字证书，用于身份鉴别、数字签名、验签等。</w:t>
            </w:r>
          </w:p>
        </w:tc>
        <w:tc>
          <w:tcPr>
            <w:tcW w:w="992" w:type="dxa"/>
            <w:shd w:val="clear" w:color="auto" w:fill="FFFFFF"/>
            <w:vAlign w:val="center"/>
          </w:tcPr>
          <w:p w14:paraId="75CA6AE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36" w:type="dxa"/>
            <w:shd w:val="clear" w:color="auto" w:fill="FFFFFF"/>
            <w:vAlign w:val="center"/>
          </w:tcPr>
          <w:p w14:paraId="10EC9A0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46 </w:t>
            </w:r>
          </w:p>
        </w:tc>
      </w:tr>
      <w:tr w14:paraId="56F5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2C26D9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2</w:t>
            </w:r>
          </w:p>
        </w:tc>
        <w:tc>
          <w:tcPr>
            <w:tcW w:w="992" w:type="dxa"/>
            <w:shd w:val="clear" w:color="auto" w:fill="FFFFFF"/>
            <w:vAlign w:val="center"/>
          </w:tcPr>
          <w:p w14:paraId="6A5461D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动态令牌</w:t>
            </w:r>
          </w:p>
        </w:tc>
        <w:tc>
          <w:tcPr>
            <w:tcW w:w="6521" w:type="dxa"/>
            <w:shd w:val="clear" w:color="auto" w:fill="FFFFFF"/>
            <w:noWrap/>
          </w:tcPr>
          <w:p w14:paraId="064C60D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（项号532）提供“一次一密”的密码技术，为用户提供身份认证安全保障。</w:t>
            </w:r>
          </w:p>
        </w:tc>
        <w:tc>
          <w:tcPr>
            <w:tcW w:w="992" w:type="dxa"/>
            <w:shd w:val="clear" w:color="auto" w:fill="FFFFFF"/>
            <w:vAlign w:val="center"/>
          </w:tcPr>
          <w:p w14:paraId="1B4B300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36" w:type="dxa"/>
            <w:shd w:val="clear" w:color="auto" w:fill="FFFFFF"/>
            <w:vAlign w:val="center"/>
          </w:tcPr>
          <w:p w14:paraId="3FA4F5E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 </w:t>
            </w:r>
          </w:p>
        </w:tc>
      </w:tr>
      <w:tr w14:paraId="5BEE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5A18FE7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3</w:t>
            </w:r>
          </w:p>
        </w:tc>
        <w:tc>
          <w:tcPr>
            <w:tcW w:w="992" w:type="dxa"/>
            <w:shd w:val="clear" w:color="auto" w:fill="FFFFFF"/>
            <w:vAlign w:val="center"/>
          </w:tcPr>
          <w:p w14:paraId="0A147A7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国密安全浏览器</w:t>
            </w:r>
          </w:p>
        </w:tc>
        <w:tc>
          <w:tcPr>
            <w:tcW w:w="6521" w:type="dxa"/>
            <w:shd w:val="clear" w:color="auto" w:fill="FFFFFF"/>
            <w:noWrap/>
            <w:vAlign w:val="center"/>
          </w:tcPr>
          <w:p w14:paraId="27225FA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（项号533）用于Web访问系统提供SSL安全加密。</w:t>
            </w:r>
          </w:p>
        </w:tc>
        <w:tc>
          <w:tcPr>
            <w:tcW w:w="992" w:type="dxa"/>
            <w:shd w:val="clear" w:color="auto" w:fill="FFFFFF"/>
            <w:vAlign w:val="center"/>
          </w:tcPr>
          <w:p w14:paraId="5F7E39D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36" w:type="dxa"/>
            <w:shd w:val="clear" w:color="auto" w:fill="FFFFFF"/>
            <w:vAlign w:val="center"/>
          </w:tcPr>
          <w:p w14:paraId="6CEF61D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46 </w:t>
            </w:r>
          </w:p>
        </w:tc>
      </w:tr>
      <w:tr w14:paraId="6D67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6" w:type="dxa"/>
            <w:gridSpan w:val="5"/>
            <w:shd w:val="clear" w:color="auto" w:fill="FFFFFF"/>
            <w:noWrap/>
            <w:vAlign w:val="center"/>
          </w:tcPr>
          <w:p w14:paraId="43A8633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（四）融合通信</w:t>
            </w:r>
          </w:p>
        </w:tc>
      </w:tr>
      <w:tr w14:paraId="0AAF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03AE7B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4</w:t>
            </w:r>
          </w:p>
        </w:tc>
        <w:tc>
          <w:tcPr>
            <w:tcW w:w="992" w:type="dxa"/>
            <w:shd w:val="clear" w:color="auto" w:fill="FFFFFF"/>
            <w:vAlign w:val="center"/>
          </w:tcPr>
          <w:p w14:paraId="4D99489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多媒体通信服务主机</w:t>
            </w:r>
          </w:p>
        </w:tc>
        <w:tc>
          <w:tcPr>
            <w:tcW w:w="6521" w:type="dxa"/>
            <w:shd w:val="clear" w:color="auto" w:fill="FFFFFF"/>
            <w:noWrap/>
            <w:vAlign w:val="center"/>
          </w:tcPr>
          <w:p w14:paraId="318AE6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（项号534）1、支持SIP协议，最大支持5000个调度用户许可，500路无阻塞调度并发，本次配置不小于100个调度许可；</w:t>
            </w:r>
          </w:p>
          <w:p w14:paraId="77D247B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（项号535）2、用户可以进行单呼、组呼、广播、对讲、录音等语音操作，也可进行视频调阅、视频转发、录像等视频操作； </w:t>
            </w:r>
          </w:p>
          <w:p w14:paraId="6E79F68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536）3、支持通过GB/T28181协议接入综合监控平台；支持模拟话机、IP话机、智能手机、单兵、广播终端、模拟/数字集群终端等各种类型的音频资源接入；支持视频监控、视频手机、可视话机、4G单兵、无线图传单兵等各种类型的视频资源接入；支持与PSTN、GSM/CDMA、PBX专网、短波、超短波、集群对讲、卫星等通信网络互联互通；支持移动车载应用，通过卫星、3G、4G等无线网络实现通信，配合车载台、手台、单兵、智能终端等形成整体的机动部署方案；</w:t>
            </w:r>
          </w:p>
          <w:p w14:paraId="4CE5B3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537）4、一键发起应急会议：可通过融合通信调度台软件，点击会议按钮发起某一应急任务的所有成员的应急会议；会议成员包括普通电话、IP电话、智能可视终端，短波对讲机，超短波对讲机、PDT终端、4G/5G/LTE/自组网智能单兵等；会议方式包括会议桥和触发会议；</w:t>
            </w:r>
          </w:p>
          <w:p w14:paraId="3F4298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538）5、一键发起应急广播：可通过融合通信调度台软件点击“广播”按钮，实现广播喊话功能；广播成员可包括普通电话、IP电话、传统广播终端、智能可视终端，短波对讲机，超短波对讲机、PDT终端、4G/5G/LTE/自组网智能单兵等；支持mp3录音文件播放和调度台麦克风喊话；</w:t>
            </w:r>
          </w:p>
          <w:p w14:paraId="2023D1C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539）6、系统通过图形化调度台显示通信成员状态，通过鼠标点选、触摸方式快速完成指挥调度操作；系统支持灵活的用户分组管理，使用组呼、对讲等功能时，只有组内人员才能互相通话；支持主/从调度台的设置，可为多个调度台分配调度等级及调度权限；系统能够记录各种操作和告警等日志信息，可以对通话进行录音，并能够保存视频、图片和文字指令，允许管理员调阅回放；</w:t>
            </w:r>
          </w:p>
          <w:p w14:paraId="0CD701D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（项号540）7、视频预案：融合通信调度可以将重点区域现场的视频监控、4G/5G/LTE/自组网智能单兵终端、4G/5G布控球、无人机等应急现场的各类音视频源进行编组，自动轮询切换播放；</w:t>
            </w:r>
          </w:p>
          <w:p w14:paraId="67449D0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541）8、混编对讲：可在硬件调度台上，点击对讲组，可实现混合对讲，对讲成员可包括传统对讲机、3G或4G定制对讲机和智能手机对讲软件等，实现混合对讲，即实现模拟对讲与3G或4G定制对讲机和智能手机对讲软件的混合对讲；跨频段多个对讲组的对讲喊话，可实现一呼百应应用；应急预案发起：可在调度台上，快速发起应急预案；</w:t>
            </w:r>
          </w:p>
          <w:p w14:paraId="7C1735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（项号542）9、挥统调度系统的安全特性：指挥调度系统中的IP电话、可视电话、集群对讲网关、FMC网关、视频接入网关均支持鉴权加密认证；信令流支持RTP加密，支持TCP协议对信令和RTP数据封装并加密。</w:t>
            </w:r>
          </w:p>
        </w:tc>
        <w:tc>
          <w:tcPr>
            <w:tcW w:w="992" w:type="dxa"/>
            <w:shd w:val="clear" w:color="auto" w:fill="FFFFFF"/>
            <w:vAlign w:val="center"/>
          </w:tcPr>
          <w:p w14:paraId="3F4A843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6449F50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67F3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75218D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5</w:t>
            </w:r>
          </w:p>
        </w:tc>
        <w:tc>
          <w:tcPr>
            <w:tcW w:w="992" w:type="dxa"/>
            <w:shd w:val="clear" w:color="auto" w:fill="FFFFFF"/>
            <w:vAlign w:val="center"/>
          </w:tcPr>
          <w:p w14:paraId="251D363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存储服务主机</w:t>
            </w:r>
          </w:p>
        </w:tc>
        <w:tc>
          <w:tcPr>
            <w:tcW w:w="6521" w:type="dxa"/>
            <w:shd w:val="clear" w:color="auto" w:fill="FFFFFF"/>
            <w:noWrap/>
            <w:vAlign w:val="center"/>
          </w:tcPr>
          <w:p w14:paraId="6087F8F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543）音视频录制服务器，标准机架式设备，提供不小于8T存储空间；提供录音录像功能，实现对音视频调度过程集中录制、压缩转码、检索回放等。支持海量数据高速检索。支持SIP协议。标配8路视频并发录制许可，100路音频并发录制许可。</w:t>
            </w:r>
          </w:p>
        </w:tc>
        <w:tc>
          <w:tcPr>
            <w:tcW w:w="992" w:type="dxa"/>
            <w:shd w:val="clear" w:color="auto" w:fill="FFFFFF"/>
            <w:vAlign w:val="center"/>
          </w:tcPr>
          <w:p w14:paraId="25D25A5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7DC6E0C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0E78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27E4C9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6</w:t>
            </w:r>
          </w:p>
        </w:tc>
        <w:tc>
          <w:tcPr>
            <w:tcW w:w="992" w:type="dxa"/>
            <w:shd w:val="clear" w:color="auto" w:fill="FFFFFF"/>
            <w:vAlign w:val="center"/>
          </w:tcPr>
          <w:p w14:paraId="59FD522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指挥调度客户端软件</w:t>
            </w:r>
          </w:p>
        </w:tc>
        <w:tc>
          <w:tcPr>
            <w:tcW w:w="6521" w:type="dxa"/>
            <w:shd w:val="clear" w:color="auto" w:fill="FFFFFF"/>
            <w:noWrap/>
            <w:vAlign w:val="center"/>
          </w:tcPr>
          <w:p w14:paraId="795D72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（项号544）1、实时显示用户状态和调度线路使用情况；支持四路联动话机，可实现多路同时通话；</w:t>
            </w:r>
          </w:p>
          <w:p w14:paraId="30BB202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（项号545）2、语音调度与视频调度、GIS地图调度采用一体化界面设计，共用同一套通信录和调度功能按钮，调度台功能按钮可按需配置；可把调度台上任一界面一键切换到大屏幕显示，实现一机多屏；</w:t>
            </w:r>
          </w:p>
          <w:p w14:paraId="5B203CC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（项号546）3、支持的语音调度操作，含单呼、组呼、对讲、会议、对讲监听、对讲抢话、对讲状态监控；固定会议；</w:t>
            </w:r>
          </w:p>
          <w:p w14:paraId="680F62E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547）4、支持的视频调度操作，含1-16路视频显示窗口，视频回传、视频上墙、视频转发、视频分发、音视频联动、视频录制；能把任意视频图像推送给多个视频接收终端（调度台、手机、PAD、可视话机等）共享；</w:t>
            </w:r>
          </w:p>
          <w:p w14:paraId="51C49BC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（项号548）5、支持应急通信功能，自定义通信类型、触发方式。</w:t>
            </w:r>
          </w:p>
          <w:p w14:paraId="24EA39E1">
            <w:pPr>
              <w:spacing w:line="400" w:lineRule="exact"/>
              <w:rPr>
                <w:rFonts w:hint="eastAsia" w:asciiTheme="minorEastAsia" w:hAnsiTheme="minorEastAsia" w:eastAsiaTheme="minorEastAsia" w:cstheme="minorEastAsia"/>
                <w:lang w:eastAsia="zh-CN"/>
              </w:rPr>
            </w:pPr>
          </w:p>
        </w:tc>
        <w:tc>
          <w:tcPr>
            <w:tcW w:w="992" w:type="dxa"/>
            <w:shd w:val="clear" w:color="auto" w:fill="FFFFFF"/>
            <w:vAlign w:val="center"/>
          </w:tcPr>
          <w:p w14:paraId="71ACE25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36" w:type="dxa"/>
            <w:shd w:val="clear" w:color="auto" w:fill="FFFFFF"/>
            <w:vAlign w:val="center"/>
          </w:tcPr>
          <w:p w14:paraId="228187D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BC0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204C8E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7</w:t>
            </w:r>
          </w:p>
        </w:tc>
        <w:tc>
          <w:tcPr>
            <w:tcW w:w="992" w:type="dxa"/>
            <w:shd w:val="clear" w:color="auto" w:fill="FFFFFF"/>
            <w:vAlign w:val="center"/>
          </w:tcPr>
          <w:p w14:paraId="1EA6C3B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音频网关</w:t>
            </w:r>
          </w:p>
        </w:tc>
        <w:tc>
          <w:tcPr>
            <w:tcW w:w="6521" w:type="dxa"/>
            <w:shd w:val="clear" w:color="auto" w:fill="FFFFFF"/>
            <w:noWrap/>
            <w:vAlign w:val="center"/>
          </w:tcPr>
          <w:p w14:paraId="3DAF0C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（项号549）1、实现对多种广播网络如会场音响、室外广播、远程IP广播的统一接入；</w:t>
            </w:r>
          </w:p>
          <w:p w14:paraId="63C4CBA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（项号550）2、实现会场音频集成和远程广播调度，标准机架式，提供不小于两个2个DB15扩展接口（音频输入、输出转接口）；</w:t>
            </w:r>
          </w:p>
          <w:p w14:paraId="74D75F9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（项号551）3、≥1个10/100M的以太网口；</w:t>
            </w:r>
          </w:p>
          <w:p w14:paraId="7C3F965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（项号552）4、≥2个音量调节旋钮（输入、输出）；</w:t>
            </w:r>
          </w:p>
          <w:p w14:paraId="56619D6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（项号553）5、支持WEB图形化配置管理。</w:t>
            </w:r>
          </w:p>
        </w:tc>
        <w:tc>
          <w:tcPr>
            <w:tcW w:w="992" w:type="dxa"/>
            <w:shd w:val="clear" w:color="auto" w:fill="FFFFFF"/>
            <w:vAlign w:val="center"/>
          </w:tcPr>
          <w:p w14:paraId="4A62077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4133F15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863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2822C7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8</w:t>
            </w:r>
          </w:p>
        </w:tc>
        <w:tc>
          <w:tcPr>
            <w:tcW w:w="992" w:type="dxa"/>
            <w:shd w:val="clear" w:color="auto" w:fill="FFFFFF"/>
            <w:vAlign w:val="center"/>
          </w:tcPr>
          <w:p w14:paraId="6875ECC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数字中继网关</w:t>
            </w:r>
          </w:p>
        </w:tc>
        <w:tc>
          <w:tcPr>
            <w:tcW w:w="6521" w:type="dxa"/>
            <w:shd w:val="clear" w:color="auto" w:fill="FFFFFF"/>
            <w:noWrap/>
            <w:vAlign w:val="center"/>
          </w:tcPr>
          <w:p w14:paraId="29B1C7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（项号554）1、E1媒体网关，标准机架式设备；</w:t>
            </w:r>
          </w:p>
          <w:p w14:paraId="52D8A7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（项号555）2、提供不小于1个E1接口，不小于30路语音并发功能。</w:t>
            </w:r>
          </w:p>
        </w:tc>
        <w:tc>
          <w:tcPr>
            <w:tcW w:w="992" w:type="dxa"/>
            <w:shd w:val="clear" w:color="auto" w:fill="FFFFFF"/>
            <w:vAlign w:val="center"/>
          </w:tcPr>
          <w:p w14:paraId="33B7525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0026BD1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3C3D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5F9F9C9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9</w:t>
            </w:r>
          </w:p>
        </w:tc>
        <w:tc>
          <w:tcPr>
            <w:tcW w:w="992" w:type="dxa"/>
            <w:shd w:val="clear" w:color="auto" w:fill="FFFFFF"/>
            <w:vAlign w:val="center"/>
          </w:tcPr>
          <w:p w14:paraId="56081F9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无线对讲网关</w:t>
            </w:r>
          </w:p>
        </w:tc>
        <w:tc>
          <w:tcPr>
            <w:tcW w:w="6521" w:type="dxa"/>
            <w:shd w:val="clear" w:color="auto" w:fill="FFFFFF"/>
            <w:noWrap/>
            <w:vAlign w:val="center"/>
          </w:tcPr>
          <w:p w14:paraId="65BECA0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（项号556）1、采用SDK（API）定制的对接方式与现有无线对讲系统互联互通，实现系统级对接；</w:t>
            </w:r>
          </w:p>
          <w:p w14:paraId="447100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（项号557）2、实现调度系统对数字集群对讲系统的单呼、组呼； </w:t>
            </w:r>
          </w:p>
          <w:p w14:paraId="397F06C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（项号558）3、标准1U机架式设备，≥2个100M/1000M以太网口；</w:t>
            </w:r>
          </w:p>
          <w:p w14:paraId="201E9C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（项号559）4、支持不小于4路语音并发功能；</w:t>
            </w:r>
          </w:p>
          <w:p w14:paraId="60E4EF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（项号560）5、支持WEB图形化配置管理。</w:t>
            </w:r>
          </w:p>
        </w:tc>
        <w:tc>
          <w:tcPr>
            <w:tcW w:w="992" w:type="dxa"/>
            <w:shd w:val="clear" w:color="auto" w:fill="FFFFFF"/>
            <w:vAlign w:val="center"/>
          </w:tcPr>
          <w:p w14:paraId="22892D6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4261B1F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2517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780E8C6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w:t>
            </w:r>
          </w:p>
        </w:tc>
        <w:tc>
          <w:tcPr>
            <w:tcW w:w="992" w:type="dxa"/>
            <w:shd w:val="clear" w:color="auto" w:fill="FFFFFF"/>
            <w:vAlign w:val="center"/>
          </w:tcPr>
          <w:p w14:paraId="33A1A56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视频国标网关</w:t>
            </w:r>
          </w:p>
        </w:tc>
        <w:tc>
          <w:tcPr>
            <w:tcW w:w="6521" w:type="dxa"/>
            <w:shd w:val="clear" w:color="auto" w:fill="FFFFFF"/>
            <w:noWrap/>
            <w:vAlign w:val="center"/>
          </w:tcPr>
          <w:p w14:paraId="33D4DC5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（项号561）1、与现有视频监控联网平台的互联互通，实现视频资源双向共享，同时支持国标标准。标准机架式设备；</w:t>
            </w:r>
          </w:p>
          <w:p w14:paraId="30BFB92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（项号562）2、支持实时媒体点播，设备控制，设备信息查询，设备状态信息报送，订阅和通知；</w:t>
            </w:r>
          </w:p>
          <w:p w14:paraId="7B06EB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（项号563）3、支持对接入视频的实时媒体点播和历史视频检索和回放功能。实现对接入系统的视频资源设备的状态查询；</w:t>
            </w:r>
          </w:p>
          <w:p w14:paraId="743DF05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（项号564）4、支持国标标准的语音对讲功能；  </w:t>
            </w:r>
          </w:p>
          <w:p w14:paraId="03875E8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（项号565）5、支持H.264视频编解码；</w:t>
            </w:r>
          </w:p>
          <w:p w14:paraId="58C718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（项号566）6、支持≥50000路视频监控接入；</w:t>
            </w:r>
          </w:p>
          <w:p w14:paraId="1A7DDAD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（项号567）7、对接现场两个视频平台。</w:t>
            </w:r>
          </w:p>
        </w:tc>
        <w:tc>
          <w:tcPr>
            <w:tcW w:w="992" w:type="dxa"/>
            <w:shd w:val="clear" w:color="auto" w:fill="FFFFFF"/>
            <w:vAlign w:val="center"/>
          </w:tcPr>
          <w:p w14:paraId="3FDCE0E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0BDC26A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p>
        </w:tc>
      </w:tr>
      <w:tr w14:paraId="7121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shd w:val="clear" w:color="auto" w:fill="FFFFFF"/>
            <w:vAlign w:val="center"/>
          </w:tcPr>
          <w:p w14:paraId="1C9A076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21</w:t>
            </w:r>
          </w:p>
        </w:tc>
        <w:tc>
          <w:tcPr>
            <w:tcW w:w="992" w:type="dxa"/>
            <w:shd w:val="clear" w:color="auto" w:fill="FFFFFF"/>
            <w:vAlign w:val="center"/>
          </w:tcPr>
          <w:p w14:paraId="316E888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视频会议网关</w:t>
            </w:r>
          </w:p>
        </w:tc>
        <w:tc>
          <w:tcPr>
            <w:tcW w:w="6521" w:type="dxa"/>
            <w:shd w:val="clear" w:color="auto" w:fill="FFFFFF"/>
            <w:noWrap/>
            <w:vAlign w:val="center"/>
          </w:tcPr>
          <w:p w14:paraId="7A05A89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（项号568）1、与视频会议系统对接，实现融合通信系统与视频会议系统的音视频资源共享。</w:t>
            </w:r>
          </w:p>
        </w:tc>
        <w:tc>
          <w:tcPr>
            <w:tcW w:w="992" w:type="dxa"/>
            <w:shd w:val="clear" w:color="auto" w:fill="FFFFFF"/>
            <w:vAlign w:val="center"/>
          </w:tcPr>
          <w:p w14:paraId="1E7A90E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36" w:type="dxa"/>
            <w:shd w:val="clear" w:color="auto" w:fill="FFFFFF"/>
            <w:vAlign w:val="center"/>
          </w:tcPr>
          <w:p w14:paraId="71DF046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bl>
    <w:p w14:paraId="291687B4">
      <w:pPr>
        <w:rPr>
          <w:rFonts w:hint="eastAsia" w:asciiTheme="minorEastAsia" w:hAnsiTheme="minorEastAsia" w:eastAsiaTheme="minorEastAsia" w:cstheme="minorEastAsia"/>
        </w:rPr>
      </w:pPr>
    </w:p>
    <w:p w14:paraId="718B9ACE">
      <w:pPr>
        <w:rPr>
          <w:rFonts w:hint="eastAsia" w:asciiTheme="minorEastAsia" w:hAnsiTheme="minorEastAsia" w:eastAsiaTheme="minorEastAsia" w:cstheme="minorEastAsia"/>
        </w:rPr>
      </w:pPr>
    </w:p>
    <w:tbl>
      <w:tblPr>
        <w:tblStyle w:val="16"/>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92"/>
        <w:gridCol w:w="6521"/>
        <w:gridCol w:w="992"/>
        <w:gridCol w:w="1032"/>
      </w:tblGrid>
      <w:tr w14:paraId="32C2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auto"/>
            <w:vAlign w:val="center"/>
          </w:tcPr>
          <w:p w14:paraId="360BAA3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八、</w:t>
            </w:r>
            <w:r>
              <w:rPr>
                <w:rFonts w:hint="eastAsia" w:asciiTheme="minorEastAsia" w:hAnsiTheme="minorEastAsia" w:eastAsiaTheme="minorEastAsia" w:cstheme="minorEastAsia"/>
              </w:rPr>
              <w:t>综合布线</w:t>
            </w:r>
          </w:p>
        </w:tc>
      </w:tr>
      <w:tr w14:paraId="310D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auto"/>
            <w:vAlign w:val="center"/>
          </w:tcPr>
          <w:p w14:paraId="14AF719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编号 </w:t>
            </w:r>
          </w:p>
        </w:tc>
        <w:tc>
          <w:tcPr>
            <w:tcW w:w="992" w:type="dxa"/>
            <w:shd w:val="clear" w:color="auto" w:fill="auto"/>
            <w:vAlign w:val="center"/>
          </w:tcPr>
          <w:p w14:paraId="2A61DAC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auto" w:fill="auto"/>
            <w:vAlign w:val="center"/>
          </w:tcPr>
          <w:p w14:paraId="0D23DAB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258B1AE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32" w:type="dxa"/>
            <w:shd w:val="clear" w:color="auto" w:fill="auto"/>
            <w:vAlign w:val="center"/>
          </w:tcPr>
          <w:p w14:paraId="006F4A3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393D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auto"/>
            <w:vAlign w:val="center"/>
          </w:tcPr>
          <w:p w14:paraId="7D73097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分布式线缆</w:t>
            </w:r>
          </w:p>
        </w:tc>
      </w:tr>
      <w:tr w14:paraId="5D63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12" w:type="dxa"/>
            <w:shd w:val="clear" w:color="auto" w:fill="FFFFFF"/>
            <w:vAlign w:val="center"/>
          </w:tcPr>
          <w:p w14:paraId="2FF6D8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shd w:val="clear" w:color="auto" w:fill="FFFFFF"/>
            <w:vAlign w:val="center"/>
          </w:tcPr>
          <w:p w14:paraId="11D1BE2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5米HDMI成品线</w:t>
            </w:r>
          </w:p>
        </w:tc>
        <w:tc>
          <w:tcPr>
            <w:tcW w:w="6521" w:type="dxa"/>
            <w:shd w:val="clear" w:color="auto" w:fill="FFFFFF"/>
            <w:vAlign w:val="center"/>
          </w:tcPr>
          <w:p w14:paraId="49436A9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（项号569）支持HDMI2.0标准，支持即插即用和热插拔，支持3840×2160分辨率和50FPS、60FPS帧率。支持≥32个声道音频，最高1536kHz采样率。</w:t>
            </w:r>
          </w:p>
        </w:tc>
        <w:tc>
          <w:tcPr>
            <w:tcW w:w="992" w:type="dxa"/>
            <w:shd w:val="clear" w:color="auto" w:fill="auto"/>
            <w:vAlign w:val="center"/>
          </w:tcPr>
          <w:p w14:paraId="362BA5A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条</w:t>
            </w:r>
          </w:p>
        </w:tc>
        <w:tc>
          <w:tcPr>
            <w:tcW w:w="1032" w:type="dxa"/>
            <w:shd w:val="clear" w:color="auto" w:fill="auto"/>
            <w:vAlign w:val="center"/>
          </w:tcPr>
          <w:p w14:paraId="518FD1D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53 </w:t>
            </w:r>
          </w:p>
        </w:tc>
      </w:tr>
      <w:tr w14:paraId="0859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0C9D777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shd w:val="clear" w:color="auto" w:fill="FFFFFF"/>
            <w:vAlign w:val="center"/>
          </w:tcPr>
          <w:p w14:paraId="06A59DE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UTP6</w:t>
            </w:r>
          </w:p>
        </w:tc>
        <w:tc>
          <w:tcPr>
            <w:tcW w:w="6521" w:type="dxa"/>
            <w:shd w:val="clear" w:color="auto" w:fill="FFFFFF"/>
            <w:vAlign w:val="center"/>
          </w:tcPr>
          <w:p w14:paraId="7F88380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（项号570）符合国标的六类网线，无氧铜8芯双绞线。</w:t>
            </w:r>
          </w:p>
        </w:tc>
        <w:tc>
          <w:tcPr>
            <w:tcW w:w="992" w:type="dxa"/>
            <w:shd w:val="clear" w:color="auto" w:fill="auto"/>
            <w:vAlign w:val="center"/>
          </w:tcPr>
          <w:p w14:paraId="70FE421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A38370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300 </w:t>
            </w:r>
          </w:p>
        </w:tc>
      </w:tr>
      <w:tr w14:paraId="4F98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3EE3BEA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shd w:val="clear" w:color="auto" w:fill="FFFFFF"/>
            <w:vAlign w:val="center"/>
          </w:tcPr>
          <w:p w14:paraId="22DB160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RVV3x1.5</w:t>
            </w:r>
          </w:p>
        </w:tc>
        <w:tc>
          <w:tcPr>
            <w:tcW w:w="6521" w:type="dxa"/>
            <w:shd w:val="clear" w:color="auto" w:fill="FFFFFF"/>
            <w:vAlign w:val="center"/>
          </w:tcPr>
          <w:p w14:paraId="6A7D7A9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（项号571）符合国标，3x1.5mm²无氧铜，聚氯乙烯绝缘材质。</w:t>
            </w:r>
          </w:p>
        </w:tc>
        <w:tc>
          <w:tcPr>
            <w:tcW w:w="992" w:type="dxa"/>
            <w:shd w:val="clear" w:color="auto" w:fill="auto"/>
            <w:vAlign w:val="center"/>
          </w:tcPr>
          <w:p w14:paraId="5443107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FDCEE7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200 </w:t>
            </w:r>
          </w:p>
        </w:tc>
      </w:tr>
      <w:tr w14:paraId="570D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2A79869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shd w:val="clear" w:color="auto" w:fill="FFFFFF"/>
            <w:vAlign w:val="center"/>
          </w:tcPr>
          <w:p w14:paraId="7AA3440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JDG25</w:t>
            </w:r>
          </w:p>
        </w:tc>
        <w:tc>
          <w:tcPr>
            <w:tcW w:w="6521" w:type="dxa"/>
            <w:shd w:val="clear" w:color="auto" w:fill="FFFFFF"/>
            <w:vAlign w:val="center"/>
          </w:tcPr>
          <w:p w14:paraId="13644E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（项号572）冷镀锌工艺，壁厚≥1.0mm。</w:t>
            </w:r>
          </w:p>
        </w:tc>
        <w:tc>
          <w:tcPr>
            <w:tcW w:w="992" w:type="dxa"/>
            <w:shd w:val="clear" w:color="auto" w:fill="auto"/>
            <w:vAlign w:val="center"/>
          </w:tcPr>
          <w:p w14:paraId="2D1A081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FA1543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200 </w:t>
            </w:r>
          </w:p>
        </w:tc>
      </w:tr>
      <w:tr w14:paraId="1A5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FFFFFF"/>
            <w:vAlign w:val="center"/>
          </w:tcPr>
          <w:p w14:paraId="5555BA2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多媒体会议、网络会议、录播、音频扩声</w:t>
            </w:r>
          </w:p>
        </w:tc>
      </w:tr>
      <w:tr w14:paraId="3B42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74A34B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992" w:type="dxa"/>
            <w:shd w:val="clear" w:color="auto" w:fill="FFFFFF"/>
            <w:vAlign w:val="center"/>
          </w:tcPr>
          <w:p w14:paraId="44B98BF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RVVP2x0.3</w:t>
            </w:r>
          </w:p>
        </w:tc>
        <w:tc>
          <w:tcPr>
            <w:tcW w:w="6521" w:type="dxa"/>
            <w:shd w:val="clear" w:color="auto" w:fill="FFFFFF"/>
            <w:vAlign w:val="center"/>
          </w:tcPr>
          <w:p w14:paraId="212AC58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（项号573）符合行业标准,2x0.3mm²无氧铜。</w:t>
            </w:r>
          </w:p>
        </w:tc>
        <w:tc>
          <w:tcPr>
            <w:tcW w:w="992" w:type="dxa"/>
            <w:shd w:val="clear" w:color="auto" w:fill="auto"/>
            <w:vAlign w:val="center"/>
          </w:tcPr>
          <w:p w14:paraId="149BBC4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415D703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400 </w:t>
            </w:r>
          </w:p>
        </w:tc>
      </w:tr>
      <w:tr w14:paraId="386F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5CD6B4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92" w:type="dxa"/>
            <w:shd w:val="clear" w:color="auto" w:fill="FFFFFF"/>
            <w:vAlign w:val="center"/>
          </w:tcPr>
          <w:p w14:paraId="3D99D10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手拉手会议总线</w:t>
            </w:r>
          </w:p>
        </w:tc>
        <w:tc>
          <w:tcPr>
            <w:tcW w:w="6521" w:type="dxa"/>
            <w:shd w:val="clear" w:color="auto" w:fill="FFFFFF"/>
            <w:vAlign w:val="center"/>
          </w:tcPr>
          <w:p w14:paraId="7E54357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（项号574）8芯OFC高导铜，聚乙烯绝缘材料，1层锡箔纸+1层屏蔽网。</w:t>
            </w:r>
          </w:p>
        </w:tc>
        <w:tc>
          <w:tcPr>
            <w:tcW w:w="992" w:type="dxa"/>
            <w:shd w:val="clear" w:color="auto" w:fill="auto"/>
            <w:vAlign w:val="center"/>
          </w:tcPr>
          <w:p w14:paraId="6CB2430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7A41C84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300 </w:t>
            </w:r>
          </w:p>
        </w:tc>
      </w:tr>
      <w:tr w14:paraId="098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4391521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w:t>
            </w:r>
          </w:p>
        </w:tc>
        <w:tc>
          <w:tcPr>
            <w:tcW w:w="992" w:type="dxa"/>
            <w:shd w:val="clear" w:color="auto" w:fill="FFFFFF"/>
            <w:vAlign w:val="center"/>
          </w:tcPr>
          <w:p w14:paraId="695F51C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UTP6</w:t>
            </w:r>
          </w:p>
        </w:tc>
        <w:tc>
          <w:tcPr>
            <w:tcW w:w="6521" w:type="dxa"/>
            <w:shd w:val="clear" w:color="auto" w:fill="FFFFFF"/>
            <w:vAlign w:val="center"/>
          </w:tcPr>
          <w:p w14:paraId="1D67879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（项号575）符合国标的六类网线，无氧铜8芯双绞线。</w:t>
            </w:r>
          </w:p>
        </w:tc>
        <w:tc>
          <w:tcPr>
            <w:tcW w:w="992" w:type="dxa"/>
            <w:shd w:val="clear" w:color="auto" w:fill="auto"/>
            <w:vAlign w:val="center"/>
          </w:tcPr>
          <w:p w14:paraId="384D045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9FD63B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350 </w:t>
            </w:r>
          </w:p>
        </w:tc>
      </w:tr>
      <w:tr w14:paraId="3025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5028B13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p>
        </w:tc>
        <w:tc>
          <w:tcPr>
            <w:tcW w:w="992" w:type="dxa"/>
            <w:shd w:val="clear" w:color="auto" w:fill="FFFFFF"/>
            <w:vAlign w:val="center"/>
          </w:tcPr>
          <w:p w14:paraId="630D1B6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300芯金银线</w:t>
            </w:r>
          </w:p>
        </w:tc>
        <w:tc>
          <w:tcPr>
            <w:tcW w:w="6521" w:type="dxa"/>
            <w:shd w:val="clear" w:color="auto" w:fill="FFFFFF"/>
            <w:vAlign w:val="center"/>
          </w:tcPr>
          <w:p w14:paraId="5173214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（项号576）正极无氧铜≥0.1mm²*150芯，负极镀锡铜≥0.1mm²*150芯。</w:t>
            </w:r>
          </w:p>
        </w:tc>
        <w:tc>
          <w:tcPr>
            <w:tcW w:w="992" w:type="dxa"/>
            <w:shd w:val="clear" w:color="auto" w:fill="auto"/>
            <w:vAlign w:val="center"/>
          </w:tcPr>
          <w:p w14:paraId="6F05A50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2174002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350 </w:t>
            </w:r>
          </w:p>
        </w:tc>
      </w:tr>
      <w:tr w14:paraId="3B4C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2A70F70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92" w:type="dxa"/>
            <w:shd w:val="clear" w:color="auto" w:fill="FFFFFF"/>
            <w:vAlign w:val="center"/>
          </w:tcPr>
          <w:p w14:paraId="07BC59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护套音箱线</w:t>
            </w:r>
          </w:p>
        </w:tc>
        <w:tc>
          <w:tcPr>
            <w:tcW w:w="6521" w:type="dxa"/>
            <w:shd w:val="clear" w:color="auto" w:fill="FFFFFF"/>
            <w:vAlign w:val="center"/>
          </w:tcPr>
          <w:p w14:paraId="19302D8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（项号577）2x1.5mm²无氧铜。内含抗拉丝。橡胶护套。</w:t>
            </w:r>
          </w:p>
        </w:tc>
        <w:tc>
          <w:tcPr>
            <w:tcW w:w="992" w:type="dxa"/>
            <w:shd w:val="clear" w:color="auto" w:fill="auto"/>
            <w:vAlign w:val="center"/>
          </w:tcPr>
          <w:p w14:paraId="3446C92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5DDDF9F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216 </w:t>
            </w:r>
          </w:p>
        </w:tc>
      </w:tr>
      <w:tr w14:paraId="729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17768FC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92" w:type="dxa"/>
            <w:shd w:val="clear" w:color="auto" w:fill="FFFFFF"/>
            <w:vAlign w:val="center"/>
          </w:tcPr>
          <w:p w14:paraId="298606A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JDG25</w:t>
            </w:r>
          </w:p>
        </w:tc>
        <w:tc>
          <w:tcPr>
            <w:tcW w:w="6521" w:type="dxa"/>
            <w:shd w:val="clear" w:color="auto" w:fill="FFFFFF"/>
            <w:vAlign w:val="center"/>
          </w:tcPr>
          <w:p w14:paraId="0F4124F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（项号578）冷镀锌工艺，壁厚≥1.0mm。</w:t>
            </w:r>
          </w:p>
        </w:tc>
        <w:tc>
          <w:tcPr>
            <w:tcW w:w="992" w:type="dxa"/>
            <w:shd w:val="clear" w:color="auto" w:fill="auto"/>
            <w:vAlign w:val="center"/>
          </w:tcPr>
          <w:p w14:paraId="0C7D820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796FA38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190 </w:t>
            </w:r>
          </w:p>
        </w:tc>
      </w:tr>
      <w:tr w14:paraId="3BC8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FFFFFF"/>
            <w:vAlign w:val="center"/>
          </w:tcPr>
          <w:p w14:paraId="6E97A45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计算机网络</w:t>
            </w:r>
          </w:p>
        </w:tc>
      </w:tr>
      <w:tr w14:paraId="1953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02A7676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1</w:t>
            </w:r>
          </w:p>
        </w:tc>
        <w:tc>
          <w:tcPr>
            <w:tcW w:w="992" w:type="dxa"/>
            <w:shd w:val="clear" w:color="auto" w:fill="FFFFFF"/>
            <w:vAlign w:val="center"/>
          </w:tcPr>
          <w:p w14:paraId="08EE261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UTP6</w:t>
            </w:r>
          </w:p>
        </w:tc>
        <w:tc>
          <w:tcPr>
            <w:tcW w:w="6521" w:type="dxa"/>
            <w:shd w:val="clear" w:color="auto" w:fill="FFFFFF"/>
            <w:vAlign w:val="center"/>
          </w:tcPr>
          <w:p w14:paraId="03F26F2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（项号579）符合国标的六类网线，无氧铜8芯双绞线。</w:t>
            </w:r>
          </w:p>
        </w:tc>
        <w:tc>
          <w:tcPr>
            <w:tcW w:w="992" w:type="dxa"/>
            <w:shd w:val="clear" w:color="auto" w:fill="FFFFFF"/>
            <w:vAlign w:val="center"/>
          </w:tcPr>
          <w:p w14:paraId="23921E9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FFFFFF"/>
            <w:vAlign w:val="center"/>
          </w:tcPr>
          <w:p w14:paraId="176714C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3000 </w:t>
            </w:r>
          </w:p>
        </w:tc>
      </w:tr>
      <w:tr w14:paraId="5D0F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4E6A3A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2</w:t>
            </w:r>
          </w:p>
        </w:tc>
        <w:tc>
          <w:tcPr>
            <w:tcW w:w="992" w:type="dxa"/>
            <w:shd w:val="clear" w:color="auto" w:fill="FFFFFF"/>
            <w:vAlign w:val="center"/>
          </w:tcPr>
          <w:p w14:paraId="74EEBB5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万兆单模光纤</w:t>
            </w:r>
          </w:p>
        </w:tc>
        <w:tc>
          <w:tcPr>
            <w:tcW w:w="6521" w:type="dxa"/>
            <w:shd w:val="clear" w:color="auto" w:fill="FFFFFF"/>
            <w:vAlign w:val="center"/>
          </w:tcPr>
          <w:p w14:paraId="1F9954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（项号580）</w:t>
            </w:r>
            <w:r>
              <w:rPr>
                <w:rFonts w:hint="eastAsia" w:asciiTheme="minorEastAsia" w:hAnsiTheme="minorEastAsia" w:eastAsiaTheme="minorEastAsia" w:cstheme="minorEastAsia"/>
              </w:rPr>
              <w:t>48芯光缆</w:t>
            </w:r>
            <w:r>
              <w:rPr>
                <w:rFonts w:hint="eastAsia" w:asciiTheme="minorEastAsia" w:hAnsiTheme="minorEastAsia" w:eastAsiaTheme="minorEastAsia" w:cstheme="minorEastAsia"/>
                <w:lang w:eastAsia="zh-CN"/>
              </w:rPr>
              <w:t>。</w:t>
            </w:r>
          </w:p>
        </w:tc>
        <w:tc>
          <w:tcPr>
            <w:tcW w:w="992" w:type="dxa"/>
            <w:shd w:val="clear" w:color="auto" w:fill="FFFFFF"/>
            <w:vAlign w:val="center"/>
          </w:tcPr>
          <w:p w14:paraId="5D352CC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FFFFFF"/>
            <w:vAlign w:val="center"/>
          </w:tcPr>
          <w:p w14:paraId="7520D92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300 </w:t>
            </w:r>
          </w:p>
        </w:tc>
      </w:tr>
      <w:tr w14:paraId="7ECB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428AE3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3</w:t>
            </w:r>
          </w:p>
        </w:tc>
        <w:tc>
          <w:tcPr>
            <w:tcW w:w="992" w:type="dxa"/>
            <w:shd w:val="clear" w:color="auto" w:fill="FFFFFF"/>
            <w:vAlign w:val="center"/>
          </w:tcPr>
          <w:p w14:paraId="26BC58D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JDG25</w:t>
            </w:r>
          </w:p>
        </w:tc>
        <w:tc>
          <w:tcPr>
            <w:tcW w:w="6521" w:type="dxa"/>
            <w:shd w:val="clear" w:color="auto" w:fill="FFFFFF"/>
            <w:vAlign w:val="center"/>
          </w:tcPr>
          <w:p w14:paraId="4A2B6B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（项号581）冷镀锌工艺，壁厚≥1.0mm。</w:t>
            </w:r>
          </w:p>
        </w:tc>
        <w:tc>
          <w:tcPr>
            <w:tcW w:w="992" w:type="dxa"/>
            <w:shd w:val="clear" w:color="auto" w:fill="auto"/>
            <w:vAlign w:val="center"/>
          </w:tcPr>
          <w:p w14:paraId="5DA5415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16F3C91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180 </w:t>
            </w:r>
          </w:p>
        </w:tc>
      </w:tr>
      <w:tr w14:paraId="3CA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FFFFFF"/>
            <w:vAlign w:val="center"/>
          </w:tcPr>
          <w:p w14:paraId="5ACE2DD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防雷接地</w:t>
            </w:r>
          </w:p>
        </w:tc>
      </w:tr>
      <w:tr w14:paraId="2E43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4B50B43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4</w:t>
            </w:r>
          </w:p>
        </w:tc>
        <w:tc>
          <w:tcPr>
            <w:tcW w:w="992" w:type="dxa"/>
            <w:shd w:val="clear" w:color="auto" w:fill="FFFFFF"/>
            <w:vAlign w:val="center"/>
          </w:tcPr>
          <w:p w14:paraId="36825F5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等电位接地端子</w:t>
            </w:r>
          </w:p>
        </w:tc>
        <w:tc>
          <w:tcPr>
            <w:tcW w:w="6521" w:type="dxa"/>
            <w:shd w:val="clear" w:color="auto" w:fill="FFFFFF"/>
            <w:vAlign w:val="center"/>
          </w:tcPr>
          <w:p w14:paraId="004A6A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（项号582）</w:t>
            </w:r>
            <w:r>
              <w:rPr>
                <w:rFonts w:hint="eastAsia" w:asciiTheme="minorEastAsia" w:hAnsiTheme="minorEastAsia" w:eastAsiaTheme="minorEastAsia" w:cstheme="minorEastAsia"/>
              </w:rPr>
              <w:t>铜材质</w:t>
            </w:r>
            <w:r>
              <w:rPr>
                <w:rFonts w:hint="eastAsia" w:asciiTheme="minorEastAsia" w:hAnsiTheme="minorEastAsia" w:eastAsiaTheme="minorEastAsia" w:cstheme="minorEastAsia"/>
                <w:lang w:eastAsia="zh-CN"/>
              </w:rPr>
              <w:t>。</w:t>
            </w:r>
          </w:p>
        </w:tc>
        <w:tc>
          <w:tcPr>
            <w:tcW w:w="992" w:type="dxa"/>
            <w:shd w:val="clear" w:color="auto" w:fill="auto"/>
            <w:vAlign w:val="center"/>
          </w:tcPr>
          <w:p w14:paraId="3F0FB39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个</w:t>
            </w:r>
          </w:p>
        </w:tc>
        <w:tc>
          <w:tcPr>
            <w:tcW w:w="1032" w:type="dxa"/>
            <w:shd w:val="clear" w:color="auto" w:fill="auto"/>
            <w:vAlign w:val="center"/>
          </w:tcPr>
          <w:p w14:paraId="3D47BBE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p>
        </w:tc>
      </w:tr>
      <w:tr w14:paraId="1396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240748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5</w:t>
            </w:r>
          </w:p>
        </w:tc>
        <w:tc>
          <w:tcPr>
            <w:tcW w:w="992" w:type="dxa"/>
            <w:shd w:val="clear" w:color="auto" w:fill="FFFFFF"/>
            <w:vAlign w:val="center"/>
          </w:tcPr>
          <w:p w14:paraId="15216C9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等电位联结网格</w:t>
            </w:r>
          </w:p>
        </w:tc>
        <w:tc>
          <w:tcPr>
            <w:tcW w:w="6521" w:type="dxa"/>
            <w:shd w:val="clear" w:color="auto" w:fill="FFFFFF"/>
            <w:vAlign w:val="center"/>
          </w:tcPr>
          <w:p w14:paraId="53F0A5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（项号583）≥40x4mm紫铜材质。</w:t>
            </w:r>
          </w:p>
        </w:tc>
        <w:tc>
          <w:tcPr>
            <w:tcW w:w="992" w:type="dxa"/>
            <w:shd w:val="clear" w:color="auto" w:fill="auto"/>
            <w:vAlign w:val="center"/>
          </w:tcPr>
          <w:p w14:paraId="10F46D1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3FBC697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99 </w:t>
            </w:r>
          </w:p>
        </w:tc>
      </w:tr>
      <w:tr w14:paraId="5A0D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742A2D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6</w:t>
            </w:r>
          </w:p>
        </w:tc>
        <w:tc>
          <w:tcPr>
            <w:tcW w:w="992" w:type="dxa"/>
            <w:shd w:val="clear" w:color="auto" w:fill="FFFFFF"/>
            <w:vAlign w:val="center"/>
          </w:tcPr>
          <w:p w14:paraId="3C0BE97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等电位联结网格</w:t>
            </w:r>
          </w:p>
        </w:tc>
        <w:tc>
          <w:tcPr>
            <w:tcW w:w="6521" w:type="dxa"/>
            <w:shd w:val="clear" w:color="auto" w:fill="FFFFFF"/>
            <w:vAlign w:val="center"/>
          </w:tcPr>
          <w:p w14:paraId="05278BC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（项号584）≥25x1mm黄铜材质。</w:t>
            </w:r>
          </w:p>
        </w:tc>
        <w:tc>
          <w:tcPr>
            <w:tcW w:w="992" w:type="dxa"/>
            <w:shd w:val="clear" w:color="auto" w:fill="auto"/>
            <w:vAlign w:val="center"/>
          </w:tcPr>
          <w:p w14:paraId="09E35DA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5BA449C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 </w:t>
            </w:r>
          </w:p>
        </w:tc>
      </w:tr>
      <w:tr w14:paraId="62E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65C8CBA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7</w:t>
            </w:r>
          </w:p>
        </w:tc>
        <w:tc>
          <w:tcPr>
            <w:tcW w:w="992" w:type="dxa"/>
            <w:shd w:val="clear" w:color="auto" w:fill="FFFFFF"/>
            <w:vAlign w:val="center"/>
          </w:tcPr>
          <w:p w14:paraId="50C5335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接地线</w:t>
            </w:r>
          </w:p>
        </w:tc>
        <w:tc>
          <w:tcPr>
            <w:tcW w:w="6521" w:type="dxa"/>
            <w:shd w:val="clear" w:color="auto" w:fill="FFFFFF"/>
            <w:vAlign w:val="center"/>
          </w:tcPr>
          <w:p w14:paraId="4CFDD5D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（项号585）BVR≥16mm²，无氧铜，聚氯乙烯绝缘层材质。</w:t>
            </w:r>
          </w:p>
        </w:tc>
        <w:tc>
          <w:tcPr>
            <w:tcW w:w="992" w:type="dxa"/>
            <w:shd w:val="clear" w:color="auto" w:fill="auto"/>
            <w:vAlign w:val="center"/>
          </w:tcPr>
          <w:p w14:paraId="6CBBA8F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1DB14F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19 </w:t>
            </w:r>
          </w:p>
        </w:tc>
      </w:tr>
      <w:tr w14:paraId="3FE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13EA69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8</w:t>
            </w:r>
          </w:p>
        </w:tc>
        <w:tc>
          <w:tcPr>
            <w:tcW w:w="992" w:type="dxa"/>
            <w:shd w:val="clear" w:color="auto" w:fill="FFFFFF"/>
            <w:vAlign w:val="center"/>
          </w:tcPr>
          <w:p w14:paraId="106C0A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接地线</w:t>
            </w:r>
          </w:p>
        </w:tc>
        <w:tc>
          <w:tcPr>
            <w:tcW w:w="6521" w:type="dxa"/>
            <w:shd w:val="clear" w:color="auto" w:fill="FFFFFF"/>
            <w:vAlign w:val="center"/>
          </w:tcPr>
          <w:p w14:paraId="40693E3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（项号586）BVR≥6mm²，无氧铜，聚氯乙烯绝缘层材质。</w:t>
            </w:r>
          </w:p>
        </w:tc>
        <w:tc>
          <w:tcPr>
            <w:tcW w:w="992" w:type="dxa"/>
            <w:shd w:val="clear" w:color="auto" w:fill="auto"/>
            <w:vAlign w:val="center"/>
          </w:tcPr>
          <w:p w14:paraId="04BEF50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1E8EF3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230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4A9CBE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9</w:t>
            </w:r>
          </w:p>
        </w:tc>
        <w:tc>
          <w:tcPr>
            <w:tcW w:w="992" w:type="dxa"/>
            <w:shd w:val="clear" w:color="auto" w:fill="FFFFFF"/>
            <w:vAlign w:val="center"/>
          </w:tcPr>
          <w:p w14:paraId="5234680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接地线</w:t>
            </w:r>
          </w:p>
        </w:tc>
        <w:tc>
          <w:tcPr>
            <w:tcW w:w="6521" w:type="dxa"/>
            <w:shd w:val="clear" w:color="auto" w:fill="FFFFFF"/>
            <w:vAlign w:val="center"/>
          </w:tcPr>
          <w:p w14:paraId="1ADDEC7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（项号587）BVR≥35mm²，无氧铜，聚氯乙烯绝缘层材质。</w:t>
            </w:r>
          </w:p>
        </w:tc>
        <w:tc>
          <w:tcPr>
            <w:tcW w:w="992" w:type="dxa"/>
            <w:shd w:val="clear" w:color="auto" w:fill="auto"/>
            <w:vAlign w:val="center"/>
          </w:tcPr>
          <w:p w14:paraId="0D2734F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66FE176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396B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9" w:type="dxa"/>
            <w:gridSpan w:val="5"/>
            <w:shd w:val="clear" w:color="auto" w:fill="FFFFFF"/>
            <w:vAlign w:val="center"/>
          </w:tcPr>
          <w:p w14:paraId="1C42445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机房</w:t>
            </w:r>
          </w:p>
        </w:tc>
      </w:tr>
      <w:tr w14:paraId="50A0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5109004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w:t>
            </w:r>
          </w:p>
        </w:tc>
        <w:tc>
          <w:tcPr>
            <w:tcW w:w="992" w:type="dxa"/>
            <w:shd w:val="clear" w:color="auto" w:fill="FFFFFF"/>
            <w:vAlign w:val="center"/>
          </w:tcPr>
          <w:p w14:paraId="0653156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UTP6</w:t>
            </w:r>
          </w:p>
        </w:tc>
        <w:tc>
          <w:tcPr>
            <w:tcW w:w="6521" w:type="dxa"/>
            <w:shd w:val="clear" w:color="auto" w:fill="FFFFFF"/>
            <w:vAlign w:val="center"/>
          </w:tcPr>
          <w:p w14:paraId="1FE94E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（项号588）符合国标的六类网线，无氧铜8芯双绞线。</w:t>
            </w:r>
          </w:p>
        </w:tc>
        <w:tc>
          <w:tcPr>
            <w:tcW w:w="992" w:type="dxa"/>
            <w:shd w:val="clear" w:color="auto" w:fill="auto"/>
            <w:vAlign w:val="center"/>
          </w:tcPr>
          <w:p w14:paraId="118C741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65ACF74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1F6D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1A1EB5E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21</w:t>
            </w:r>
          </w:p>
        </w:tc>
        <w:tc>
          <w:tcPr>
            <w:tcW w:w="992" w:type="dxa"/>
            <w:shd w:val="clear" w:color="auto" w:fill="FFFFFF"/>
            <w:vAlign w:val="center"/>
          </w:tcPr>
          <w:p w14:paraId="18FB408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RVV4</w:t>
            </w:r>
            <w:r>
              <w:rPr>
                <w:rFonts w:hint="eastAsia" w:asciiTheme="minorEastAsia" w:hAnsiTheme="minorEastAsia" w:eastAsiaTheme="minorEastAsia" w:cstheme="minorEastAsia"/>
                <w:lang w:eastAsia="zh-CN"/>
              </w:rPr>
              <w:t>x</w:t>
            </w:r>
            <w:r>
              <w:rPr>
                <w:rFonts w:hint="eastAsia" w:asciiTheme="minorEastAsia" w:hAnsiTheme="minorEastAsia" w:eastAsiaTheme="minorEastAsia" w:cstheme="minorEastAsia"/>
              </w:rPr>
              <w:t>1.0</w:t>
            </w:r>
          </w:p>
        </w:tc>
        <w:tc>
          <w:tcPr>
            <w:tcW w:w="6521" w:type="dxa"/>
            <w:shd w:val="clear" w:color="auto" w:fill="FFFFFF"/>
            <w:vAlign w:val="center"/>
          </w:tcPr>
          <w:p w14:paraId="2125B5F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（项号589）符合国标,4x1mm²无氧铜，聚氯乙烯绝缘材质。</w:t>
            </w:r>
          </w:p>
        </w:tc>
        <w:tc>
          <w:tcPr>
            <w:tcW w:w="992" w:type="dxa"/>
            <w:shd w:val="clear" w:color="auto" w:fill="auto"/>
            <w:vAlign w:val="center"/>
          </w:tcPr>
          <w:p w14:paraId="393BC9C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2BB288A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 </w:t>
            </w:r>
          </w:p>
        </w:tc>
      </w:tr>
      <w:tr w14:paraId="341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584649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22</w:t>
            </w:r>
          </w:p>
        </w:tc>
        <w:tc>
          <w:tcPr>
            <w:tcW w:w="992" w:type="dxa"/>
            <w:shd w:val="clear" w:color="auto" w:fill="FFFFFF"/>
            <w:vAlign w:val="center"/>
          </w:tcPr>
          <w:p w14:paraId="787B71F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RVV2x1.0</w:t>
            </w:r>
          </w:p>
        </w:tc>
        <w:tc>
          <w:tcPr>
            <w:tcW w:w="6521" w:type="dxa"/>
            <w:shd w:val="clear" w:color="auto" w:fill="FFFFFF"/>
            <w:vAlign w:val="center"/>
          </w:tcPr>
          <w:p w14:paraId="516A60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（项号590）符合国标，2x1mm²无氧铜，聚氯乙烯绝缘材质。</w:t>
            </w:r>
          </w:p>
        </w:tc>
        <w:tc>
          <w:tcPr>
            <w:tcW w:w="992" w:type="dxa"/>
            <w:shd w:val="clear" w:color="auto" w:fill="auto"/>
            <w:vAlign w:val="center"/>
          </w:tcPr>
          <w:p w14:paraId="2D323A5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096D2AA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 </w:t>
            </w:r>
          </w:p>
        </w:tc>
      </w:tr>
      <w:tr w14:paraId="0991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6E853E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23</w:t>
            </w:r>
          </w:p>
        </w:tc>
        <w:tc>
          <w:tcPr>
            <w:tcW w:w="992" w:type="dxa"/>
            <w:shd w:val="clear" w:color="auto" w:fill="FFFFFF"/>
            <w:vAlign w:val="center"/>
          </w:tcPr>
          <w:p w14:paraId="75C76AD5">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YJV5x10</w:t>
            </w:r>
          </w:p>
        </w:tc>
        <w:tc>
          <w:tcPr>
            <w:tcW w:w="6521" w:type="dxa"/>
            <w:shd w:val="clear" w:color="auto" w:fill="FFFFFF"/>
            <w:vAlign w:val="center"/>
          </w:tcPr>
          <w:p w14:paraId="7F64838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（项号591）符合国标，5x10mm²纯铜线芯，PVC绝缘材质。</w:t>
            </w:r>
          </w:p>
        </w:tc>
        <w:tc>
          <w:tcPr>
            <w:tcW w:w="992" w:type="dxa"/>
            <w:shd w:val="clear" w:color="auto" w:fill="auto"/>
            <w:vAlign w:val="center"/>
          </w:tcPr>
          <w:p w14:paraId="7AA7F25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1284525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20 </w:t>
            </w:r>
          </w:p>
        </w:tc>
      </w:tr>
      <w:tr w14:paraId="1947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56CE99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24</w:t>
            </w:r>
          </w:p>
        </w:tc>
        <w:tc>
          <w:tcPr>
            <w:tcW w:w="992" w:type="dxa"/>
            <w:shd w:val="clear" w:color="auto" w:fill="FFFFFF"/>
            <w:vAlign w:val="center"/>
          </w:tcPr>
          <w:p w14:paraId="2E2EF47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BJV3x4</w:t>
            </w:r>
          </w:p>
        </w:tc>
        <w:tc>
          <w:tcPr>
            <w:tcW w:w="6521" w:type="dxa"/>
            <w:shd w:val="clear" w:color="auto" w:fill="FFFFFF"/>
            <w:vAlign w:val="center"/>
          </w:tcPr>
          <w:p w14:paraId="0E063DC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（项号592）3x4mm²纯铜线芯，聚氯乙稀绝缘材质。</w:t>
            </w:r>
          </w:p>
        </w:tc>
        <w:tc>
          <w:tcPr>
            <w:tcW w:w="992" w:type="dxa"/>
            <w:shd w:val="clear" w:color="auto" w:fill="auto"/>
            <w:vAlign w:val="center"/>
          </w:tcPr>
          <w:p w14:paraId="0B287CD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10A080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15 </w:t>
            </w:r>
          </w:p>
        </w:tc>
      </w:tr>
      <w:tr w14:paraId="3714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12" w:type="dxa"/>
            <w:shd w:val="clear" w:color="auto" w:fill="FFFFFF"/>
            <w:vAlign w:val="center"/>
          </w:tcPr>
          <w:p w14:paraId="07CC88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25</w:t>
            </w:r>
          </w:p>
        </w:tc>
        <w:tc>
          <w:tcPr>
            <w:tcW w:w="992" w:type="dxa"/>
            <w:shd w:val="clear" w:color="auto" w:fill="FFFFFF"/>
            <w:vAlign w:val="center"/>
          </w:tcPr>
          <w:p w14:paraId="4B28173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RVSP2x1.0</w:t>
            </w:r>
          </w:p>
        </w:tc>
        <w:tc>
          <w:tcPr>
            <w:tcW w:w="6521" w:type="dxa"/>
            <w:shd w:val="clear" w:color="auto" w:fill="FFFFFF"/>
            <w:vAlign w:val="center"/>
          </w:tcPr>
          <w:p w14:paraId="1C98720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（项号593）2x1mm²无氧铜，聚氯乙稀绝缘材质。</w:t>
            </w:r>
          </w:p>
        </w:tc>
        <w:tc>
          <w:tcPr>
            <w:tcW w:w="992" w:type="dxa"/>
            <w:shd w:val="clear" w:color="auto" w:fill="auto"/>
            <w:vAlign w:val="center"/>
          </w:tcPr>
          <w:p w14:paraId="054B7F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米</w:t>
            </w:r>
          </w:p>
        </w:tc>
        <w:tc>
          <w:tcPr>
            <w:tcW w:w="1032" w:type="dxa"/>
            <w:shd w:val="clear" w:color="auto" w:fill="auto"/>
            <w:vAlign w:val="center"/>
          </w:tcPr>
          <w:p w14:paraId="635A63A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30 </w:t>
            </w:r>
          </w:p>
        </w:tc>
      </w:tr>
    </w:tbl>
    <w:p w14:paraId="7B51AD13">
      <w:pPr>
        <w:rPr>
          <w:rFonts w:hint="eastAsia" w:asciiTheme="minorEastAsia" w:hAnsiTheme="minorEastAsia" w:eastAsiaTheme="minorEastAsia" w:cstheme="minorEastAsia"/>
        </w:rPr>
      </w:pPr>
    </w:p>
    <w:p w14:paraId="5BE83D9B">
      <w:pPr>
        <w:rPr>
          <w:rFonts w:hint="eastAsia" w:asciiTheme="minorEastAsia" w:hAnsiTheme="minorEastAsia" w:eastAsiaTheme="minorEastAsia" w:cstheme="minorEastAsia"/>
        </w:rPr>
      </w:pPr>
    </w:p>
    <w:tbl>
      <w:tblPr>
        <w:tblStyle w:val="16"/>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26"/>
        <w:gridCol w:w="6587"/>
        <w:gridCol w:w="992"/>
        <w:gridCol w:w="1068"/>
      </w:tblGrid>
      <w:tr w14:paraId="79DC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0" w:type="dxa"/>
            <w:gridSpan w:val="5"/>
            <w:shd w:val="clear" w:color="auto" w:fill="auto"/>
            <w:vAlign w:val="center"/>
          </w:tcPr>
          <w:p w14:paraId="7D85329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配套设施</w:t>
            </w:r>
          </w:p>
        </w:tc>
      </w:tr>
      <w:tr w14:paraId="649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6F2E24D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926" w:type="dxa"/>
            <w:shd w:val="clear" w:color="auto" w:fill="auto"/>
            <w:vAlign w:val="center"/>
          </w:tcPr>
          <w:p w14:paraId="53FAB34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87" w:type="dxa"/>
            <w:shd w:val="clear" w:color="auto" w:fill="auto"/>
            <w:noWrap/>
            <w:vAlign w:val="center"/>
          </w:tcPr>
          <w:p w14:paraId="7FB4842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auto" w:fill="auto"/>
            <w:vAlign w:val="center"/>
          </w:tcPr>
          <w:p w14:paraId="1D1ADC3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68" w:type="dxa"/>
            <w:shd w:val="clear" w:color="auto" w:fill="auto"/>
            <w:vAlign w:val="center"/>
          </w:tcPr>
          <w:p w14:paraId="692D5D6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3DFB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0F2AE1C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26" w:type="dxa"/>
            <w:shd w:val="clear" w:color="auto" w:fill="auto"/>
            <w:vAlign w:val="center"/>
          </w:tcPr>
          <w:p w14:paraId="3847D78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曲面显示器</w:t>
            </w:r>
          </w:p>
        </w:tc>
        <w:tc>
          <w:tcPr>
            <w:tcW w:w="6587" w:type="dxa"/>
            <w:shd w:val="clear" w:color="auto" w:fill="auto"/>
            <w:noWrap/>
            <w:vAlign w:val="center"/>
          </w:tcPr>
          <w:p w14:paraId="1949E03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（项号594）1、屏显尺寸：≥49英寸或124厘米；分辨率≥5120 ×1440；曲率≥1800R；宽高比：≥32:9；</w:t>
            </w:r>
          </w:p>
          <w:p w14:paraId="58136D3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（项号595）2、支持2路信号输入配合2路KVM坐席设备使用。</w:t>
            </w:r>
          </w:p>
        </w:tc>
        <w:tc>
          <w:tcPr>
            <w:tcW w:w="992" w:type="dxa"/>
            <w:shd w:val="clear" w:color="auto" w:fill="auto"/>
            <w:vAlign w:val="center"/>
          </w:tcPr>
          <w:p w14:paraId="3298054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68" w:type="dxa"/>
            <w:shd w:val="clear" w:color="auto" w:fill="FFFFFF"/>
            <w:vAlign w:val="center"/>
          </w:tcPr>
          <w:p w14:paraId="4754EAC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14:paraId="184F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030220A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6" w:type="dxa"/>
            <w:shd w:val="clear" w:color="auto" w:fill="auto"/>
            <w:vAlign w:val="center"/>
          </w:tcPr>
          <w:p w14:paraId="4282FE0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液晶显示器</w:t>
            </w:r>
          </w:p>
        </w:tc>
        <w:tc>
          <w:tcPr>
            <w:tcW w:w="6587" w:type="dxa"/>
            <w:shd w:val="clear" w:color="auto" w:fill="auto"/>
            <w:noWrap/>
            <w:vAlign w:val="center"/>
          </w:tcPr>
          <w:p w14:paraId="7C70345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（项号596）1、屏显尺寸：≥27英寸；分辨率≥1920x1080；宽高比：16:9；</w:t>
            </w:r>
          </w:p>
          <w:p w14:paraId="370309D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（项号597）</w:t>
            </w:r>
            <w:r>
              <w:rPr>
                <w:rFonts w:hint="eastAsia" w:asciiTheme="minorEastAsia" w:hAnsiTheme="minorEastAsia" w:eastAsiaTheme="minorEastAsia" w:cstheme="minorEastAsia"/>
              </w:rPr>
              <w:t>2、接口</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：VGA、DisplayPort1.2（具有HDCP1.4功能）、HDMI1.4x1。</w:t>
            </w:r>
          </w:p>
        </w:tc>
        <w:tc>
          <w:tcPr>
            <w:tcW w:w="992" w:type="dxa"/>
            <w:shd w:val="clear" w:color="auto" w:fill="auto"/>
            <w:vAlign w:val="center"/>
          </w:tcPr>
          <w:p w14:paraId="6598D1C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68" w:type="dxa"/>
            <w:shd w:val="clear" w:color="auto" w:fill="FFFFFF"/>
            <w:vAlign w:val="center"/>
          </w:tcPr>
          <w:p w14:paraId="25AFE93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28</w:t>
            </w:r>
          </w:p>
        </w:tc>
      </w:tr>
      <w:tr w14:paraId="5363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62EE3BC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26" w:type="dxa"/>
            <w:shd w:val="clear" w:color="auto" w:fill="FFFFFF"/>
            <w:vAlign w:val="center"/>
          </w:tcPr>
          <w:p w14:paraId="3B51383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显示器支架</w:t>
            </w:r>
          </w:p>
        </w:tc>
        <w:tc>
          <w:tcPr>
            <w:tcW w:w="6587" w:type="dxa"/>
            <w:shd w:val="clear" w:color="auto" w:fill="FFFFFF"/>
            <w:noWrap/>
            <w:vAlign w:val="center"/>
          </w:tcPr>
          <w:p w14:paraId="4570EC0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（项号598）固定于控制台背板墙，可9方向自由调节，伸缩的铝合金液晶支架，承重范围为 1.5-8.5kg，支持 30″以下显示器，适配显示器固定孔 75mm *75mm、 100mm*100mm；支持显示器上下调动≥410mm、仰俯角度 +90°～ -45°、左右摇摆 ±90°、旋转 360°。</w:t>
            </w:r>
          </w:p>
        </w:tc>
        <w:tc>
          <w:tcPr>
            <w:tcW w:w="992" w:type="dxa"/>
            <w:shd w:val="clear" w:color="auto" w:fill="FFFFFF"/>
            <w:vAlign w:val="center"/>
          </w:tcPr>
          <w:p w14:paraId="18E4603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68" w:type="dxa"/>
            <w:shd w:val="clear" w:color="auto" w:fill="FFFFFF"/>
            <w:vAlign w:val="center"/>
          </w:tcPr>
          <w:p w14:paraId="204BE7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r>
      <w:tr w14:paraId="71AC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5672648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26" w:type="dxa"/>
            <w:shd w:val="clear" w:color="auto" w:fill="FFFFFF"/>
            <w:vAlign w:val="center"/>
          </w:tcPr>
          <w:p w14:paraId="14494A3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视频工作站</w:t>
            </w:r>
          </w:p>
        </w:tc>
        <w:tc>
          <w:tcPr>
            <w:tcW w:w="6587" w:type="dxa"/>
            <w:shd w:val="clear" w:color="auto" w:fill="FFFFFF"/>
            <w:noWrap/>
            <w:vAlign w:val="center"/>
          </w:tcPr>
          <w:p w14:paraId="36987F4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（项号599）1、CPU：≥6核心，主频≥ 3.1GHz；</w:t>
            </w:r>
          </w:p>
          <w:p w14:paraId="5CA6676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（项号600）2、内存：≥16GB；</w:t>
            </w:r>
          </w:p>
          <w:p w14:paraId="538B17D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（项号601）3、存储：≥256G SSD + 1TB HD 7200RPM；</w:t>
            </w:r>
          </w:p>
          <w:p w14:paraId="279CD1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（项号602）4、显卡：≥4GB 独立显卡；</w:t>
            </w:r>
          </w:p>
          <w:p w14:paraId="1B93B1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（项号603）5、系统：标配操作系统。</w:t>
            </w:r>
          </w:p>
        </w:tc>
        <w:tc>
          <w:tcPr>
            <w:tcW w:w="992" w:type="dxa"/>
            <w:shd w:val="clear" w:color="auto" w:fill="FFFFFF"/>
            <w:vAlign w:val="center"/>
          </w:tcPr>
          <w:p w14:paraId="4513873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68" w:type="dxa"/>
            <w:shd w:val="clear" w:color="auto" w:fill="FFFFFF"/>
            <w:vAlign w:val="center"/>
          </w:tcPr>
          <w:p w14:paraId="14626E78">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r>
      <w:tr w14:paraId="0344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59239CE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26" w:type="dxa"/>
            <w:shd w:val="clear" w:color="auto" w:fill="FFFFFF"/>
            <w:vAlign w:val="center"/>
          </w:tcPr>
          <w:p w14:paraId="6AE6FD1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无线投屏器</w:t>
            </w:r>
          </w:p>
        </w:tc>
        <w:tc>
          <w:tcPr>
            <w:tcW w:w="6587" w:type="dxa"/>
            <w:shd w:val="clear" w:color="auto" w:fill="FFFFFF"/>
            <w:noWrap/>
            <w:vAlign w:val="center"/>
          </w:tcPr>
          <w:p w14:paraId="36F0C20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（项号604）1、视频输出：HDMI输出，分辨率可调；</w:t>
            </w:r>
          </w:p>
          <w:p w14:paraId="0E27F91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（项号605）2、帧速率：最高≥30fp；</w:t>
            </w:r>
          </w:p>
          <w:p w14:paraId="00CB5FE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（项号606）3、输出分辨率：≥1080p/1920x1200。</w:t>
            </w:r>
          </w:p>
        </w:tc>
        <w:tc>
          <w:tcPr>
            <w:tcW w:w="992" w:type="dxa"/>
            <w:shd w:val="clear" w:color="auto" w:fill="FFFFFF"/>
            <w:vAlign w:val="center"/>
          </w:tcPr>
          <w:p w14:paraId="0A2E5941">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1068" w:type="dxa"/>
            <w:shd w:val="clear" w:color="auto" w:fill="FFFFFF"/>
            <w:vAlign w:val="center"/>
          </w:tcPr>
          <w:p w14:paraId="5C32D9BD">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r>
      <w:tr w14:paraId="32DD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43601B9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26" w:type="dxa"/>
            <w:shd w:val="clear" w:color="auto" w:fill="FFFFFF"/>
            <w:vAlign w:val="center"/>
          </w:tcPr>
          <w:p w14:paraId="2341DD8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广告屏</w:t>
            </w:r>
          </w:p>
        </w:tc>
        <w:tc>
          <w:tcPr>
            <w:tcW w:w="6587" w:type="dxa"/>
            <w:shd w:val="clear" w:color="auto" w:fill="FFFFFF"/>
            <w:noWrap/>
            <w:vAlign w:val="center"/>
          </w:tcPr>
          <w:p w14:paraId="4BC9C5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（项号607）1、屏幕尺寸：≥32 英寸，分辨率≥1920*1080；</w:t>
            </w:r>
          </w:p>
          <w:p w14:paraId="54A11E5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（项号608）2、系统为Android，内存≥ 2 G，存储≥ 16 G；</w:t>
            </w:r>
          </w:p>
          <w:p w14:paraId="651AD1F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（项号609）3、支持通过CS端、BS端、手机、平板移动端、设备本地等多重管理；</w:t>
            </w:r>
          </w:p>
          <w:p w14:paraId="7A47FC4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（项号610）4、产品支持功能：添加素材、修改素材、删除素材、审核素材、素材预览，下载素材素材模糊搜索，素材精确搜索，替換素材；</w:t>
            </w:r>
          </w:p>
          <w:p w14:paraId="591B692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611）5、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p>
          <w:p w14:paraId="0FD3DBF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（项号612）6、产品支持新建节目，修改节目（名称、分辨率、属性、描述口），删除节目，复制节目（复制节目模板和完全复制两种），节目预览，审核节日（通过、未通过），隐藏锁定窗口；</w:t>
            </w:r>
          </w:p>
          <w:p w14:paraId="55E71CB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（项号613）7、支持的节目分辨率：1920*1080、1080*1920、2160*3840、3840*2160、支持自定义分辨率（自定义分辨率最大支持3840*3840）；</w:t>
            </w:r>
          </w:p>
          <w:p w14:paraId="1FCAADE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614）8、节目支持多个页面（支持≥32个组成，页面包括多个窗口至少支持≥16个，同一个页面中的窗口类型可以不一样），支持一个页面不同的窗口播放不同的素材同时可以添加时钟窗口（时钟的样式可选）、倒计时窗口，也可以添加节目单背景图；</w:t>
            </w:r>
          </w:p>
          <w:p w14:paraId="4E64916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（项号615）9、支持按日播放，按周播放，轮播，自定义播放（年365天自定义播放），垫片日程；支持日程按终端组和按终端方式发布，支持定时发布和预发布功能；</w:t>
            </w:r>
          </w:p>
          <w:p w14:paraId="1DCE37B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616）10、终端支持功能：定时开关机设置（支持按周、按日配置，每天可配置≥8组策略），时段音量设置，终端亮度设置，默认音量设置，开机logo设置，终端关联服务器，垫片日程开关、终端密码修改温度保。</w:t>
            </w:r>
          </w:p>
        </w:tc>
        <w:tc>
          <w:tcPr>
            <w:tcW w:w="992" w:type="dxa"/>
            <w:shd w:val="clear" w:color="auto" w:fill="FFFFFF"/>
            <w:vAlign w:val="center"/>
          </w:tcPr>
          <w:p w14:paraId="545333B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台</w:t>
            </w:r>
          </w:p>
        </w:tc>
        <w:tc>
          <w:tcPr>
            <w:tcW w:w="1068" w:type="dxa"/>
            <w:shd w:val="clear" w:color="auto" w:fill="FFFFFF"/>
            <w:vAlign w:val="center"/>
          </w:tcPr>
          <w:p w14:paraId="5C82A0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r>
      <w:tr w14:paraId="4E2F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0" w:type="dxa"/>
            <w:gridSpan w:val="5"/>
            <w:shd w:val="clear" w:color="auto" w:fill="FFFFFF"/>
            <w:vAlign w:val="center"/>
          </w:tcPr>
          <w:p w14:paraId="36F84AE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指挥大厅控制台</w:t>
            </w:r>
          </w:p>
        </w:tc>
      </w:tr>
      <w:tr w14:paraId="7956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1C5F7D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c>
          <w:tcPr>
            <w:tcW w:w="926" w:type="dxa"/>
            <w:shd w:val="clear" w:color="auto" w:fill="FFFFFF"/>
            <w:vAlign w:val="center"/>
          </w:tcPr>
          <w:p w14:paraId="5002256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9人位领导观摩席 </w:t>
            </w:r>
          </w:p>
        </w:tc>
        <w:tc>
          <w:tcPr>
            <w:tcW w:w="6587" w:type="dxa"/>
            <w:shd w:val="clear" w:color="auto" w:fill="FFFFFF"/>
            <w:noWrap/>
            <w:vAlign w:val="center"/>
          </w:tcPr>
          <w:p w14:paraId="3A3728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（项号617）1、控制台布置尺寸规格：长*宽*高≥8300mm*1000mm*750mm；                                                               （项号618）2、框架结构：主体框架结构应使用优质冷轧钢板，其中主承重结构采用≥3.0mm厚冷轧钢板加工，一般受力配件采用≥2.0mm厚优质冷轧钢板钣金加工；</w:t>
            </w:r>
          </w:p>
          <w:p w14:paraId="2F4D477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（项号619）3、台面板：面板使用实木颗粒板双面贴防火板加工，整体厚度≥27mm,符合相关环保标准。面板前侧采用鸭嘴封边手枕，与桌面材质无缝粘接，保证整体外观协调统一；</w:t>
            </w:r>
          </w:p>
          <w:p w14:paraId="691DC6E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620）4、框架前后门板使用≥1.2mm厚的优质冷轧钢板制作，整体厚度为≥20mm，门板通过钣金冲压工艺开有散热孔，便于内部设备散热，门板表面采用静电喷塑工艺，使用铰链连接到框架上，保证其≥60000次无障碍开启，可实现快速安装和拆卸；</w:t>
            </w:r>
          </w:p>
          <w:p w14:paraId="5B54F3F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621）5、侧板主体应采用铝合金型材材质，侧板整体宽度为≥100mm，横向和纵向连接件应采用拉拔铝型材，连接拐角处应采用压铸工艺一次成型开模铝型材，侧板主体内部应由乳白亚克力与钣金材质组成，通过激光切割工艺在外装饰钣金板上定制LOGO和文字等信息，在亚克力板内部通过LED灯光，实现侧板整体装饰灯光效果和发光LOGO显示的效果；且可以通过控制器改变灯光的模式和颜色。</w:t>
            </w:r>
          </w:p>
        </w:tc>
        <w:tc>
          <w:tcPr>
            <w:tcW w:w="992" w:type="dxa"/>
            <w:shd w:val="clear" w:color="auto" w:fill="FFFFFF"/>
            <w:vAlign w:val="center"/>
          </w:tcPr>
          <w:p w14:paraId="7DE84A98">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4198CC6D">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1</w:t>
            </w:r>
          </w:p>
        </w:tc>
      </w:tr>
      <w:tr w14:paraId="5489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2B38F86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w:t>
            </w:r>
          </w:p>
        </w:tc>
        <w:tc>
          <w:tcPr>
            <w:tcW w:w="926" w:type="dxa"/>
            <w:shd w:val="clear" w:color="auto" w:fill="FFFFFF"/>
            <w:vAlign w:val="center"/>
          </w:tcPr>
          <w:p w14:paraId="2985815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6人位操坐席</w:t>
            </w:r>
          </w:p>
        </w:tc>
        <w:tc>
          <w:tcPr>
            <w:tcW w:w="6587" w:type="dxa"/>
            <w:shd w:val="clear" w:color="auto" w:fill="FFFFFF"/>
            <w:noWrap/>
            <w:vAlign w:val="center"/>
          </w:tcPr>
          <w:p w14:paraId="02C8458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（项号622）1、布置尺寸规格：长*宽*高 ≥ 8700mm*1000mm*750mm；                                                                          （项号623）2、框架结构：主体框架结构应使用优质冷轧钢板，其中主承重结构采用≥3.0mm厚冷轧钢板加工，一般受力配件采用≥2.0mm厚优质冷轧钢板钣金加工；</w:t>
            </w:r>
          </w:p>
          <w:p w14:paraId="2763A6F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（项号624）3、台面板：面板使用实木颗粒板双面贴防火板加工，整体厚度≥27mm。面板前侧采用鸭嘴封边手枕，与桌面材质无缝粘接，保证整体外观协调统一；</w:t>
            </w:r>
          </w:p>
          <w:p w14:paraId="081309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625）4、框架前后门板使用≥1.2mm厚的优质冷轧钢板制作，整体厚度为≥20mm，门板通过钣金冲压工艺开有散热孔，便于内部设备散热，门板表面采用静电喷塑工艺，使用铰链连接到框架上，保证其≥60000次无障碍开启，可实现快速安装和拆卸；</w:t>
            </w:r>
          </w:p>
          <w:p w14:paraId="1CE54C3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626）5、侧板主体应采用铝合金型材材质，侧板整体宽度为≥100mm，横向和纵向连接件应采用拉拔铝型材，连接拐角处应采用压铸工艺一次成型开模铝型材，光滑过渡无尖角。侧板主体内部应由乳白亚克力与钣金材质组成，通过激光切割工艺在外装饰钣金板上定制LOGO和文字等信息，在亚克力板内部通过LED灯光，实现侧板整体装饰灯光效果和发光LOGO显示的效果；且可以通过控制器改变灯光的模式和颜色； </w:t>
            </w:r>
          </w:p>
        </w:tc>
        <w:tc>
          <w:tcPr>
            <w:tcW w:w="992" w:type="dxa"/>
            <w:shd w:val="clear" w:color="auto" w:fill="FFFFFF"/>
            <w:vAlign w:val="center"/>
          </w:tcPr>
          <w:p w14:paraId="2401C1AB">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0480E8FF">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2</w:t>
            </w:r>
          </w:p>
        </w:tc>
      </w:tr>
      <w:tr w14:paraId="7764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64B4648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p>
        </w:tc>
        <w:tc>
          <w:tcPr>
            <w:tcW w:w="926" w:type="dxa"/>
            <w:shd w:val="clear" w:color="auto" w:fill="FFFFFF"/>
            <w:vAlign w:val="center"/>
          </w:tcPr>
          <w:p w14:paraId="33BBE73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灯光控制器软件          （配套指挥席）</w:t>
            </w:r>
          </w:p>
        </w:tc>
        <w:tc>
          <w:tcPr>
            <w:tcW w:w="6587" w:type="dxa"/>
            <w:shd w:val="clear" w:color="auto" w:fill="FFFFFF"/>
            <w:noWrap/>
            <w:vAlign w:val="center"/>
          </w:tcPr>
          <w:p w14:paraId="7F9091F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（项号627）1、支持本地按钮改变6种常用氛围颜色切换，也支持6种特定颜色切换；</w:t>
            </w:r>
          </w:p>
          <w:p w14:paraId="30D95F9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（项号628）2、支持RGB任意颜色调整；</w:t>
            </w:r>
          </w:p>
          <w:p w14:paraId="72E2B9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（项号629）3、支持常亮、闪烁两种常用氛围状态；</w:t>
            </w:r>
          </w:p>
          <w:p w14:paraId="1349C20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（项号630）4、支持485通信协议组网，确保远距离传输的稳定可靠性的同时，兼具了更丰富的控制方式；</w:t>
            </w:r>
          </w:p>
          <w:p w14:paraId="56E41E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（项号631）5、支持智能微调色彩功能，手动还原功能；</w:t>
            </w:r>
          </w:p>
        </w:tc>
        <w:tc>
          <w:tcPr>
            <w:tcW w:w="992" w:type="dxa"/>
            <w:shd w:val="clear" w:color="auto" w:fill="FFFFFF"/>
            <w:vAlign w:val="center"/>
          </w:tcPr>
          <w:p w14:paraId="23711957">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75F8A7BE">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2</w:t>
            </w:r>
          </w:p>
        </w:tc>
      </w:tr>
      <w:tr w14:paraId="5FF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53EBF30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c>
          <w:tcPr>
            <w:tcW w:w="926" w:type="dxa"/>
            <w:shd w:val="clear" w:color="auto" w:fill="FFFFFF"/>
            <w:vAlign w:val="center"/>
          </w:tcPr>
          <w:p w14:paraId="1EB73DE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单层挂墙机械支臂</w:t>
            </w:r>
          </w:p>
        </w:tc>
        <w:tc>
          <w:tcPr>
            <w:tcW w:w="6587" w:type="dxa"/>
            <w:shd w:val="clear" w:color="auto" w:fill="FFFFFF"/>
            <w:noWrap/>
            <w:vAlign w:val="center"/>
          </w:tcPr>
          <w:p w14:paraId="32743E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（项号632）1、显示器推荐尺寸：≤27"；</w:t>
            </w:r>
          </w:p>
          <w:p w14:paraId="349BBEC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（项号633）2、单臂承重范围：1～5KG；</w:t>
            </w:r>
          </w:p>
          <w:p w14:paraId="486D65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（项号634）3、手臂最大可延伸≤614mm；</w:t>
            </w:r>
          </w:p>
          <w:p w14:paraId="39B7EF6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（项号635）4、手臂可折叠的最小尺寸为≥138mm；</w:t>
            </w:r>
          </w:p>
          <w:p w14:paraId="52FB641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（项号636）5、可调倾斜范围：±90°；</w:t>
            </w:r>
          </w:p>
          <w:p w14:paraId="1F46411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（项号637）6、左右摆动：±90°，旋转角度：360°； </w:t>
            </w:r>
          </w:p>
          <w:p w14:paraId="26993A5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（项号638）7、调整高度范围≥200mm；</w:t>
            </w:r>
          </w:p>
          <w:p w14:paraId="511A2DE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（项号639）8、立柱高度：≥300mm。</w:t>
            </w:r>
          </w:p>
        </w:tc>
        <w:tc>
          <w:tcPr>
            <w:tcW w:w="992" w:type="dxa"/>
            <w:shd w:val="clear" w:color="auto" w:fill="FFFFFF"/>
            <w:vAlign w:val="center"/>
          </w:tcPr>
          <w:p w14:paraId="7B63B92E">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4B37B69C">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24</w:t>
            </w:r>
          </w:p>
        </w:tc>
      </w:tr>
      <w:tr w14:paraId="5179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1F0494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926" w:type="dxa"/>
            <w:shd w:val="clear" w:color="auto" w:fill="FFFFFF"/>
            <w:vAlign w:val="center"/>
          </w:tcPr>
          <w:p w14:paraId="273FD140">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PDU</w:t>
            </w:r>
          </w:p>
        </w:tc>
        <w:tc>
          <w:tcPr>
            <w:tcW w:w="6587" w:type="dxa"/>
            <w:shd w:val="clear" w:color="auto" w:fill="FFFFFF"/>
            <w:noWrap/>
            <w:vAlign w:val="center"/>
          </w:tcPr>
          <w:p w14:paraId="13691D1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（项号640）1、≤19英寸标准安装；</w:t>
            </w:r>
          </w:p>
          <w:p w14:paraId="29F6228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（项号641）2、插座孔形及数量：八位/六位国标五孔；</w:t>
            </w:r>
          </w:p>
          <w:p w14:paraId="550F648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（项号642）3、输出线长度：≥2米线缆，端头为标准三孔插头；</w:t>
            </w:r>
          </w:p>
          <w:p w14:paraId="317B19A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（项号643）4、额定电压/额定电流：≥220V/10A；</w:t>
            </w:r>
          </w:p>
          <w:p w14:paraId="6082FC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（项号644）5、外壳材质：黑色铝合金；</w:t>
            </w:r>
          </w:p>
          <w:p w14:paraId="6E8C470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（项号645）6、带电源开关。</w:t>
            </w:r>
          </w:p>
        </w:tc>
        <w:tc>
          <w:tcPr>
            <w:tcW w:w="992" w:type="dxa"/>
            <w:shd w:val="clear" w:color="auto" w:fill="FFFFFF"/>
            <w:vAlign w:val="center"/>
          </w:tcPr>
          <w:p w14:paraId="6D78E1F4">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个</w:t>
            </w:r>
          </w:p>
        </w:tc>
        <w:tc>
          <w:tcPr>
            <w:tcW w:w="1068" w:type="dxa"/>
            <w:shd w:val="clear" w:color="auto" w:fill="FFFFFF"/>
            <w:vAlign w:val="center"/>
          </w:tcPr>
          <w:p w14:paraId="13A87913">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12</w:t>
            </w:r>
          </w:p>
        </w:tc>
      </w:tr>
      <w:tr w14:paraId="751E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218A82E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w:t>
            </w:r>
          </w:p>
        </w:tc>
        <w:tc>
          <w:tcPr>
            <w:tcW w:w="926" w:type="dxa"/>
            <w:shd w:val="clear" w:color="auto" w:fill="FFFFFF"/>
            <w:vAlign w:val="center"/>
          </w:tcPr>
          <w:p w14:paraId="3376276E">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键盘托盘</w:t>
            </w:r>
          </w:p>
        </w:tc>
        <w:tc>
          <w:tcPr>
            <w:tcW w:w="6587" w:type="dxa"/>
            <w:shd w:val="clear" w:color="auto" w:fill="FFFFFF"/>
            <w:noWrap/>
            <w:vAlign w:val="center"/>
          </w:tcPr>
          <w:p w14:paraId="1ACD482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（项号646）1、钢制滑轨，可抽拉式，外置配置扶手，对手腕有一个自然的托举，符合人体工程学；</w:t>
            </w:r>
          </w:p>
          <w:p w14:paraId="4BAE415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（项号647）2、尺寸≥550*315*75mm；</w:t>
            </w:r>
          </w:p>
        </w:tc>
        <w:tc>
          <w:tcPr>
            <w:tcW w:w="992" w:type="dxa"/>
            <w:shd w:val="clear" w:color="auto" w:fill="FFFFFF"/>
            <w:vAlign w:val="center"/>
          </w:tcPr>
          <w:p w14:paraId="555F331B">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0AF052A4">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12</w:t>
            </w:r>
          </w:p>
        </w:tc>
      </w:tr>
      <w:tr w14:paraId="43FA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4346318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12</w:t>
            </w:r>
          </w:p>
        </w:tc>
        <w:tc>
          <w:tcPr>
            <w:tcW w:w="926" w:type="dxa"/>
            <w:shd w:val="clear" w:color="auto" w:fill="FFFFFF"/>
            <w:noWrap/>
            <w:vAlign w:val="center"/>
          </w:tcPr>
          <w:p w14:paraId="4F891B5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LED屏</w:t>
            </w:r>
          </w:p>
        </w:tc>
        <w:tc>
          <w:tcPr>
            <w:tcW w:w="6587" w:type="dxa"/>
            <w:shd w:val="clear" w:color="auto" w:fill="FFFFFF"/>
            <w:vAlign w:val="center"/>
          </w:tcPr>
          <w:p w14:paraId="5378768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（项号648）1、2F直角屏；</w:t>
            </w:r>
          </w:p>
          <w:p w14:paraId="1ADCF74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（项号649）2、像素间距：≤1.25mm，箱体数量30：5行6列，显示屏面积：≥6.08m²，显示尺寸：≥3.6m×1.6875m，分辨率：≥2880*1350；</w:t>
            </w:r>
          </w:p>
          <w:p w14:paraId="2DB844D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（项号650）3、像素结构：1R1G1B；</w:t>
            </w:r>
          </w:p>
          <w:p w14:paraId="7278AE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（项号651）4、封装方式：SMD；</w:t>
            </w:r>
          </w:p>
          <w:p w14:paraId="2B238D9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（项号652）5、像素密度：≥640000点/㎡；</w:t>
            </w:r>
          </w:p>
          <w:p w14:paraId="09CA10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（项号653）6、箱体模组组成：1*4；</w:t>
            </w:r>
          </w:p>
          <w:p w14:paraId="1DCCF8F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（项号654）7、箱体尺寸：600mm（W）×337.5mm（H）×41.6mm（D）（允许正负偏离5%）；</w:t>
            </w:r>
          </w:p>
          <w:p w14:paraId="496F07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（项号655）8、箱体分辨率：≥480×270；</w:t>
            </w:r>
          </w:p>
          <w:p w14:paraId="61AA20D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（项号656）9、维护方式：完全前维护 ；</w:t>
            </w:r>
          </w:p>
          <w:p w14:paraId="512C8E5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（项号657）10、封装品牌：国产铜线 ；</w:t>
            </w:r>
          </w:p>
          <w:p w14:paraId="524CC8A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（项号658）11、白平衡亮度：≥600 cd/㎡；</w:t>
            </w:r>
          </w:p>
          <w:p w14:paraId="2214457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（项号659）12、色温：3000-10000 K可调；</w:t>
            </w:r>
          </w:p>
          <w:p w14:paraId="5D824D2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（项号660）13、可视角：≥160°(H)/160°(V)；</w:t>
            </w:r>
          </w:p>
          <w:p w14:paraId="647926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（项号661）14、对比度：≥3000：1；</w:t>
            </w:r>
          </w:p>
          <w:p w14:paraId="10905A2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（项号662）15、亮度均匀性：≥ 97％ ；</w:t>
            </w:r>
          </w:p>
          <w:p w14:paraId="012CC89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（项号663）16、换帧频率：≥60 Hz；</w:t>
            </w:r>
          </w:p>
          <w:p w14:paraId="5DDB95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（项号664）17、刷新率：≥3840 Hz；</w:t>
            </w:r>
          </w:p>
          <w:p w14:paraId="6594D2E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（项号665）18、灰度等级：支持≥16 bit。</w:t>
            </w:r>
          </w:p>
        </w:tc>
        <w:tc>
          <w:tcPr>
            <w:tcW w:w="992" w:type="dxa"/>
            <w:shd w:val="clear" w:color="auto" w:fill="FFFFFF"/>
            <w:noWrap/>
            <w:vAlign w:val="center"/>
          </w:tcPr>
          <w:p w14:paraId="26990057">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平方米</w:t>
            </w:r>
          </w:p>
        </w:tc>
        <w:tc>
          <w:tcPr>
            <w:tcW w:w="1068" w:type="dxa"/>
            <w:shd w:val="clear" w:color="auto" w:fill="FFFFFF"/>
            <w:vAlign w:val="center"/>
          </w:tcPr>
          <w:p w14:paraId="1924114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6.08</w:t>
            </w:r>
          </w:p>
        </w:tc>
      </w:tr>
      <w:tr w14:paraId="0E6A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4BDF5D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D6DC0">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大屏支架</w:t>
            </w:r>
          </w:p>
        </w:tc>
        <w:tc>
          <w:tcPr>
            <w:tcW w:w="6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3DE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（项号666）1、厚度：箱体屏幕支架≥ 150mm，模组支架屏幕 ≥126.5mm；</w:t>
            </w:r>
          </w:p>
          <w:p w14:paraId="7981ED9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（项号667）2、弧度：0°；</w:t>
            </w:r>
          </w:p>
          <w:p w14:paraId="68560A7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（项号668）3、颜色：黑色；</w:t>
            </w:r>
          </w:p>
          <w:p w14:paraId="6734E3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（项号669）4、材料：SPCC 高强度钢板；</w:t>
            </w:r>
          </w:p>
          <w:p w14:paraId="51E41DB4">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（项号670）5、表面处理：静电喷塑。</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19C9">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平方米</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43AF">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 xml:space="preserve">6.08 </w:t>
            </w:r>
          </w:p>
        </w:tc>
      </w:tr>
      <w:tr w14:paraId="21B2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7BB8A5E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8EBF">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拼控机箱</w:t>
            </w:r>
          </w:p>
        </w:tc>
        <w:tc>
          <w:tcPr>
            <w:tcW w:w="6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79D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（项号671）1、4.5U标准机架式设计，运营级ATCA机箱系统；</w:t>
            </w:r>
          </w:p>
          <w:p w14:paraId="0203774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（项号672）2、双电源冗余设计、可拓展双主控，智能风扇自动调温，确保系统稳定可靠；</w:t>
            </w:r>
          </w:p>
          <w:p w14:paraId="348101A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（项号673）3、插拔式模块化设计，可根据需求灵活扩展，业务板卡可热插拔，方便设备维护；</w:t>
            </w:r>
          </w:p>
          <w:p w14:paraId="22C1071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（项号674）4、音视频输入；支持电脑、视频会议终端、超高分服务器等视频输入信号源，支持VGA、DVI、HDMI、HDMI 4K、DP 4K信号输入，支持网络IPC、NVR等设备类型作为网络信号源输入；</w:t>
            </w:r>
          </w:p>
          <w:p w14:paraId="21BC626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（项号675）5、解码板支持IPC/NVR等网络源解码，支持H264、H265、Smart264、Smart265、MJPEG等主流格式，支持PS、TS、ES、RTP、HIK等主流封装格式；</w:t>
            </w:r>
          </w:p>
          <w:p w14:paraId="769F800E">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676）6、支持多电视墙，支持4电视墙，支持电视墙预编辑、窗口可视化预览，支持开窗和漫游功能，单屏最大支持6个4K图层开窗，单个窗口支持1/4/6/8/9/16画面分割，支持4张底图显示，单墙1张，分辨率为1080P，支持通过客户端软件抓屏，进行桌面投屏上墙，设备接入和开放，支持网络键盘/串口键盘接入进行设备控制，通过键盘操作实现视分屏切换、组操作及轮巡、场景切换、PTZ控制、电视墙回放等。</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CD8A">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E8E1">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1</w:t>
            </w:r>
          </w:p>
        </w:tc>
      </w:tr>
      <w:tr w14:paraId="59F6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0D2712E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AF0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输入板卡</w:t>
            </w:r>
          </w:p>
        </w:tc>
        <w:tc>
          <w:tcPr>
            <w:tcW w:w="6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6C4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（项号677）1、≥4路HDMI输入板，支持≥4路2K HDMI信号输入；</w:t>
            </w:r>
          </w:p>
          <w:p w14:paraId="5063A07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（项号678）2、支持HDMI音频复合输入；</w:t>
            </w:r>
          </w:p>
          <w:p w14:paraId="1F4AE08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（项号679）3、视频输入接口类型：HDMI 1.4；</w:t>
            </w:r>
          </w:p>
          <w:p w14:paraId="52EB70F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（项号680）4、视频输入接口数：≥4；</w:t>
            </w:r>
          </w:p>
          <w:p w14:paraId="77BD084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（项号681）5、音频输入接口数：≥4；</w:t>
            </w:r>
          </w:p>
          <w:p w14:paraId="74DD8C9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（项号682）6、音频输入接口类型：HDMI复合音频。</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684A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5B6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6C41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7DCE625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F98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功能板卡</w:t>
            </w:r>
          </w:p>
        </w:tc>
        <w:tc>
          <w:tcPr>
            <w:tcW w:w="6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11F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（项号683）1、LED输出板卡：集成LED发送卡功能，网线输出，可直连LED控制卡；</w:t>
            </w:r>
          </w:p>
          <w:p w14:paraId="3433CBC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（项号684）2、单板卡支持920W像素点带载，单网线最大带载65W；</w:t>
            </w:r>
          </w:p>
          <w:p w14:paraId="1E6AE7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（项号685）3、单板卡带≥1个3.5 mm音频口，支持1路独立音频输出；</w:t>
            </w:r>
          </w:p>
          <w:p w14:paraId="2176468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（项号686）4、支持视频信号高清输出；</w:t>
            </w:r>
          </w:p>
          <w:p w14:paraId="136119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（项号687）5、视频输出接口类型：RJ45；</w:t>
            </w:r>
          </w:p>
          <w:p w14:paraId="6AB9AA7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（项号688）6、视频输出接口数：≥20；</w:t>
            </w:r>
          </w:p>
          <w:p w14:paraId="78D7175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（项号699）7、视频输出最大分辨率：4K；</w:t>
            </w:r>
          </w:p>
          <w:p w14:paraId="7231BA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（项号700）8、视频输出LED带载能力：单板带载≤920W，宽度144~8192像素，高度144~4320像素；</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4AD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5FE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7BFF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0638ED0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17</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D998">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视频线</w:t>
            </w:r>
          </w:p>
        </w:tc>
        <w:tc>
          <w:tcPr>
            <w:tcW w:w="6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1B54">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（项号701）HDMI铜线视频线,支持1080P60Hz型号稳定传输，长度≥10m。</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C9212">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E2B0">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4</w:t>
            </w:r>
          </w:p>
        </w:tc>
      </w:tr>
      <w:tr w14:paraId="373A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76A3443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18</w:t>
            </w:r>
          </w:p>
        </w:tc>
        <w:tc>
          <w:tcPr>
            <w:tcW w:w="92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0203477">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配电箱</w:t>
            </w:r>
          </w:p>
        </w:tc>
        <w:tc>
          <w:tcPr>
            <w:tcW w:w="658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144C5F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（项号702）1、≥10KW LED显示屏PLC智能配电柜；</w:t>
            </w:r>
          </w:p>
          <w:p w14:paraId="2DE33FB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（项号703）2、输入电压：≥380V；</w:t>
            </w:r>
          </w:p>
          <w:p w14:paraId="661F84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（项号704）3、输出电压：≥220V；</w:t>
            </w:r>
          </w:p>
          <w:p w14:paraId="3635A97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（项号705）4、额定功率：≥10KW；</w:t>
            </w:r>
          </w:p>
          <w:p w14:paraId="1637F1A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（项号706）5、输出回路：≥3个单相回路（AC220V） ；</w:t>
            </w:r>
          </w:p>
          <w:p w14:paraId="556DB613">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（项号707）6、每路输出最大带载功率：≤3.33KW。</w:t>
            </w:r>
          </w:p>
        </w:tc>
        <w:tc>
          <w:tcPr>
            <w:tcW w:w="99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688B805">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套</w:t>
            </w:r>
          </w:p>
        </w:tc>
        <w:tc>
          <w:tcPr>
            <w:tcW w:w="106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1FA8A29">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1</w:t>
            </w:r>
          </w:p>
        </w:tc>
      </w:tr>
      <w:tr w14:paraId="226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10C2716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19</w:t>
            </w:r>
          </w:p>
        </w:tc>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E0A9BC">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配件</w:t>
            </w:r>
          </w:p>
        </w:tc>
        <w:tc>
          <w:tcPr>
            <w:tcW w:w="6587" w:type="dxa"/>
            <w:tcBorders>
              <w:top w:val="single" w:color="auto" w:sz="4" w:space="0"/>
              <w:left w:val="single" w:color="auto" w:sz="4" w:space="0"/>
              <w:bottom w:val="single" w:color="auto" w:sz="4" w:space="0"/>
              <w:right w:val="single" w:color="auto" w:sz="4" w:space="0"/>
            </w:tcBorders>
            <w:shd w:val="clear" w:color="auto" w:fill="FFFFFF"/>
            <w:vAlign w:val="center"/>
          </w:tcPr>
          <w:p w14:paraId="2599E94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（项号708）插排、接插件、网络线、收边等。</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24B89A">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批</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14:paraId="1776195A">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 xml:space="preserve">1 </w:t>
            </w:r>
          </w:p>
        </w:tc>
      </w:tr>
      <w:tr w14:paraId="503C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19CB293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w:t>
            </w:r>
          </w:p>
        </w:tc>
        <w:tc>
          <w:tcPr>
            <w:tcW w:w="926" w:type="dxa"/>
            <w:shd w:val="clear" w:color="auto" w:fill="FFFFFF"/>
            <w:noWrap/>
            <w:vAlign w:val="center"/>
          </w:tcPr>
          <w:p w14:paraId="77883FC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LCD拼接屏</w:t>
            </w:r>
          </w:p>
        </w:tc>
        <w:tc>
          <w:tcPr>
            <w:tcW w:w="6587" w:type="dxa"/>
            <w:shd w:val="clear" w:color="auto" w:fill="FFFFFF"/>
            <w:vAlign w:val="center"/>
          </w:tcPr>
          <w:p w14:paraId="01DFEA4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（项号709）1、箱体数量6：2行3列，显示屏面积：≥4.96m²，分辨率：≥5760*2160；</w:t>
            </w:r>
          </w:p>
          <w:p w14:paraId="6B5837E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（项号710）2、尺寸：≥55 inch；</w:t>
            </w:r>
          </w:p>
          <w:p w14:paraId="0BDB32C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（项号711）3、背光源类型：D-LED；</w:t>
            </w:r>
          </w:p>
          <w:p w14:paraId="73BEB6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（项号712）4、物理拼缝：≤0.88mm；</w:t>
            </w:r>
          </w:p>
          <w:p w14:paraId="076235B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（项号713）5、物理分辨率：≥1920 × 1080@60 Hz（向下兼容）；</w:t>
            </w:r>
          </w:p>
          <w:p w14:paraId="529876B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（项号714）6、亮度：≥500 cd/m²；</w:t>
            </w:r>
          </w:p>
          <w:p w14:paraId="6D8E25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（项号715）7、可视角：≥178°(水平)/ 178°(垂直)；</w:t>
            </w:r>
          </w:p>
          <w:p w14:paraId="754CA07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（项号716）8、对比度：≥1200：1；</w:t>
            </w:r>
          </w:p>
          <w:p w14:paraId="268E8BC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（项号717）9、音视频输入接口：HDMI≥1个,DVI≥1个,VGA≥1个,USB≥1个；</w:t>
            </w:r>
          </w:p>
          <w:p w14:paraId="1BBEFE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（项号718）10、音视频输出接口：HDMI ≥1个；</w:t>
            </w:r>
          </w:p>
          <w:p w14:paraId="60FADF9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（项号719）11、控制接口：RS-232 IN ≥1个, RS-232 OUT ≥1个。</w:t>
            </w:r>
          </w:p>
        </w:tc>
        <w:tc>
          <w:tcPr>
            <w:tcW w:w="992" w:type="dxa"/>
            <w:shd w:val="clear" w:color="auto" w:fill="FFFFFF"/>
            <w:noWrap/>
            <w:vAlign w:val="center"/>
          </w:tcPr>
          <w:p w14:paraId="31E7549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1068" w:type="dxa"/>
            <w:shd w:val="clear" w:color="auto" w:fill="FFFFFF"/>
            <w:vAlign w:val="center"/>
          </w:tcPr>
          <w:p w14:paraId="57E77DB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w:t>
            </w:r>
          </w:p>
        </w:tc>
      </w:tr>
      <w:tr w14:paraId="2A1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5DE920B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21</w:t>
            </w:r>
          </w:p>
        </w:tc>
        <w:tc>
          <w:tcPr>
            <w:tcW w:w="926" w:type="dxa"/>
            <w:shd w:val="clear" w:color="auto" w:fill="FFFFFF"/>
            <w:noWrap/>
            <w:vAlign w:val="center"/>
          </w:tcPr>
          <w:p w14:paraId="7C922B9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壁挂支架</w:t>
            </w:r>
          </w:p>
        </w:tc>
        <w:tc>
          <w:tcPr>
            <w:tcW w:w="6587" w:type="dxa"/>
            <w:shd w:val="clear" w:color="auto" w:fill="FFFFFF"/>
            <w:vAlign w:val="center"/>
          </w:tcPr>
          <w:p w14:paraId="47559FB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（项号720）1、优质冷轧钢板(SPCC)，厚度：≥155mm屏厚，表面处理：静电喷塑.</w:t>
            </w:r>
          </w:p>
        </w:tc>
        <w:tc>
          <w:tcPr>
            <w:tcW w:w="992" w:type="dxa"/>
            <w:shd w:val="clear" w:color="auto" w:fill="FFFFFF"/>
            <w:noWrap/>
            <w:vAlign w:val="center"/>
          </w:tcPr>
          <w:p w14:paraId="4DCFB0F4">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535A90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020A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7C98F1D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22</w:t>
            </w:r>
          </w:p>
        </w:tc>
        <w:tc>
          <w:tcPr>
            <w:tcW w:w="926" w:type="dxa"/>
            <w:shd w:val="clear" w:color="auto" w:fill="FFFFFF"/>
            <w:noWrap/>
            <w:vAlign w:val="center"/>
          </w:tcPr>
          <w:p w14:paraId="3E7AD19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视频图像控制一体机</w:t>
            </w:r>
          </w:p>
        </w:tc>
        <w:tc>
          <w:tcPr>
            <w:tcW w:w="6587" w:type="dxa"/>
            <w:shd w:val="clear" w:color="auto" w:fill="FFFFFF"/>
            <w:vAlign w:val="center"/>
          </w:tcPr>
          <w:p w14:paraId="354A833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（项号721）1、3U标准机架式机箱，运营级ATCA机箱系统，满足中小规模的监控需求；</w:t>
            </w:r>
          </w:p>
          <w:p w14:paraId="2085962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（项号722）2、插拔式模块化设计，可根据需求灵活选择机型；</w:t>
            </w:r>
          </w:p>
          <w:p w14:paraId="6E3BEE2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（项号723）3、业务模块支持智能风扇自动调温，确保系统稳定可靠；</w:t>
            </w:r>
          </w:p>
          <w:p w14:paraId="22F6C29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（项号724）4、支持HDMI信号输入输出；</w:t>
            </w:r>
          </w:p>
          <w:p w14:paraId="5E1E3E4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（项号725）5、支持H.264/H.265编码，默认采用H.265；</w:t>
            </w:r>
          </w:p>
          <w:p w14:paraId="525D8E5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（项号726）6、解码支持H.265、H.264、MJPEG等主流的编码格式；</w:t>
            </w:r>
          </w:p>
          <w:p w14:paraId="06C09B3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（项号727）7、支持4路高清视频编码能力；</w:t>
            </w:r>
          </w:p>
          <w:p w14:paraId="1FB9D9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（项号728）8、支持64路高清视频解码能力；</w:t>
            </w:r>
          </w:p>
          <w:p w14:paraId="14DA167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（项号729）9、视频输出的LED带载能力为单口≥230W；</w:t>
            </w:r>
          </w:p>
          <w:p w14:paraId="05D28C5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（项号730）10、支持≥3200W高清视频解码；</w:t>
            </w:r>
          </w:p>
          <w:p w14:paraId="6E810B9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（项号731）11、支持≥8个显示屏的任意大屏拼接；</w:t>
            </w:r>
          </w:p>
          <w:p w14:paraId="07E4198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（项号732）12、单输出口支持1/4/6/8/9/16画面分割显示；</w:t>
            </w:r>
          </w:p>
          <w:p w14:paraId="1235B91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（项号733）13、支持开窗和漫游，支持≥64个窗口，单屏支持≥3个图层；</w:t>
            </w:r>
          </w:p>
          <w:p w14:paraId="58F638A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（项号734）14、支持电视墙预览，支持≥128个预设场景，用户可以自定义每个场景电视墙布局；</w:t>
            </w:r>
          </w:p>
          <w:p w14:paraId="18CC90D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（项号735）15、支持虚拟LED功能，添加字幕≥8个，单墙≥3个；</w:t>
            </w:r>
          </w:p>
          <w:p w14:paraId="49EC4EE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（项号736）16、支持WEB方式、Android和IOS客户端访问和操作；</w:t>
            </w:r>
          </w:p>
          <w:p w14:paraId="0824951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（项号737）17、支持ONVIF协议接入设备解码；</w:t>
            </w:r>
          </w:p>
          <w:p w14:paraId="18F2C76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（项号738）18、支持GB协议接入平台实现管理和操作；</w:t>
            </w:r>
          </w:p>
          <w:p w14:paraId="5C61EE0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（项号739）19、配套一套可视化互动展示软件。</w:t>
            </w:r>
          </w:p>
        </w:tc>
        <w:tc>
          <w:tcPr>
            <w:tcW w:w="992" w:type="dxa"/>
            <w:shd w:val="clear" w:color="auto" w:fill="FFFFFF"/>
            <w:noWrap/>
            <w:vAlign w:val="center"/>
          </w:tcPr>
          <w:p w14:paraId="10DF46A7">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1068" w:type="dxa"/>
            <w:shd w:val="clear" w:color="auto" w:fill="FFFFFF"/>
            <w:vAlign w:val="center"/>
          </w:tcPr>
          <w:p w14:paraId="5451037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63AF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31E58F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23</w:t>
            </w:r>
          </w:p>
        </w:tc>
        <w:tc>
          <w:tcPr>
            <w:tcW w:w="926" w:type="dxa"/>
            <w:shd w:val="clear" w:color="auto" w:fill="FFFFFF"/>
            <w:noWrap/>
            <w:vAlign w:val="center"/>
          </w:tcPr>
          <w:p w14:paraId="5A24A2A2">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视频线</w:t>
            </w:r>
          </w:p>
        </w:tc>
        <w:tc>
          <w:tcPr>
            <w:tcW w:w="6587" w:type="dxa"/>
            <w:shd w:val="clear" w:color="auto" w:fill="FFFFFF"/>
            <w:vAlign w:val="center"/>
          </w:tcPr>
          <w:p w14:paraId="3B4BB4DF">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（项号740）HDMI铜线视频线,支持1080P60Hz型号稳定传输，长度≥10m。</w:t>
            </w:r>
          </w:p>
        </w:tc>
        <w:tc>
          <w:tcPr>
            <w:tcW w:w="992" w:type="dxa"/>
            <w:shd w:val="clear" w:color="auto" w:fill="FFFFFF"/>
            <w:noWrap/>
            <w:vAlign w:val="center"/>
          </w:tcPr>
          <w:p w14:paraId="026B9811">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条</w:t>
            </w:r>
          </w:p>
        </w:tc>
        <w:tc>
          <w:tcPr>
            <w:tcW w:w="1068" w:type="dxa"/>
            <w:shd w:val="clear" w:color="auto" w:fill="FFFFFF"/>
            <w:vAlign w:val="center"/>
          </w:tcPr>
          <w:p w14:paraId="4065D08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r>
      <w:tr w14:paraId="6AA3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130B8B0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24</w:t>
            </w:r>
          </w:p>
        </w:tc>
        <w:tc>
          <w:tcPr>
            <w:tcW w:w="926" w:type="dxa"/>
            <w:shd w:val="clear" w:color="auto" w:fill="FFFFFF"/>
            <w:noWrap/>
            <w:vAlign w:val="center"/>
          </w:tcPr>
          <w:p w14:paraId="2BFBF68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触摸框</w:t>
            </w:r>
          </w:p>
        </w:tc>
        <w:tc>
          <w:tcPr>
            <w:tcW w:w="6587" w:type="dxa"/>
            <w:shd w:val="clear" w:color="auto" w:fill="FFFFFF"/>
            <w:vAlign w:val="center"/>
          </w:tcPr>
          <w:p w14:paraId="010DED2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（项号741）互动感应触摸框。</w:t>
            </w:r>
          </w:p>
        </w:tc>
        <w:tc>
          <w:tcPr>
            <w:tcW w:w="992" w:type="dxa"/>
            <w:shd w:val="clear" w:color="auto" w:fill="FFFFFF"/>
            <w:noWrap/>
            <w:vAlign w:val="center"/>
          </w:tcPr>
          <w:p w14:paraId="7B61B8E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套</w:t>
            </w:r>
          </w:p>
        </w:tc>
        <w:tc>
          <w:tcPr>
            <w:tcW w:w="1068" w:type="dxa"/>
            <w:shd w:val="clear" w:color="auto" w:fill="FFFFFF"/>
            <w:vAlign w:val="center"/>
          </w:tcPr>
          <w:p w14:paraId="1E54E110">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r>
      <w:tr w14:paraId="4BB2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FFFFFF"/>
            <w:vAlign w:val="center"/>
          </w:tcPr>
          <w:p w14:paraId="7343472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25</w:t>
            </w:r>
          </w:p>
        </w:tc>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D7D2C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配件</w:t>
            </w:r>
          </w:p>
        </w:tc>
        <w:tc>
          <w:tcPr>
            <w:tcW w:w="6587" w:type="dxa"/>
            <w:tcBorders>
              <w:top w:val="single" w:color="auto" w:sz="4" w:space="0"/>
              <w:left w:val="single" w:color="auto" w:sz="4" w:space="0"/>
              <w:bottom w:val="single" w:color="auto" w:sz="4" w:space="0"/>
              <w:right w:val="single" w:color="auto" w:sz="4" w:space="0"/>
            </w:tcBorders>
            <w:shd w:val="clear" w:color="auto" w:fill="FFFFFF"/>
            <w:vAlign w:val="center"/>
          </w:tcPr>
          <w:p w14:paraId="70DEF77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（项号742）插排、接插件、网络线、收边等。</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E12B80">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eastAsia="zh-CN"/>
              </w:rPr>
              <w:t>批</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14:paraId="60099173">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 xml:space="preserve">1 </w:t>
            </w:r>
          </w:p>
        </w:tc>
      </w:tr>
    </w:tbl>
    <w:p w14:paraId="61F6DA20">
      <w:pPr>
        <w:pStyle w:val="30"/>
        <w:rPr>
          <w:rFonts w:hint="eastAsia" w:asciiTheme="minorEastAsia" w:hAnsiTheme="minorEastAsia" w:eastAsiaTheme="minorEastAsia" w:cstheme="minorEastAsia"/>
          <w:lang w:eastAsia="zh-CN"/>
        </w:rPr>
      </w:pPr>
    </w:p>
    <w:tbl>
      <w:tblPr>
        <w:tblStyle w:val="1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92"/>
        <w:gridCol w:w="6521"/>
        <w:gridCol w:w="992"/>
        <w:gridCol w:w="1073"/>
      </w:tblGrid>
      <w:tr w14:paraId="02F7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230" w:type="dxa"/>
            <w:gridSpan w:val="5"/>
            <w:shd w:val="clear" w:color="auto" w:fill="auto"/>
            <w:vAlign w:val="center"/>
          </w:tcPr>
          <w:p w14:paraId="2E631483">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十、</w:t>
            </w:r>
            <w:r>
              <w:rPr>
                <w:rFonts w:hint="eastAsia" w:asciiTheme="minorEastAsia" w:hAnsiTheme="minorEastAsia" w:eastAsiaTheme="minorEastAsia" w:cstheme="minorEastAsia"/>
              </w:rPr>
              <w:t>物理环境提升</w:t>
            </w:r>
          </w:p>
        </w:tc>
      </w:tr>
      <w:tr w14:paraId="451C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2" w:type="dxa"/>
            <w:shd w:val="clear" w:color="000000" w:fill="FFFFFF"/>
            <w:vAlign w:val="center"/>
          </w:tcPr>
          <w:p w14:paraId="7E3C9B12">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编号 </w:t>
            </w:r>
          </w:p>
        </w:tc>
        <w:tc>
          <w:tcPr>
            <w:tcW w:w="992" w:type="dxa"/>
            <w:shd w:val="clear" w:color="000000" w:fill="FFFFFF"/>
            <w:vAlign w:val="center"/>
          </w:tcPr>
          <w:p w14:paraId="01670EA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521" w:type="dxa"/>
            <w:shd w:val="clear" w:color="000000" w:fill="FFFFFF"/>
            <w:noWrap/>
            <w:vAlign w:val="center"/>
          </w:tcPr>
          <w:p w14:paraId="029B816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主要性能指标</w:t>
            </w:r>
          </w:p>
        </w:tc>
        <w:tc>
          <w:tcPr>
            <w:tcW w:w="992" w:type="dxa"/>
            <w:shd w:val="clear" w:color="000000" w:fill="FFFFFF"/>
            <w:vAlign w:val="center"/>
          </w:tcPr>
          <w:p w14:paraId="44FFFB16">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73" w:type="dxa"/>
            <w:shd w:val="clear" w:color="000000" w:fill="FFFFFF"/>
            <w:vAlign w:val="center"/>
          </w:tcPr>
          <w:p w14:paraId="3192FA5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039B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230" w:type="dxa"/>
            <w:gridSpan w:val="5"/>
            <w:shd w:val="clear" w:color="000000" w:fill="FFFFFF"/>
            <w:vAlign w:val="center"/>
          </w:tcPr>
          <w:p w14:paraId="0816974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（一）基础改造</w:t>
            </w:r>
          </w:p>
        </w:tc>
      </w:tr>
      <w:tr w14:paraId="05C8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2" w:type="dxa"/>
            <w:shd w:val="clear" w:color="000000" w:fill="FFFFFF"/>
            <w:vAlign w:val="center"/>
          </w:tcPr>
          <w:p w14:paraId="536539D2">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92" w:type="dxa"/>
            <w:shd w:val="clear" w:color="000000" w:fill="FFFFFF"/>
            <w:vAlign w:val="center"/>
          </w:tcPr>
          <w:p w14:paraId="5C1252D4">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物理环境提升</w:t>
            </w:r>
          </w:p>
        </w:tc>
        <w:tc>
          <w:tcPr>
            <w:tcW w:w="6521" w:type="dxa"/>
            <w:shd w:val="clear" w:color="000000" w:fill="FFFFFF"/>
            <w:vAlign w:val="center"/>
          </w:tcPr>
          <w:p w14:paraId="0DDE8BA6">
            <w:pPr>
              <w:spacing w:line="40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（项号743）★1、含本项目原装修、设施的拆除及外运，以及新建指挥中心地面、墙面、吊顶装修工程，以及配套电气工程、暖通工程、消防报警；具体工程量及工作范围详见图纸及工程量清单。</w:t>
            </w:r>
          </w:p>
        </w:tc>
        <w:tc>
          <w:tcPr>
            <w:tcW w:w="992" w:type="dxa"/>
            <w:shd w:val="clear" w:color="000000" w:fill="FFFFFF"/>
            <w:noWrap/>
            <w:vAlign w:val="center"/>
          </w:tcPr>
          <w:p w14:paraId="365C4548">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w:t>
            </w:r>
          </w:p>
        </w:tc>
        <w:tc>
          <w:tcPr>
            <w:tcW w:w="1073" w:type="dxa"/>
            <w:shd w:val="clear" w:color="000000" w:fill="FFFFFF"/>
            <w:noWrap/>
            <w:vAlign w:val="center"/>
          </w:tcPr>
          <w:p w14:paraId="6FF91A5D">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r>
      <w:tr w14:paraId="4934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230" w:type="dxa"/>
            <w:gridSpan w:val="5"/>
            <w:shd w:val="clear" w:color="000000" w:fill="FFFFFF"/>
            <w:vAlign w:val="center"/>
          </w:tcPr>
          <w:p w14:paraId="642ABE01">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二</w:t>
            </w:r>
            <w:r>
              <w:rPr>
                <w:rFonts w:hint="eastAsia" w:asciiTheme="minorEastAsia" w:hAnsiTheme="minorEastAsia" w:eastAsiaTheme="minorEastAsia" w:cstheme="minorEastAsia"/>
                <w:color w:val="auto"/>
              </w:rPr>
              <w:t>）家具设备</w:t>
            </w:r>
          </w:p>
        </w:tc>
      </w:tr>
      <w:tr w14:paraId="32E6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2" w:type="dxa"/>
            <w:shd w:val="clear" w:color="000000" w:fill="FFFFFF"/>
            <w:vAlign w:val="center"/>
          </w:tcPr>
          <w:p w14:paraId="2711BEF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p>
        </w:tc>
        <w:tc>
          <w:tcPr>
            <w:tcW w:w="992" w:type="dxa"/>
            <w:shd w:val="clear" w:color="000000" w:fill="FFFFFF"/>
            <w:vAlign w:val="center"/>
          </w:tcPr>
          <w:p w14:paraId="6173761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工作椅</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14:paraId="5D3FFAAD">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（项号744）1、背框为尼龙加纤高强度塑料材质；柔韧度高，受撞击能力强度强；</w:t>
            </w:r>
          </w:p>
          <w:p w14:paraId="003DA42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（项号745）2、椅座为人造板材；</w:t>
            </w:r>
          </w:p>
          <w:p w14:paraId="700B89AB">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（项号746）3、钢材：≥φ25*1.9mm圆管，优质的A3钢材；</w:t>
            </w:r>
          </w:p>
          <w:p w14:paraId="6DCE09B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（项号747）4、螺丝：经过冷热加硬、电脑烤漆处理。螺齿喷防退漆；</w:t>
            </w:r>
          </w:p>
          <w:p w14:paraId="57BCA189">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（项号748）5、皮革：采用厚度为≥1.0mm；</w:t>
            </w:r>
          </w:p>
          <w:p w14:paraId="4CF47F7A">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（项号749）6、泡棉：高密度定型棉；具有透气性强，回弹性好，不易变型老化；</w:t>
            </w:r>
          </w:p>
          <w:p w14:paraId="36A0AEAC">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（项号750）7、气压杆：旋转测试360度1个周期；</w:t>
            </w:r>
          </w:p>
          <w:p w14:paraId="77B84DD3">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（项号751）8、五爪脚：A3钢，≥φ38*1.5mm圆管，牢固美观大方；</w:t>
            </w:r>
          </w:p>
        </w:tc>
        <w:tc>
          <w:tcPr>
            <w:tcW w:w="992" w:type="dxa"/>
            <w:shd w:val="clear" w:color="000000" w:fill="FFFFFF"/>
            <w:noWrap/>
            <w:vAlign w:val="center"/>
          </w:tcPr>
          <w:p w14:paraId="1A80F901">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张</w:t>
            </w:r>
          </w:p>
        </w:tc>
        <w:tc>
          <w:tcPr>
            <w:tcW w:w="1073" w:type="dxa"/>
            <w:shd w:val="clear" w:color="000000" w:fill="FFFFFF"/>
            <w:noWrap/>
            <w:vAlign w:val="center"/>
          </w:tcPr>
          <w:p w14:paraId="7B49F68F">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28</w:t>
            </w:r>
          </w:p>
        </w:tc>
      </w:tr>
      <w:tr w14:paraId="3A9E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2" w:type="dxa"/>
            <w:shd w:val="clear" w:color="000000" w:fill="FFFFFF"/>
            <w:vAlign w:val="center"/>
          </w:tcPr>
          <w:p w14:paraId="6A7EDFA8">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p>
        </w:tc>
        <w:tc>
          <w:tcPr>
            <w:tcW w:w="992" w:type="dxa"/>
            <w:shd w:val="clear" w:color="000000" w:fill="FFFFFF"/>
            <w:vAlign w:val="center"/>
          </w:tcPr>
          <w:p w14:paraId="0C2C753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领导椅</w:t>
            </w:r>
          </w:p>
        </w:tc>
        <w:tc>
          <w:tcPr>
            <w:tcW w:w="6521" w:type="dxa"/>
            <w:tcBorders>
              <w:top w:val="nil"/>
              <w:left w:val="single" w:color="auto" w:sz="4" w:space="0"/>
              <w:bottom w:val="single" w:color="auto" w:sz="4" w:space="0"/>
              <w:right w:val="single" w:color="auto" w:sz="4" w:space="0"/>
            </w:tcBorders>
            <w:shd w:val="clear" w:color="auto" w:fill="auto"/>
            <w:vAlign w:val="center"/>
          </w:tcPr>
          <w:p w14:paraId="55983C26">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（项号752）1、优质超纤皮饰面；</w:t>
            </w:r>
          </w:p>
          <w:p w14:paraId="4FE4649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（项号753）2、≥18mm厚内外弯板；</w:t>
            </w:r>
          </w:p>
          <w:p w14:paraId="3C64D0E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（项号754）3、高弹力海绵；</w:t>
            </w:r>
          </w:p>
          <w:p w14:paraId="763CF687">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（项号755）4、配顷仰锁定功能底盘；</w:t>
            </w:r>
          </w:p>
          <w:p w14:paraId="291B6064">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（项号756）5、≥65#沉口4公分电镀杆；</w:t>
            </w:r>
          </w:p>
          <w:p w14:paraId="6564C7B2">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（项号757）6、∮350铝合金脚。</w:t>
            </w:r>
          </w:p>
        </w:tc>
        <w:tc>
          <w:tcPr>
            <w:tcW w:w="992" w:type="dxa"/>
            <w:shd w:val="clear" w:color="000000" w:fill="FFFFFF"/>
            <w:noWrap/>
            <w:vAlign w:val="center"/>
          </w:tcPr>
          <w:p w14:paraId="1A058915">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张</w:t>
            </w:r>
          </w:p>
        </w:tc>
        <w:tc>
          <w:tcPr>
            <w:tcW w:w="1073" w:type="dxa"/>
            <w:shd w:val="clear" w:color="000000" w:fill="FFFFFF"/>
            <w:noWrap/>
            <w:vAlign w:val="center"/>
          </w:tcPr>
          <w:p w14:paraId="56C6C2CE">
            <w:pPr>
              <w:spacing w:line="40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w:t>
            </w:r>
          </w:p>
        </w:tc>
      </w:tr>
      <w:tr w14:paraId="044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2" w:type="dxa"/>
            <w:shd w:val="clear" w:color="000000" w:fill="FFFFFF"/>
            <w:vAlign w:val="center"/>
          </w:tcPr>
          <w:p w14:paraId="014C6CBB">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w:t>
            </w:r>
          </w:p>
        </w:tc>
        <w:tc>
          <w:tcPr>
            <w:tcW w:w="992" w:type="dxa"/>
            <w:shd w:val="clear" w:color="000000" w:fill="FFFFFF"/>
            <w:vAlign w:val="center"/>
          </w:tcPr>
          <w:p w14:paraId="3AB2C730">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会议桌</w:t>
            </w:r>
          </w:p>
        </w:tc>
        <w:tc>
          <w:tcPr>
            <w:tcW w:w="6521" w:type="dxa"/>
            <w:tcBorders>
              <w:top w:val="nil"/>
              <w:left w:val="single" w:color="auto" w:sz="4" w:space="0"/>
              <w:bottom w:val="single" w:color="auto" w:sz="4" w:space="0"/>
              <w:right w:val="single" w:color="auto" w:sz="4" w:space="0"/>
            </w:tcBorders>
            <w:shd w:val="clear" w:color="auto" w:fill="auto"/>
            <w:vAlign w:val="center"/>
          </w:tcPr>
          <w:p w14:paraId="4198F2BF">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 xml:space="preserve">（项号758）1、贴面材料：胡桃木花纹，厚度≥0.6mm； </w:t>
            </w:r>
          </w:p>
          <w:p w14:paraId="578C65D0">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（项号759）2、封边用材：与贴面相同的木皮封边；</w:t>
            </w:r>
          </w:p>
          <w:p w14:paraId="474B560C">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 xml:space="preserve">（项号760）3、基材：≥E1级高密度板； </w:t>
            </w:r>
          </w:p>
          <w:p w14:paraId="2E105A4B">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（项号761）4、油漆：面漆采用PU聚脂漆，底漆采用PE不饱和树脂漆；</w:t>
            </w:r>
          </w:p>
          <w:p w14:paraId="2391059F">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 xml:space="preserve">（项号762）5、五金配件：缓冲导轨、缓冲门铰； </w:t>
            </w:r>
          </w:p>
          <w:p w14:paraId="739F2B0D">
            <w:pPr>
              <w:pStyle w:val="2"/>
              <w:ind w:left="0" w:leftChars="0" w:firstLine="0" w:firstLineChars="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Cs w:val="21"/>
                <w:highlight w:val="none"/>
                <w:lang w:eastAsia="zh-CN"/>
              </w:rPr>
              <w:t>（项号763）6、台面配黑拉丝走线盒及黑拉丝装饰铝板；隐藏式走线功能；文件柜配挂衣杆等配件。</w:t>
            </w:r>
          </w:p>
        </w:tc>
        <w:tc>
          <w:tcPr>
            <w:tcW w:w="992" w:type="dxa"/>
            <w:shd w:val="clear" w:color="000000" w:fill="FFFFFF"/>
            <w:noWrap/>
            <w:vAlign w:val="center"/>
          </w:tcPr>
          <w:p w14:paraId="7E24D1C5">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张</w:t>
            </w:r>
          </w:p>
        </w:tc>
        <w:tc>
          <w:tcPr>
            <w:tcW w:w="1073" w:type="dxa"/>
            <w:shd w:val="clear" w:color="000000" w:fill="FFFFFF"/>
            <w:noWrap/>
            <w:vAlign w:val="center"/>
          </w:tcPr>
          <w:p w14:paraId="4B376F4E">
            <w:pPr>
              <w:spacing w:line="4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w:t>
            </w:r>
          </w:p>
        </w:tc>
      </w:tr>
    </w:tbl>
    <w:p w14:paraId="6506A6A1">
      <w:pPr>
        <w:pStyle w:val="27"/>
        <w:spacing w:line="48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（项号76</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）★注：</w:t>
      </w:r>
    </w:p>
    <w:p w14:paraId="784555B8">
      <w:pPr>
        <w:pStyle w:val="27"/>
        <w:spacing w:line="480" w:lineRule="exact"/>
        <w:ind w:firstLine="40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1、以上所有合同包参数中关于重量、尺寸、体积等要求表述为固定数值的，均允许±2%的偏差。</w:t>
      </w:r>
    </w:p>
    <w:p w14:paraId="1622CE50">
      <w:pPr>
        <w:pStyle w:val="27"/>
        <w:spacing w:line="480" w:lineRule="exact"/>
        <w:ind w:firstLine="40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2、投标人须按以上表格内容在投标文件中“投标分项报价表”部分提供分项报价，报价总价不得超过最高限价总价，否则按无效投标处理。</w:t>
      </w:r>
    </w:p>
    <w:p w14:paraId="3A62A838">
      <w:pPr>
        <w:pStyle w:val="27"/>
        <w:spacing w:line="480" w:lineRule="exact"/>
        <w:ind w:firstLine="40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rPr>
        <w:t>3、</w:t>
      </w:r>
      <w:r>
        <w:rPr>
          <w:rFonts w:hint="eastAsia" w:asciiTheme="minorEastAsia" w:hAnsiTheme="minorEastAsia" w:eastAsiaTheme="minorEastAsia" w:cstheme="minorEastAsia"/>
          <w:shd w:val="clear" w:color="auto" w:fill="FFFFFF"/>
        </w:rPr>
        <w:t>本次招标的货物中若有属强制3C认证或节能产品的，投标人须在投标文件中承诺所投产品有3C认证证书及节能产品认证证明材料，并能在货物验收时能提供（承诺函格式自拟），或在投标文件中提供所投产品3C认证证书复印件及节能产品认证证明材料。未按以上要求则按无效投标处理。</w:t>
      </w:r>
    </w:p>
    <w:p w14:paraId="76A2B0E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三、商务条件（以下内容适用所有合同包，全部内容均为以“★</w:t>
      </w:r>
      <w:r>
        <w:rPr>
          <w:rFonts w:hint="eastAsia" w:asciiTheme="minorEastAsia" w:hAnsiTheme="minorEastAsia" w:eastAsiaTheme="minorEastAsia" w:cstheme="minorEastAsia"/>
          <w:spacing w:val="-85"/>
          <w:lang w:eastAsia="zh-CN"/>
        </w:rPr>
        <w:t xml:space="preserve"> </w:t>
      </w:r>
      <w:r>
        <w:rPr>
          <w:rFonts w:hint="eastAsia" w:asciiTheme="minorEastAsia" w:hAnsiTheme="minorEastAsia" w:eastAsiaTheme="minorEastAsia" w:cstheme="minorEastAsia"/>
          <w:lang w:eastAsia="zh-CN"/>
        </w:rPr>
        <w:t>”标示的内容，即“均</w:t>
      </w:r>
    </w:p>
    <w:p w14:paraId="4FF2403A">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为不允许负偏离的实质性要求）</w:t>
      </w:r>
    </w:p>
    <w:tbl>
      <w:tblPr>
        <w:tblStyle w:val="16"/>
        <w:tblW w:w="94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9"/>
        <w:gridCol w:w="1791"/>
        <w:gridCol w:w="6699"/>
      </w:tblGrid>
      <w:tr w14:paraId="3B980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989" w:type="dxa"/>
          </w:tcPr>
          <w:p w14:paraId="7433AA98">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91" w:type="dxa"/>
          </w:tcPr>
          <w:p w14:paraId="4A80500B">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类型</w:t>
            </w:r>
          </w:p>
        </w:tc>
        <w:tc>
          <w:tcPr>
            <w:tcW w:w="6699" w:type="dxa"/>
          </w:tcPr>
          <w:p w14:paraId="0648A436">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w:t>
            </w:r>
          </w:p>
        </w:tc>
      </w:tr>
      <w:tr w14:paraId="56770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989" w:type="dxa"/>
          </w:tcPr>
          <w:p w14:paraId="7EFBAE03">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91" w:type="dxa"/>
          </w:tcPr>
          <w:p w14:paraId="6BC58857">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交付时间</w:t>
            </w:r>
          </w:p>
        </w:tc>
        <w:tc>
          <w:tcPr>
            <w:tcW w:w="6699" w:type="dxa"/>
          </w:tcPr>
          <w:p w14:paraId="42551E81">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合同签订后120个日历日内完成安装（如招标人另有要求，按招标人要求执行）。</w:t>
            </w:r>
          </w:p>
        </w:tc>
      </w:tr>
      <w:tr w14:paraId="73A04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989" w:type="dxa"/>
          </w:tcPr>
          <w:p w14:paraId="1A815577">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91" w:type="dxa"/>
          </w:tcPr>
          <w:p w14:paraId="74A9E509">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交货地点</w:t>
            </w:r>
          </w:p>
        </w:tc>
        <w:tc>
          <w:tcPr>
            <w:tcW w:w="6699" w:type="dxa"/>
          </w:tcPr>
          <w:p w14:paraId="706279E1">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招标人指定地点</w:t>
            </w:r>
          </w:p>
        </w:tc>
      </w:tr>
      <w:tr w14:paraId="0B103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989" w:type="dxa"/>
          </w:tcPr>
          <w:p w14:paraId="40D2B9C6">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91" w:type="dxa"/>
          </w:tcPr>
          <w:p w14:paraId="7B42AC84">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交货条件</w:t>
            </w:r>
          </w:p>
        </w:tc>
        <w:tc>
          <w:tcPr>
            <w:tcW w:w="6699" w:type="dxa"/>
          </w:tcPr>
          <w:p w14:paraId="049D0586">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中标人将原厂原包装的设备送达招标人指定地点，并将随同设备的产品检 验报告、合格证、使用说明书等技术文件和资料交付招标人。货物安装调试且验收合格正常运行。</w:t>
            </w:r>
          </w:p>
        </w:tc>
      </w:tr>
      <w:tr w14:paraId="62F2E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989" w:type="dxa"/>
          </w:tcPr>
          <w:p w14:paraId="052CAC6E">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791" w:type="dxa"/>
          </w:tcPr>
          <w:p w14:paraId="46A91357">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是否邀请投标人验收</w:t>
            </w:r>
          </w:p>
        </w:tc>
        <w:tc>
          <w:tcPr>
            <w:tcW w:w="6699" w:type="dxa"/>
          </w:tcPr>
          <w:p w14:paraId="0F7AD9A3">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不邀请投标人验收</w:t>
            </w:r>
          </w:p>
        </w:tc>
      </w:tr>
      <w:tr w14:paraId="271AA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989" w:type="dxa"/>
          </w:tcPr>
          <w:p w14:paraId="12956ACC">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791" w:type="dxa"/>
          </w:tcPr>
          <w:p w14:paraId="21C3FA7E">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履约验收方式</w:t>
            </w:r>
          </w:p>
        </w:tc>
        <w:tc>
          <w:tcPr>
            <w:tcW w:w="6699" w:type="dxa"/>
          </w:tcPr>
          <w:p w14:paraId="19913E7E">
            <w:pPr>
              <w:pStyle w:val="2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按照招标文件、中标人投标文件及合同要求进行验收。</w:t>
            </w:r>
          </w:p>
        </w:tc>
      </w:tr>
      <w:tr w14:paraId="2964E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6" w:hRule="atLeast"/>
        </w:trPr>
        <w:tc>
          <w:tcPr>
            <w:tcW w:w="989" w:type="dxa"/>
          </w:tcPr>
          <w:p w14:paraId="4A72B699">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791" w:type="dxa"/>
          </w:tcPr>
          <w:p w14:paraId="2D107FA9">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合同支付方式</w:t>
            </w:r>
          </w:p>
        </w:tc>
        <w:tc>
          <w:tcPr>
            <w:tcW w:w="6699" w:type="dxa"/>
          </w:tcPr>
          <w:p w14:paraId="318180F4">
            <w:pPr>
              <w:pStyle w:val="27"/>
              <w:spacing w:line="400" w:lineRule="exac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w:t>
            </w:r>
            <w:r>
              <w:rPr>
                <w:rFonts w:hint="eastAsia" w:asciiTheme="minorEastAsia" w:hAnsiTheme="minorEastAsia" w:eastAsiaTheme="minorEastAsia" w:cstheme="minorEastAsia"/>
                <w:sz w:val="21"/>
                <w:szCs w:val="21"/>
                <w:highlight w:val="none"/>
              </w:rPr>
              <w:t>合同签订，全部设备到货后</w:t>
            </w:r>
            <w:r>
              <w:rPr>
                <w:rFonts w:hint="eastAsia" w:asciiTheme="minorEastAsia" w:hAnsiTheme="minorEastAsia" w:eastAsiaTheme="minorEastAsia" w:cstheme="minorEastAsia"/>
                <w:color w:val="000000" w:themeColor="text1"/>
                <w:highlight w:val="none"/>
              </w:rPr>
              <w:t>且现场清点验收无误后,招标人</w:t>
            </w:r>
            <w:r>
              <w:rPr>
                <w:rFonts w:hint="eastAsia" w:asciiTheme="minorEastAsia" w:hAnsiTheme="minorEastAsia" w:eastAsiaTheme="minorEastAsia" w:cstheme="minorEastAsia"/>
                <w:highlight w:val="none"/>
              </w:rPr>
              <w:t>收到增值税专用发票等相关报销材料后30日内</w:t>
            </w:r>
            <w:r>
              <w:rPr>
                <w:rFonts w:hint="eastAsia" w:asciiTheme="minorEastAsia" w:hAnsiTheme="minorEastAsia" w:eastAsiaTheme="minorEastAsia" w:cstheme="minorEastAsia"/>
                <w:color w:val="000000" w:themeColor="text1"/>
                <w:highlight w:val="none"/>
              </w:rPr>
              <w:t>支付合同金额的40%；</w:t>
            </w:r>
          </w:p>
          <w:p w14:paraId="53FC9E12">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2、项目通过最终验收后，招标人收到增值税专用发票等相关报销材料后30日内支付合同金额的60%。</w:t>
            </w:r>
          </w:p>
        </w:tc>
      </w:tr>
      <w:tr w14:paraId="59091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2" w:hRule="atLeast"/>
        </w:trPr>
        <w:tc>
          <w:tcPr>
            <w:tcW w:w="989" w:type="dxa"/>
          </w:tcPr>
          <w:p w14:paraId="25D5A1F5">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791" w:type="dxa"/>
          </w:tcPr>
          <w:p w14:paraId="0BEA6B5F">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履约保证金</w:t>
            </w:r>
          </w:p>
        </w:tc>
        <w:tc>
          <w:tcPr>
            <w:tcW w:w="6699" w:type="dxa"/>
          </w:tcPr>
          <w:p w14:paraId="1F3D2929">
            <w:pPr>
              <w:pStyle w:val="27"/>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约保证金百分比：5%。说明：中标人在签订合同前以转账、支票、电子保函形式（银行无条件支付保函或保险公司出具的保证保险）等非现金方式向招标人缴纳合同金额5%的履约保证金,该履约保证金于设备安装调试且验收合格至维保期结束后，中标人无违约的前提下书面申请后，于30日内无息退还。【履约保证金以保函形式提交的，应为银行无条件支付保函或保险公司出具的保证保险，并且保函有效期要涵盖整个合同有效期。】</w:t>
            </w:r>
          </w:p>
        </w:tc>
      </w:tr>
    </w:tbl>
    <w:p w14:paraId="19A5BC7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其他商务要求：（序号8到序号20）</w:t>
      </w:r>
    </w:p>
    <w:p w14:paraId="6D4BAA0D">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8、货物包装及运输方式及供货要求</w:t>
      </w:r>
    </w:p>
    <w:p w14:paraId="6B37ED12">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8.1</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包装：货物交货时应按国家有关标准要求进行包装。</w:t>
      </w:r>
    </w:p>
    <w:p w14:paraId="04E5E3F8">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8.2</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方式：包装必须与运输方式相适应，包装方式的确定及包装费用均由中标人负责；由于不适当的包装而造成货物在运输过程中有任何损坏由中标人负责。</w:t>
      </w:r>
    </w:p>
    <w:p w14:paraId="6DAA5050">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注：包装应足以承受整个过程中的运输、转运、装卸、储存等，充分考虑到运输途中的各种情况(如暴露于恶劣气候等)和项目所在地的气候特点，以及露天存放的需要</w:t>
      </w:r>
    </w:p>
    <w:p w14:paraId="4249BE3F">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8.3、供货</w:t>
      </w:r>
    </w:p>
    <w:p w14:paraId="63788EA1">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（1）中标人必须能按照合同的规定，准时提供设备、配件、材料及工具，并负责所供设备、配件、材料及工具的包装、运输及安装。</w:t>
      </w:r>
    </w:p>
    <w:p w14:paraId="204FA94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（2）中标人在中标后应立即组织有关技术人员到安装现场勘察，确保所有货物能符合现场安装要求，满足项目使用需要。</w:t>
      </w:r>
    </w:p>
    <w:p w14:paraId="31179A78">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9、安装调试</w:t>
      </w:r>
    </w:p>
    <w:p w14:paraId="23EF4FE4">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z w:val="24"/>
          <w:szCs w:val="24"/>
        </w:rPr>
        <w:t>由中标人负责在招标人指定地点现场验收到货设备并派技术人员到现场进行免费安装、调试及运行，直至验收合格(附验收报告)，由招标单位签字确认；中标人应在货物运抵现场一</w:t>
      </w:r>
      <w:r>
        <w:rPr>
          <w:rFonts w:hint="eastAsia" w:asciiTheme="minorEastAsia" w:hAnsiTheme="minorEastAsia" w:eastAsiaTheme="minorEastAsia" w:cstheme="minorEastAsia"/>
          <w:color w:val="000000" w:themeColor="text1"/>
          <w:spacing w:val="-1"/>
          <w:sz w:val="24"/>
          <w:szCs w:val="24"/>
        </w:rPr>
        <w:t>周前，向招标人提供安装、调试等进度计划。安装须符合我国国家有关技术规范和技术标准。</w:t>
      </w:r>
    </w:p>
    <w:p w14:paraId="1A6D35BC">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10、验收</w:t>
      </w:r>
    </w:p>
    <w:p w14:paraId="5D0C83E3">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（1）验收标准</w:t>
      </w:r>
    </w:p>
    <w:p w14:paraId="483C48F6">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14:paraId="20391AFE">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（2）验收程序和方法</w:t>
      </w:r>
    </w:p>
    <w:p w14:paraId="335AE771">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a.出厂检验</w:t>
      </w:r>
    </w:p>
    <w:p w14:paraId="13177E19">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中标人在货物出厂前，应对货物进行全面检验，并随同货物出具检验报告和产品合格证等。</w:t>
      </w:r>
    </w:p>
    <w:p w14:paraId="5D1DCDDE">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b.中标人自检</w:t>
      </w:r>
    </w:p>
    <w:p w14:paraId="76453784">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货物在安装地安装完毕后，中标人对所有货物的外观、各项性能参数进行自检，检验结果必须符合验收标准以及合同中相关条款要求，同时向招标人提供自检记录。</w:t>
      </w:r>
    </w:p>
    <w:p w14:paraId="52EC6A2D">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c.最终验收</w:t>
      </w:r>
    </w:p>
    <w:p w14:paraId="4717C137">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中标人自检后，招标人与中标人共同按验收标准以及合同相关条款要求，一同对货物进行最终验收。在此期间，若发现货物不符合验收标准要求中标人应无条件免费更换， 并无条件重新检测、调试，直至验收合格交付使用。</w:t>
      </w:r>
    </w:p>
    <w:p w14:paraId="2F0D7B4A">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d.抽检：货物送达招标人指定地点后，招标人有权抽检，将随机抽选部分中标产品委托有检测资质的第三方检测机构进行检验。抽检不合格的，该种设备全部做退货处理，由中标人自行收回并重新安排送货。重新送货时仍需按前述办法进行抽检，抽检再次不合格的终止履行合同，由中标人承担违约责任。抽检所产生的检测费用等均由中标人承担。</w:t>
      </w:r>
    </w:p>
    <w:p w14:paraId="3B26C4E5">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（3）到货验收说明</w:t>
      </w:r>
    </w:p>
    <w:p w14:paraId="6371C23E">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a.中标人负责将合同设备运送到</w:t>
      </w:r>
      <w:r>
        <w:rPr>
          <w:rFonts w:hint="eastAsia" w:asciiTheme="minorEastAsia" w:hAnsiTheme="minorEastAsia" w:eastAsiaTheme="minorEastAsia" w:cstheme="minorEastAsia"/>
          <w:color w:val="000000" w:themeColor="text1"/>
          <w:spacing w:val="-1"/>
          <w:sz w:val="24"/>
          <w:szCs w:val="24"/>
          <w:lang w:eastAsia="zh-CN"/>
        </w:rPr>
        <w:t xml:space="preserve">招标人 </w:t>
      </w:r>
      <w:r>
        <w:rPr>
          <w:rFonts w:hint="eastAsia" w:asciiTheme="minorEastAsia" w:hAnsiTheme="minorEastAsia" w:eastAsiaTheme="minorEastAsia" w:cstheme="minorEastAsia"/>
          <w:color w:val="000000" w:themeColor="text1"/>
          <w:spacing w:val="-1"/>
          <w:sz w:val="24"/>
          <w:szCs w:val="24"/>
        </w:rPr>
        <w:t>指定的安装、调试地点，由此产生的费用由中标人承担。</w:t>
      </w:r>
    </w:p>
    <w:p w14:paraId="7B32C26E">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b.</w:t>
      </w:r>
      <w:r>
        <w:rPr>
          <w:rFonts w:hint="eastAsia" w:asciiTheme="minorEastAsia" w:hAnsiTheme="minorEastAsia" w:eastAsiaTheme="minorEastAsia" w:cstheme="minorEastAsia"/>
          <w:color w:val="000000" w:themeColor="text1"/>
          <w:spacing w:val="-1"/>
          <w:sz w:val="24"/>
          <w:szCs w:val="24"/>
          <w:lang w:eastAsia="zh-CN"/>
        </w:rPr>
        <w:t xml:space="preserve">招标人 </w:t>
      </w:r>
      <w:r>
        <w:rPr>
          <w:rFonts w:hint="eastAsia" w:asciiTheme="minorEastAsia" w:hAnsiTheme="minorEastAsia" w:eastAsiaTheme="minorEastAsia" w:cstheme="minorEastAsia"/>
          <w:color w:val="000000" w:themeColor="text1"/>
          <w:spacing w:val="-1"/>
          <w:sz w:val="24"/>
          <w:szCs w:val="24"/>
        </w:rPr>
        <w:t>依中标人在投标文件中的承诺对全部设备的型号、规格、数量、外形、外观、包装及资料、文件（包括装箱单、保修单、随箱介质等）等进行现场签收。</w:t>
      </w:r>
    </w:p>
    <w:p w14:paraId="7A6CBE37">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c.设备到货后</w:t>
      </w:r>
      <w:r>
        <w:rPr>
          <w:rFonts w:hint="eastAsia" w:asciiTheme="minorEastAsia" w:hAnsiTheme="minorEastAsia" w:eastAsiaTheme="minorEastAsia" w:cstheme="minorEastAsia"/>
          <w:color w:val="000000" w:themeColor="text1"/>
          <w:spacing w:val="-1"/>
          <w:sz w:val="24"/>
          <w:szCs w:val="24"/>
          <w:lang w:eastAsia="zh-CN"/>
        </w:rPr>
        <w:t xml:space="preserve">招标人 </w:t>
      </w:r>
      <w:r>
        <w:rPr>
          <w:rFonts w:hint="eastAsia" w:asciiTheme="minorEastAsia" w:hAnsiTheme="minorEastAsia" w:eastAsiaTheme="minorEastAsia" w:cstheme="minorEastAsia"/>
          <w:color w:val="000000" w:themeColor="text1"/>
          <w:spacing w:val="-1"/>
          <w:sz w:val="24"/>
          <w:szCs w:val="24"/>
        </w:rPr>
        <w:t>及中标人共同配合进行开箱检查，出现损坏、数量不全或产品不对等问题时，由中标人负责解决。</w:t>
      </w:r>
    </w:p>
    <w:p w14:paraId="292999DF">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rPr>
      </w:pPr>
      <w:r>
        <w:rPr>
          <w:rFonts w:hint="eastAsia" w:asciiTheme="minorEastAsia" w:hAnsiTheme="minorEastAsia" w:eastAsiaTheme="minorEastAsia" w:cstheme="minorEastAsia"/>
          <w:color w:val="000000" w:themeColor="text1"/>
          <w:spacing w:val="-1"/>
          <w:sz w:val="24"/>
          <w:szCs w:val="24"/>
        </w:rPr>
        <w:t>d.在</w:t>
      </w:r>
      <w:r>
        <w:rPr>
          <w:rFonts w:hint="eastAsia" w:asciiTheme="minorEastAsia" w:hAnsiTheme="minorEastAsia" w:eastAsiaTheme="minorEastAsia" w:cstheme="minorEastAsia"/>
          <w:color w:val="000000" w:themeColor="text1"/>
          <w:spacing w:val="-1"/>
          <w:sz w:val="24"/>
          <w:szCs w:val="24"/>
          <w:lang w:eastAsia="zh-CN"/>
        </w:rPr>
        <w:t xml:space="preserve">招标人 </w:t>
      </w:r>
      <w:r>
        <w:rPr>
          <w:rFonts w:hint="eastAsia" w:asciiTheme="minorEastAsia" w:hAnsiTheme="minorEastAsia" w:eastAsiaTheme="minorEastAsia" w:cstheme="minorEastAsia"/>
          <w:color w:val="000000" w:themeColor="text1"/>
          <w:spacing w:val="-1"/>
          <w:sz w:val="24"/>
          <w:szCs w:val="24"/>
        </w:rPr>
        <w:t>指定的地点和环境下，中标人负责对合同设备进行调试（所有部件模块的功能能够正常运行和使用），加电实现正常运行，并达到中标人在投标文件中承诺的技术指标和性能。</w:t>
      </w:r>
    </w:p>
    <w:p w14:paraId="59FE51AA">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1"/>
          <w:sz w:val="24"/>
          <w:szCs w:val="24"/>
        </w:rPr>
        <w:t>（4）中标人在招标人安装现场进行最终验收所发生的一切费用均由中标人承担。</w:t>
      </w:r>
    </w:p>
    <w:p w14:paraId="155C3DA6">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11、技术培训</w:t>
      </w:r>
    </w:p>
    <w:p w14:paraId="4AE61784">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人应结合本项目的安装、调试及运行过程，有计划对招标人派出的管理、维护人员进行基本知识、使用、维护保养技术的现场培训以保证本项目的良好运行。直至招标人的技术人员能熟练独立工作并能简单的进行故障排除。中标人委派的专业技术人员所需费用均由中标人承担。</w:t>
      </w:r>
    </w:p>
    <w:p w14:paraId="2D1EB9C4">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12、技术资料要求</w:t>
      </w:r>
    </w:p>
    <w:p w14:paraId="065DADEE">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中标人应向招标人提供以下中文技术资料一套，其费用包括在报价价格中：</w:t>
      </w:r>
    </w:p>
    <w:p w14:paraId="36FBA033">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(1)出厂明细表(装箱单)；</w:t>
      </w:r>
    </w:p>
    <w:p w14:paraId="167093FB">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(2)出厂检验报告和合格证书；</w:t>
      </w:r>
    </w:p>
    <w:p w14:paraId="0D1C81F4">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(3)使用说明书；</w:t>
      </w:r>
    </w:p>
    <w:p w14:paraId="0E268F2D">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(4)安装手册、操作手册、维修手册；</w:t>
      </w:r>
    </w:p>
    <w:p w14:paraId="2AA0C5BF">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(5)零部件目录；</w:t>
      </w:r>
    </w:p>
    <w:p w14:paraId="103E8D7F">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(6)提供原产地制造商的产品证明；</w:t>
      </w:r>
    </w:p>
    <w:p w14:paraId="4A87ED1B">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(7)合同中要求的其他文件资料。</w:t>
      </w:r>
    </w:p>
    <w:p w14:paraId="5E8B684C">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(8)其它必须的技术资料。</w:t>
      </w:r>
    </w:p>
    <w:p w14:paraId="1005171F">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13、专用工具</w:t>
      </w:r>
    </w:p>
    <w:p w14:paraId="4C1412DC">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中标人应提供一套维修所需的专用工具及其清单。</w:t>
      </w:r>
    </w:p>
    <w:p w14:paraId="0DFD37D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14、售后服务要求</w:t>
      </w:r>
    </w:p>
    <w:p w14:paraId="034EB0ED">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14.1</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售后维保期：中标人须按招标文件的要求提供合格的产品，自验收合格之日起提供至少3年及以上免费上门维保服务，终身维护。</w:t>
      </w:r>
    </w:p>
    <w:p w14:paraId="3BD9FA96">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14.2</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售后维保期自验收合格签名之日起计算。售后维保期内，须按合同条款提供免费服务，售后维保期内免费上门，免费维修（包含所有配件的更换），在售后维保期内定期回访、维护，有问题做到及时处理。</w:t>
      </w:r>
    </w:p>
    <w:p w14:paraId="016C16ED">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14.3</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在售后维保期内，中标人须负责货物的维保工作，售后维保期内如产品发生故障, 中标人须免费更换部件，该部件必须是原厂的产品。</w:t>
      </w:r>
    </w:p>
    <w:p w14:paraId="31BDDC8D">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14.4</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售后维保期内，中标人在接到招标人故障通知后应在4小时内作出响应，在24小时内应委派专业技术人员到达现场(逾期招标人有权另请他人维修，费用由中标人承担)，免费提供咨询、维修和更换零部件等服务。</w:t>
      </w:r>
    </w:p>
    <w:p w14:paraId="59478D19">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14.5</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售后维保期满前1个月内中标人应负责对设备进行一次免费全面检查，如发现潜在问题，应负责排除，保证设备正常运行。</w:t>
      </w:r>
    </w:p>
    <w:p w14:paraId="77EA0731">
      <w:pPr>
        <w:pStyle w:val="27"/>
        <w:spacing w:line="480" w:lineRule="exact"/>
        <w:ind w:firstLine="448"/>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14.6</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售后维保期结束后，中标人仍应对货物提供终身维修服务，并应继续提供优惠优质服务，维修响应时间6小时，48小时内并派人到达现场。如在5个工作日内无法修复的设备，中标人则应提供备品供招标人使用。对由于设 计、工艺或材料的缺陷或故障负责；中标人有对货物在必要时进行定期维护和修理，更换配件时只能收取成本费。</w:t>
      </w:r>
    </w:p>
    <w:p w14:paraId="759D263A">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15、违约责任</w:t>
      </w:r>
    </w:p>
    <w:p w14:paraId="3A84BA65">
      <w:pPr>
        <w:kinsoku/>
        <w:autoSpaceDE/>
        <w:autoSpaceDN/>
        <w:adjustRightInd/>
        <w:spacing w:before="94" w:line="480" w:lineRule="exact"/>
        <w:ind w:left="5" w:right="80" w:firstLine="518"/>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shd w:val="clear" w:color="auto" w:fill="FFFFFF"/>
          <w:lang w:eastAsia="zh-CN"/>
        </w:rPr>
        <w:t>15.1、</w:t>
      </w:r>
      <w:r>
        <w:rPr>
          <w:rFonts w:hint="eastAsia" w:asciiTheme="minorEastAsia" w:hAnsiTheme="minorEastAsia" w:eastAsiaTheme="minorEastAsia" w:cstheme="minorEastAsia"/>
          <w:color w:val="000000" w:themeColor="text1"/>
          <w:spacing w:val="1"/>
          <w:sz w:val="24"/>
          <w:szCs w:val="24"/>
          <w:lang w:eastAsia="zh-CN"/>
        </w:rPr>
        <w:t>因中标人原因造成招标供货合同无法</w:t>
      </w:r>
      <w:r>
        <w:rPr>
          <w:rFonts w:hint="eastAsia" w:asciiTheme="minorEastAsia" w:hAnsiTheme="minorEastAsia" w:eastAsiaTheme="minorEastAsia" w:cstheme="minorEastAsia"/>
          <w:color w:val="000000" w:themeColor="text1"/>
          <w:sz w:val="24"/>
          <w:szCs w:val="24"/>
          <w:lang w:eastAsia="zh-CN"/>
        </w:rPr>
        <w:t xml:space="preserve">按时签订，视为中标人违约，招标人有权 </w:t>
      </w:r>
      <w:r>
        <w:rPr>
          <w:rFonts w:hint="eastAsia" w:asciiTheme="minorEastAsia" w:hAnsiTheme="minorEastAsia" w:eastAsiaTheme="minorEastAsia" w:cstheme="minorEastAsia"/>
          <w:color w:val="000000" w:themeColor="text1"/>
          <w:spacing w:val="5"/>
          <w:sz w:val="24"/>
          <w:szCs w:val="24"/>
          <w:lang w:eastAsia="zh-CN"/>
        </w:rPr>
        <w:t>没收其投标保证金，如投标保证金不能弥补中标人违约对招标人或</w:t>
      </w:r>
      <w:r>
        <w:rPr>
          <w:rFonts w:hint="eastAsia" w:asciiTheme="minorEastAsia" w:hAnsiTheme="minorEastAsia" w:eastAsiaTheme="minorEastAsia" w:cstheme="minorEastAsia"/>
          <w:color w:val="000000" w:themeColor="text1"/>
          <w:spacing w:val="4"/>
          <w:sz w:val="24"/>
          <w:szCs w:val="24"/>
          <w:lang w:eastAsia="zh-CN"/>
        </w:rPr>
        <w:t>招标人造成的损失</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的，中标人还需另行支付相应的赔偿。</w:t>
      </w:r>
    </w:p>
    <w:p w14:paraId="16E11270">
      <w:pPr>
        <w:kinsoku/>
        <w:autoSpaceDE/>
        <w:autoSpaceDN/>
        <w:adjustRightInd/>
        <w:spacing w:before="93" w:line="480" w:lineRule="exact"/>
        <w:ind w:left="3" w:right="80" w:firstLine="520"/>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15.2、在签定采购合同之后，中标人要</w:t>
      </w:r>
      <w:r>
        <w:rPr>
          <w:rFonts w:hint="eastAsia" w:asciiTheme="minorEastAsia" w:hAnsiTheme="minorEastAsia" w:eastAsiaTheme="minorEastAsia" w:cstheme="minorEastAsia"/>
          <w:color w:val="000000" w:themeColor="text1"/>
          <w:sz w:val="24"/>
          <w:szCs w:val="24"/>
          <w:lang w:eastAsia="zh-CN"/>
        </w:rPr>
        <w:t>求解除合同的，视为中标人违约，对</w:t>
      </w:r>
      <w:r>
        <w:rPr>
          <w:rFonts w:hint="eastAsia" w:asciiTheme="minorEastAsia" w:hAnsiTheme="minorEastAsia" w:eastAsiaTheme="minorEastAsia" w:cstheme="minorEastAsia"/>
          <w:color w:val="000000" w:themeColor="text1"/>
          <w:spacing w:val="-1"/>
          <w:sz w:val="24"/>
          <w:szCs w:val="24"/>
          <w:lang w:eastAsia="zh-CN"/>
        </w:rPr>
        <w:t>招标人造成的损失的，中标人须支付相应的赔偿。</w:t>
      </w:r>
    </w:p>
    <w:p w14:paraId="2F237ECC">
      <w:pPr>
        <w:kinsoku/>
        <w:autoSpaceDE/>
        <w:autoSpaceDN/>
        <w:adjustRightInd/>
        <w:spacing w:before="95" w:line="480" w:lineRule="exact"/>
        <w:ind w:left="24" w:right="72" w:firstLine="499"/>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15.3、若中标人出现以下情形中任意一种情</w:t>
      </w:r>
      <w:r>
        <w:rPr>
          <w:rFonts w:hint="eastAsia" w:asciiTheme="minorEastAsia" w:hAnsiTheme="minorEastAsia" w:eastAsiaTheme="minorEastAsia" w:cstheme="minorEastAsia"/>
          <w:color w:val="000000" w:themeColor="text1"/>
          <w:sz w:val="24"/>
          <w:szCs w:val="24"/>
          <w:lang w:eastAsia="zh-CN"/>
        </w:rPr>
        <w:t xml:space="preserve">况，均视为中标人违约，招标人将取消其 </w:t>
      </w:r>
      <w:r>
        <w:rPr>
          <w:rFonts w:hint="eastAsia" w:asciiTheme="minorEastAsia" w:hAnsiTheme="minorEastAsia" w:eastAsiaTheme="minorEastAsia" w:cstheme="minorEastAsia"/>
          <w:color w:val="000000" w:themeColor="text1"/>
          <w:spacing w:val="-2"/>
          <w:sz w:val="24"/>
          <w:szCs w:val="24"/>
          <w:lang w:eastAsia="zh-CN"/>
        </w:rPr>
        <w:t>中标资格，如果已经签订合同的则合同自动解除，且中标人还要承担相应的法律责任。</w:t>
      </w:r>
    </w:p>
    <w:p w14:paraId="47F7367C">
      <w:pPr>
        <w:kinsoku/>
        <w:autoSpaceDE/>
        <w:autoSpaceDN/>
        <w:adjustRightInd/>
        <w:spacing w:before="94" w:line="480" w:lineRule="exact"/>
        <w:ind w:left="499"/>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（1)中标后，中标人的提供的货物与投标文件响应的不符</w:t>
      </w:r>
      <w:r>
        <w:rPr>
          <w:rFonts w:hint="eastAsia" w:asciiTheme="minorEastAsia" w:hAnsiTheme="minorEastAsia" w:eastAsiaTheme="minorEastAsia" w:cstheme="minorEastAsia"/>
          <w:color w:val="000000" w:themeColor="text1"/>
          <w:spacing w:val="-2"/>
          <w:sz w:val="24"/>
          <w:szCs w:val="24"/>
          <w:lang w:eastAsia="zh-CN"/>
        </w:rPr>
        <w:t>的；</w:t>
      </w:r>
    </w:p>
    <w:p w14:paraId="2E55C01D">
      <w:pPr>
        <w:kinsoku/>
        <w:autoSpaceDE/>
        <w:autoSpaceDN/>
        <w:adjustRightInd/>
        <w:spacing w:before="98" w:line="480" w:lineRule="exact"/>
        <w:ind w:left="484"/>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（2)中标人自动放弃中标的；</w:t>
      </w:r>
    </w:p>
    <w:p w14:paraId="06155EF2">
      <w:pPr>
        <w:kinsoku/>
        <w:autoSpaceDE/>
        <w:autoSpaceDN/>
        <w:adjustRightInd/>
        <w:spacing w:before="93" w:line="480" w:lineRule="exact"/>
        <w:ind w:right="80" w:firstLine="486"/>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rPr>
        <w:t>3)中标人在自中标通知书发出之日起三十日内，(因中标人原因)未与招标人签订采</w:t>
      </w:r>
      <w:r>
        <w:rPr>
          <w:rFonts w:hint="eastAsia" w:asciiTheme="minorEastAsia" w:hAnsiTheme="minorEastAsia" w:eastAsiaTheme="minorEastAsia" w:cstheme="minorEastAsia"/>
          <w:color w:val="000000" w:themeColor="text1"/>
          <w:spacing w:val="12"/>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购合同的；</w:t>
      </w:r>
    </w:p>
    <w:p w14:paraId="1BBCCA88">
      <w:pPr>
        <w:kinsoku/>
        <w:autoSpaceDE/>
        <w:autoSpaceDN/>
        <w:adjustRightInd/>
        <w:spacing w:before="96" w:line="480" w:lineRule="exact"/>
        <w:ind w:left="480"/>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（4)中标人因不可抗力原因未能如时供货或不能履行合同的；</w:t>
      </w:r>
    </w:p>
    <w:p w14:paraId="687BA164">
      <w:pPr>
        <w:kinsoku/>
        <w:autoSpaceDE/>
        <w:autoSpaceDN/>
        <w:adjustRightInd/>
        <w:spacing w:before="94" w:line="480" w:lineRule="exact"/>
        <w:ind w:left="486"/>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（5)中标人未响应招标文件交货完工期的。</w:t>
      </w:r>
    </w:p>
    <w:p w14:paraId="0AAA508E">
      <w:pPr>
        <w:kinsoku/>
        <w:autoSpaceDE/>
        <w:autoSpaceDN/>
        <w:adjustRightInd/>
        <w:spacing w:before="94" w:line="480" w:lineRule="exact"/>
        <w:ind w:left="4" w:right="80" w:firstLine="519"/>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15.4、因中标人原因发生重大质量事故，除</w:t>
      </w:r>
      <w:r>
        <w:rPr>
          <w:rFonts w:hint="eastAsia" w:asciiTheme="minorEastAsia" w:hAnsiTheme="minorEastAsia" w:eastAsiaTheme="minorEastAsia" w:cstheme="minorEastAsia"/>
          <w:color w:val="000000" w:themeColor="text1"/>
          <w:sz w:val="24"/>
          <w:szCs w:val="24"/>
          <w:lang w:eastAsia="zh-CN"/>
        </w:rPr>
        <w:t xml:space="preserve">依约承担赔偿责任外，还将按有关质量管 </w:t>
      </w:r>
      <w:r>
        <w:rPr>
          <w:rFonts w:hint="eastAsia" w:asciiTheme="minorEastAsia" w:hAnsiTheme="minorEastAsia" w:eastAsiaTheme="minorEastAsia" w:cstheme="minorEastAsia"/>
          <w:color w:val="000000" w:themeColor="text1"/>
          <w:spacing w:val="-2"/>
          <w:sz w:val="24"/>
          <w:szCs w:val="24"/>
          <w:lang w:eastAsia="zh-CN"/>
        </w:rPr>
        <w:t>理办法规定执行。同时，招标人有权保留更换中标人的权利，并报相关行政主管部门处</w:t>
      </w:r>
      <w:r>
        <w:rPr>
          <w:rFonts w:hint="eastAsia" w:asciiTheme="minorEastAsia" w:hAnsiTheme="minorEastAsia" w:eastAsiaTheme="minorEastAsia" w:cstheme="minorEastAsia"/>
          <w:color w:val="000000" w:themeColor="text1"/>
          <w:spacing w:val="14"/>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罚。</w:t>
      </w:r>
    </w:p>
    <w:p w14:paraId="7A0DF9C5">
      <w:pPr>
        <w:kinsoku/>
        <w:autoSpaceDE/>
        <w:autoSpaceDN/>
        <w:adjustRightInd/>
        <w:spacing w:before="88" w:line="480" w:lineRule="exact"/>
        <w:ind w:right="80" w:firstLine="523"/>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15.5、若发生死亡安全事故，除按国家有关</w:t>
      </w:r>
      <w:r>
        <w:rPr>
          <w:rFonts w:hint="eastAsia" w:asciiTheme="minorEastAsia" w:hAnsiTheme="minorEastAsia" w:eastAsiaTheme="minorEastAsia" w:cstheme="minorEastAsia"/>
          <w:color w:val="000000" w:themeColor="text1"/>
          <w:sz w:val="24"/>
          <w:szCs w:val="24"/>
          <w:lang w:eastAsia="zh-CN"/>
        </w:rPr>
        <w:t xml:space="preserve">安全管理规定及招标人有关安全管理办法 </w:t>
      </w:r>
      <w:r>
        <w:rPr>
          <w:rFonts w:hint="eastAsia" w:asciiTheme="minorEastAsia" w:hAnsiTheme="minorEastAsia" w:eastAsiaTheme="minorEastAsia" w:cstheme="minorEastAsia"/>
          <w:color w:val="000000" w:themeColor="text1"/>
          <w:spacing w:val="-2"/>
          <w:sz w:val="24"/>
          <w:szCs w:val="24"/>
          <w:lang w:eastAsia="zh-CN"/>
        </w:rPr>
        <w:t>执行外，并报相关行政主管部门处罚；发生重大安全事故或特大安全事故，除按国家有</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关安全管理规定及招标人有关安全管理办法执行外，招标人保留更换中标人，给招标人</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造成的损失，还应承担赔偿责任。</w:t>
      </w:r>
    </w:p>
    <w:p w14:paraId="55236BFA">
      <w:pPr>
        <w:kinsoku/>
        <w:autoSpaceDE/>
        <w:autoSpaceDN/>
        <w:adjustRightInd/>
        <w:spacing w:before="96" w:line="480" w:lineRule="exact"/>
        <w:ind w:left="3" w:right="80" w:firstLine="520"/>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15.6、在明确违约责任后，中标人应在接到</w:t>
      </w:r>
      <w:r>
        <w:rPr>
          <w:rFonts w:hint="eastAsia" w:asciiTheme="minorEastAsia" w:hAnsiTheme="minorEastAsia" w:eastAsiaTheme="minorEastAsia" w:cstheme="minorEastAsia"/>
          <w:color w:val="000000" w:themeColor="text1"/>
          <w:sz w:val="24"/>
          <w:szCs w:val="24"/>
          <w:lang w:eastAsia="zh-CN"/>
        </w:rPr>
        <w:t>书面通知书起七天内支付违约金、赔偿金</w:t>
      </w:r>
      <w:r>
        <w:rPr>
          <w:rFonts w:hint="eastAsia" w:asciiTheme="minorEastAsia" w:hAnsiTheme="minorEastAsia" w:eastAsiaTheme="minorEastAsia" w:cstheme="minorEastAsia"/>
          <w:color w:val="000000" w:themeColor="text1"/>
          <w:spacing w:val="-6"/>
          <w:sz w:val="24"/>
          <w:szCs w:val="24"/>
          <w:lang w:eastAsia="zh-CN"/>
        </w:rPr>
        <w:t>等。</w:t>
      </w:r>
    </w:p>
    <w:p w14:paraId="5FFD8AA6">
      <w:pPr>
        <w:kinsoku/>
        <w:autoSpaceDE/>
        <w:autoSpaceDN/>
        <w:adjustRightInd/>
        <w:spacing w:before="94" w:line="480" w:lineRule="exact"/>
        <w:ind w:right="80" w:firstLine="523"/>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15.7、因中标人原因造成采购合同无法</w:t>
      </w:r>
      <w:r>
        <w:rPr>
          <w:rFonts w:hint="eastAsia" w:asciiTheme="minorEastAsia" w:hAnsiTheme="minorEastAsia" w:eastAsiaTheme="minorEastAsia" w:cstheme="minorEastAsia"/>
          <w:color w:val="000000" w:themeColor="text1"/>
          <w:sz w:val="24"/>
          <w:szCs w:val="24"/>
          <w:lang w:eastAsia="zh-CN"/>
        </w:rPr>
        <w:t xml:space="preserve">按时签订或未按规定供货、安装、调试、 </w:t>
      </w:r>
      <w:r>
        <w:rPr>
          <w:rFonts w:hint="eastAsia" w:asciiTheme="minorEastAsia" w:hAnsiTheme="minorEastAsia" w:eastAsiaTheme="minorEastAsia" w:cstheme="minorEastAsia"/>
          <w:color w:val="000000" w:themeColor="text1"/>
          <w:spacing w:val="-2"/>
          <w:sz w:val="24"/>
          <w:szCs w:val="24"/>
          <w:lang w:eastAsia="zh-CN"/>
        </w:rPr>
        <w:t>试运行、验收、交付等规定，视为中标人违约，中标人违约的，除了应承担相应法律责</w:t>
      </w:r>
      <w:r>
        <w:rPr>
          <w:rFonts w:hint="eastAsia" w:asciiTheme="minorEastAsia" w:hAnsiTheme="minorEastAsia" w:eastAsiaTheme="minorEastAsia" w:cstheme="minorEastAsia"/>
          <w:color w:val="000000" w:themeColor="text1"/>
          <w:sz w:val="24"/>
          <w:szCs w:val="24"/>
          <w:lang w:eastAsia="zh-CN"/>
        </w:rPr>
        <w:t>任外，招标人有权要求中标人偿付合同货款</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20%的违约金；造成</w:t>
      </w:r>
      <w:r>
        <w:rPr>
          <w:rFonts w:hint="eastAsia" w:asciiTheme="minorEastAsia" w:hAnsiTheme="minorEastAsia" w:eastAsiaTheme="minorEastAsia" w:cstheme="minorEastAsia"/>
          <w:color w:val="000000" w:themeColor="text1"/>
          <w:spacing w:val="-1"/>
          <w:sz w:val="24"/>
          <w:szCs w:val="24"/>
          <w:lang w:eastAsia="zh-CN"/>
        </w:rPr>
        <w:t>招标人损失的，中标人</w:t>
      </w:r>
      <w:r>
        <w:rPr>
          <w:rFonts w:hint="eastAsia" w:asciiTheme="minorEastAsia" w:hAnsiTheme="minorEastAsia" w:eastAsiaTheme="minorEastAsia" w:cstheme="minorEastAsia"/>
          <w:color w:val="000000" w:themeColor="text1"/>
          <w:spacing w:val="-2"/>
          <w:sz w:val="24"/>
          <w:szCs w:val="24"/>
          <w:lang w:eastAsia="zh-CN"/>
        </w:rPr>
        <w:t>还应予以赔偿。</w:t>
      </w:r>
    </w:p>
    <w:p w14:paraId="63757353">
      <w:pPr>
        <w:kinsoku/>
        <w:autoSpaceDE/>
        <w:autoSpaceDN/>
        <w:adjustRightInd/>
        <w:spacing w:before="107" w:line="480" w:lineRule="exact"/>
        <w:ind w:left="24" w:firstLine="499"/>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8"/>
          <w:sz w:val="24"/>
          <w:szCs w:val="24"/>
          <w:lang w:eastAsia="zh-CN"/>
        </w:rPr>
        <w:t>15.8、其他未列明的违约情形，每一次扣履约保证金</w:t>
      </w:r>
      <w:r>
        <w:rPr>
          <w:rFonts w:hint="eastAsia" w:asciiTheme="minorEastAsia" w:hAnsiTheme="minorEastAsia" w:eastAsiaTheme="minorEastAsia" w:cstheme="minorEastAsia"/>
          <w:color w:val="000000" w:themeColor="text1"/>
          <w:spacing w:val="-31"/>
          <w:sz w:val="24"/>
          <w:szCs w:val="24"/>
          <w:lang w:eastAsia="zh-CN"/>
        </w:rPr>
        <w:t xml:space="preserve"> </w:t>
      </w:r>
      <w:r>
        <w:rPr>
          <w:rFonts w:hint="eastAsia" w:asciiTheme="minorEastAsia" w:hAnsiTheme="minorEastAsia" w:eastAsiaTheme="minorEastAsia" w:cstheme="minorEastAsia"/>
          <w:color w:val="000000" w:themeColor="text1"/>
          <w:spacing w:val="-8"/>
          <w:sz w:val="24"/>
          <w:szCs w:val="24"/>
          <w:lang w:eastAsia="zh-CN"/>
        </w:rPr>
        <w:t>1000</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8"/>
          <w:sz w:val="24"/>
          <w:szCs w:val="24"/>
          <w:lang w:eastAsia="zh-CN"/>
        </w:rPr>
        <w:t>元，履约保证金不够支付的，</w:t>
      </w:r>
      <w:r>
        <w:rPr>
          <w:rFonts w:hint="eastAsia" w:asciiTheme="minorEastAsia" w:hAnsiTheme="minorEastAsia" w:eastAsiaTheme="minorEastAsia" w:cstheme="minorEastAsia"/>
          <w:color w:val="000000" w:themeColor="text1"/>
          <w:spacing w:val="-2"/>
          <w:sz w:val="24"/>
          <w:szCs w:val="24"/>
          <w:lang w:eastAsia="zh-CN"/>
        </w:rPr>
        <w:t>中标人应根据违约责任15.6支付。</w:t>
      </w:r>
    </w:p>
    <w:p w14:paraId="3CC1EB6B">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16、不可抗力</w:t>
      </w:r>
    </w:p>
    <w:p w14:paraId="0C1933FE">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16.1</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357DF970">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16.2</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本招标文件中的不可抗力指不能预见、不能避免并不能克服的客观情况。包括但不限于：自然灾害如地震、台风、洪水、火灾；政府行为、法律规定或其适用的变化或者其他任何无法预见、避免或者控制的事件。</w:t>
      </w:r>
    </w:p>
    <w:p w14:paraId="3E18A2F2">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17、专利权及知识产权</w:t>
      </w:r>
    </w:p>
    <w:p w14:paraId="4BAEC13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17.1中标人提供的货物应符合国家知识产权法律、法规的规定且非假冒伪劣品；中标人还应保证招标人不受到第三方关于侵犯知识产权及专 利权、商 标权或工业设 计权等知识产权方面的指控，若任何第三方提出此方面指控均与招标人无关，中标人应与第三方交涉，并承担可能发生的一切法律责任、费用和后果；若招标人因此而遭致损失，则投标人应赔偿该损失。</w:t>
      </w:r>
    </w:p>
    <w:p w14:paraId="59073250">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17.2若中标人提供的货物不符合国家知识产权法律、法规的规定或被有关主管机关认定为假冒伪劣品，则中标人招标资格将被取消；招标人还将按照有关法律、法规和规章的规定进行处理，具体如下：中标人必须保证所提供的产品具有独立的知识产权，保证招标人在使用中标人所提供的产品时不受任何专 利或版权等方面的侵权困扰，如出现类似纠纷，投标人应对由此产生的后果负全部责任，并赔偿招标人由此而造成的全部损失；中标人必须对技术、商务、招标要求等如实响应，如出现虚假应标被证实的，招标人将要求供货人赔偿合同金额30%的违约金，如产生其它影响和后果的，招标人保留进一步要求供货人赔偿的权利。</w:t>
      </w:r>
    </w:p>
    <w:p w14:paraId="1667C644">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18、保密条款</w:t>
      </w:r>
    </w:p>
    <w:p w14:paraId="2DC563D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18.1中标人应当对本项目的内容、因履行本项目或在本项目执行期间知悉的或收到的招标人的财务、技术、产品信息或其他工作上的文件资料、工作内容等予以保密，不得向本任何第三方披露，严格履行保密义务。</w:t>
      </w:r>
    </w:p>
    <w:p w14:paraId="182C2F82">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18.2投标人违反本条约定泄露招标人的涉密信息的，应承担相应的法律责任，造成招标人损失的，投标人应当依法承担赔偿责任。</w:t>
      </w:r>
    </w:p>
    <w:p w14:paraId="0AF46F05">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18.3本条款不因合同届满或解除而失效。</w:t>
      </w:r>
    </w:p>
    <w:p w14:paraId="01EC665A">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19、廉政条款</w:t>
      </w:r>
    </w:p>
    <w:p w14:paraId="3AA1EFFA">
      <w:pPr>
        <w:pStyle w:val="27"/>
        <w:spacing w:line="480" w:lineRule="exact"/>
        <w:ind w:firstLine="480"/>
        <w:jc w:val="both"/>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投标人及其工作人员不得有以任何形式行贿招标人工作人员的行为，若发现经被核查属实的，招标人有权解除合同且不予退还履约保证金，情节严重的，投标人及其工作人员还要承担相应的法律责任；招标人及其工作人员不得索要或接受投标人的礼金及吃请等，如有违反廉政纪律等行为的，依据有关规定给予党纪、政纪或组织处理；情节严重的，还应承担相应的法律责任。</w:t>
      </w:r>
    </w:p>
    <w:p w14:paraId="684E535B">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bookmarkStart w:id="5" w:name="_Toc24447"/>
      <w:r>
        <w:rPr>
          <w:rFonts w:hint="eastAsia" w:asciiTheme="minorEastAsia" w:hAnsiTheme="minorEastAsia" w:eastAsiaTheme="minorEastAsia" w:cstheme="minorEastAsia"/>
          <w:color w:val="000000" w:themeColor="text1"/>
          <w:sz w:val="24"/>
          <w:szCs w:val="24"/>
        </w:rPr>
        <w:t>四、其他事项</w:t>
      </w:r>
      <w:bookmarkEnd w:id="5"/>
    </w:p>
    <w:p w14:paraId="4D242201">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1、除招标文件另有规定外，若出现有关法律、法规和规章有强制性规定但招标文件未列明的情形，则投标人应按照有关法律、法规和规章强制性规定执行。</w:t>
      </w:r>
    </w:p>
    <w:p w14:paraId="59F18ECE">
      <w:pPr>
        <w:rPr>
          <w:rFonts w:hint="eastAsia" w:asciiTheme="minorEastAsia" w:hAnsiTheme="minorEastAsia" w:eastAsiaTheme="minorEastAsia" w:cstheme="minorEastAsia"/>
          <w:b/>
          <w:bCs/>
          <w:color w:val="000000" w:themeColor="text1"/>
          <w:lang w:eastAsia="zh-CN"/>
        </w:rPr>
      </w:pPr>
      <w:r>
        <w:rPr>
          <w:rFonts w:hint="eastAsia" w:asciiTheme="minorEastAsia" w:hAnsiTheme="minorEastAsia" w:eastAsiaTheme="minorEastAsia" w:cstheme="minorEastAsia"/>
          <w:b/>
          <w:bCs/>
          <w:color w:val="000000" w:themeColor="text1"/>
          <w:lang w:eastAsia="zh-CN"/>
        </w:rPr>
        <w:br w:type="page"/>
      </w:r>
    </w:p>
    <w:p w14:paraId="311D2AED">
      <w:pPr>
        <w:jc w:val="center"/>
        <w:outlineLvl w:val="0"/>
        <w:rPr>
          <w:rFonts w:hint="eastAsia" w:asciiTheme="minorEastAsia" w:hAnsiTheme="minorEastAsia" w:eastAsiaTheme="minorEastAsia" w:cstheme="minorEastAsia"/>
          <w:b/>
          <w:bCs/>
          <w:color w:val="000000" w:themeColor="text1"/>
          <w:sz w:val="28"/>
          <w:szCs w:val="28"/>
          <w:lang w:eastAsia="zh-CN"/>
        </w:rPr>
      </w:pPr>
      <w:bookmarkStart w:id="6" w:name="_Toc25492"/>
      <w:bookmarkStart w:id="7" w:name="_Toc637"/>
      <w:bookmarkStart w:id="8" w:name="_Toc21536"/>
      <w:r>
        <w:rPr>
          <w:rFonts w:hint="eastAsia" w:asciiTheme="minorEastAsia" w:hAnsiTheme="minorEastAsia" w:eastAsiaTheme="minorEastAsia" w:cstheme="minorEastAsia"/>
          <w:b/>
          <w:bCs/>
          <w:color w:val="000000" w:themeColor="text1"/>
          <w:sz w:val="28"/>
          <w:szCs w:val="28"/>
          <w:lang w:eastAsia="zh-CN"/>
        </w:rPr>
        <w:t>第六章   福建省泉州升华实业有限公司采购合同</w:t>
      </w:r>
      <w:bookmarkEnd w:id="6"/>
      <w:bookmarkEnd w:id="7"/>
    </w:p>
    <w:p w14:paraId="61C169C9">
      <w:pPr>
        <w:jc w:val="center"/>
        <w:rPr>
          <w:rFonts w:hint="eastAsia" w:asciiTheme="minorEastAsia" w:hAnsiTheme="minorEastAsia" w:eastAsiaTheme="minorEastAsia" w:cstheme="minorEastAsia"/>
          <w:b/>
          <w:bCs/>
          <w:color w:val="000000" w:themeColor="text1"/>
          <w:sz w:val="28"/>
          <w:szCs w:val="28"/>
          <w:lang w:eastAsia="zh-CN"/>
        </w:rPr>
      </w:pPr>
      <w:bookmarkStart w:id="9" w:name="_Toc31327"/>
      <w:r>
        <w:rPr>
          <w:rFonts w:hint="eastAsia" w:asciiTheme="minorEastAsia" w:hAnsiTheme="minorEastAsia" w:eastAsiaTheme="minorEastAsia" w:cstheme="minorEastAsia"/>
          <w:b/>
          <w:bCs/>
          <w:color w:val="000000" w:themeColor="text1"/>
          <w:sz w:val="28"/>
          <w:szCs w:val="28"/>
          <w:lang w:eastAsia="zh-CN"/>
        </w:rPr>
        <w:t>（参考范本）</w:t>
      </w:r>
      <w:bookmarkEnd w:id="9"/>
    </w:p>
    <w:p w14:paraId="3F3FE6B7">
      <w:pPr>
        <w:spacing w:before="92" w:line="381" w:lineRule="exact"/>
        <w:ind w:left="83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
          <w:position w:val="10"/>
          <w:sz w:val="24"/>
          <w:szCs w:val="24"/>
          <w:lang w:eastAsia="zh-CN"/>
        </w:rPr>
        <w:t>甲方（招标人）:</w:t>
      </w:r>
    </w:p>
    <w:p w14:paraId="592588E0">
      <w:pPr>
        <w:spacing w:line="220" w:lineRule="auto"/>
        <w:ind w:left="83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
          <w:sz w:val="24"/>
          <w:szCs w:val="24"/>
          <w:lang w:eastAsia="zh-CN"/>
        </w:rPr>
        <w:t>乙方（中标人）:</w:t>
      </w:r>
    </w:p>
    <w:p w14:paraId="75C02184">
      <w:pPr>
        <w:pStyle w:val="8"/>
        <w:spacing w:line="391" w:lineRule="auto"/>
        <w:rPr>
          <w:rFonts w:hint="eastAsia" w:asciiTheme="minorEastAsia" w:hAnsiTheme="minorEastAsia" w:eastAsiaTheme="minorEastAsia" w:cstheme="minorEastAsia"/>
          <w:color w:val="000000" w:themeColor="text1"/>
          <w:lang w:eastAsia="zh-CN"/>
        </w:rPr>
      </w:pPr>
    </w:p>
    <w:p w14:paraId="79E00CA8">
      <w:pPr>
        <w:keepNext w:val="0"/>
        <w:keepLines w:val="0"/>
        <w:pageBreakBefore w:val="0"/>
        <w:widowControl/>
        <w:wordWrap/>
        <w:bidi w:val="0"/>
        <w:spacing w:line="480" w:lineRule="exact"/>
        <w:ind w:left="0" w:right="0" w:firstLine="48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根据福建三仟招标有限公司招标编号为</w:t>
      </w:r>
      <w:r>
        <w:rPr>
          <w:rFonts w:hint="eastAsia" w:asciiTheme="minorEastAsia" w:hAnsiTheme="minorEastAsia" w:eastAsiaTheme="minorEastAsia" w:cstheme="minorEastAsia"/>
          <w:color w:val="000000" w:themeColor="text1"/>
          <w:sz w:val="24"/>
          <w:szCs w:val="24"/>
          <w:u w:val="single"/>
          <w:lang w:eastAsia="zh-CN"/>
        </w:rPr>
        <w:t xml:space="preserve"> FJSQZB-20240007</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9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z w:val="24"/>
          <w:szCs w:val="24"/>
          <w:u w:val="single"/>
          <w:lang w:eastAsia="zh-CN"/>
        </w:rPr>
        <w:t>泉州升华实业有限公司安全生产应急指挥中心采购项目</w:t>
      </w:r>
      <w:r>
        <w:rPr>
          <w:rFonts w:hint="eastAsia" w:asciiTheme="minorEastAsia" w:hAnsiTheme="minorEastAsia" w:eastAsiaTheme="minorEastAsia" w:cstheme="minorEastAsia"/>
          <w:color w:val="000000" w:themeColor="text1"/>
          <w:sz w:val="24"/>
          <w:szCs w:val="24"/>
          <w:lang w:eastAsia="zh-CN"/>
        </w:rPr>
        <w:t>的</w:t>
      </w:r>
      <w:r>
        <w:rPr>
          <w:rFonts w:hint="eastAsia" w:asciiTheme="minorEastAsia" w:hAnsiTheme="minorEastAsia" w:eastAsiaTheme="minorEastAsia" w:cstheme="minorEastAsia"/>
          <w:color w:val="000000" w:themeColor="text1"/>
          <w:spacing w:val="1"/>
          <w:sz w:val="24"/>
          <w:szCs w:val="24"/>
          <w:lang w:eastAsia="zh-CN"/>
        </w:rPr>
        <w:t>招标结果，乙方为合同包</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1"/>
          <w:sz w:val="24"/>
          <w:szCs w:val="24"/>
          <w:u w:val="single"/>
          <w:lang w:val="en-US" w:eastAsia="zh-CN"/>
        </w:rPr>
        <w:t>1</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乙方。甲乙双方就以下事项达成</w:t>
      </w:r>
      <w:r>
        <w:rPr>
          <w:rFonts w:hint="eastAsia" w:asciiTheme="minorEastAsia" w:hAnsiTheme="minorEastAsia" w:eastAsiaTheme="minorEastAsia" w:cstheme="minorEastAsia"/>
          <w:color w:val="000000" w:themeColor="text1"/>
          <w:sz w:val="24"/>
          <w:szCs w:val="24"/>
          <w:lang w:eastAsia="zh-CN"/>
        </w:rPr>
        <w:t xml:space="preserve">一致并签订本 </w:t>
      </w:r>
      <w:r>
        <w:rPr>
          <w:rFonts w:hint="eastAsia" w:asciiTheme="minorEastAsia" w:hAnsiTheme="minorEastAsia" w:eastAsiaTheme="minorEastAsia" w:cstheme="minorEastAsia"/>
          <w:color w:val="000000" w:themeColor="text1"/>
          <w:spacing w:val="-3"/>
          <w:sz w:val="24"/>
          <w:szCs w:val="24"/>
          <w:lang w:eastAsia="zh-CN"/>
        </w:rPr>
        <w:t>合同：</w:t>
      </w:r>
    </w:p>
    <w:p w14:paraId="5EA3C228">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一、下列文件是构成本合同不可分割的部分</w:t>
      </w:r>
    </w:p>
    <w:p w14:paraId="2AF7F796">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1.合同条款；</w:t>
      </w:r>
    </w:p>
    <w:p w14:paraId="7E2A940B">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2.招标文件、乙方的投标文件；</w:t>
      </w:r>
    </w:p>
    <w:p w14:paraId="64B0EA8D">
      <w:pPr>
        <w:keepNext w:val="0"/>
        <w:keepLines w:val="0"/>
        <w:pageBreakBefore w:val="0"/>
        <w:widowControl/>
        <w:wordWrap/>
        <w:bidi w:val="0"/>
        <w:spacing w:line="480" w:lineRule="exact"/>
        <w:ind w:left="0" w:right="0" w:firstLine="48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3.乙方提供的设备及服务应符合招标文件的规定和乙方投标文件的承诺。乙方投标</w:t>
      </w:r>
      <w:r>
        <w:rPr>
          <w:rFonts w:hint="eastAsia" w:asciiTheme="minorEastAsia" w:hAnsiTheme="minorEastAsia" w:eastAsiaTheme="minorEastAsia" w:cstheme="minorEastAsia"/>
          <w:color w:val="000000" w:themeColor="text1"/>
          <w:spacing w:val="1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文件低于招标文件的以招标文件为准，乙方投标文件高于招标文件的，以乙方投标文件</w:t>
      </w:r>
      <w:r>
        <w:rPr>
          <w:rFonts w:hint="eastAsia" w:asciiTheme="minorEastAsia" w:hAnsiTheme="minorEastAsia" w:eastAsiaTheme="minorEastAsia" w:cstheme="minorEastAsia"/>
          <w:color w:val="000000" w:themeColor="text1"/>
          <w:spacing w:val="-4"/>
          <w:sz w:val="24"/>
          <w:szCs w:val="24"/>
          <w:lang w:eastAsia="zh-CN"/>
        </w:rPr>
        <w:t>为准。</w:t>
      </w:r>
    </w:p>
    <w:p w14:paraId="206A5400">
      <w:pPr>
        <w:keepNext w:val="0"/>
        <w:keepLines w:val="0"/>
        <w:pageBreakBefore w:val="0"/>
        <w:widowControl/>
        <w:wordWrap/>
        <w:topLinePunct/>
        <w:bidi w:val="0"/>
        <w:spacing w:line="48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二、合同标的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772"/>
        <w:gridCol w:w="981"/>
        <w:gridCol w:w="1425"/>
        <w:gridCol w:w="1889"/>
      </w:tblGrid>
      <w:tr w14:paraId="6FE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3417" w:type="dxa"/>
            <w:tcBorders>
              <w:bottom w:val="single" w:color="auto" w:sz="4" w:space="0"/>
            </w:tcBorders>
            <w:noWrap/>
            <w:vAlign w:val="center"/>
          </w:tcPr>
          <w:p w14:paraId="549E01E1">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货物</w:t>
            </w:r>
            <w:r>
              <w:rPr>
                <w:rFonts w:hint="eastAsia" w:asciiTheme="minorEastAsia" w:hAnsiTheme="minorEastAsia" w:eastAsiaTheme="minorEastAsia" w:cstheme="minorEastAsia"/>
                <w:color w:val="auto"/>
                <w:sz w:val="24"/>
                <w:szCs w:val="24"/>
              </w:rPr>
              <w:t>名称</w:t>
            </w:r>
          </w:p>
        </w:tc>
        <w:tc>
          <w:tcPr>
            <w:tcW w:w="1772" w:type="dxa"/>
            <w:tcBorders>
              <w:bottom w:val="single" w:color="auto" w:sz="4" w:space="0"/>
            </w:tcBorders>
            <w:noWrap/>
            <w:vAlign w:val="center"/>
          </w:tcPr>
          <w:p w14:paraId="42BA0C85">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规格型号</w:t>
            </w:r>
          </w:p>
        </w:tc>
        <w:tc>
          <w:tcPr>
            <w:tcW w:w="981" w:type="dxa"/>
            <w:tcBorders>
              <w:bottom w:val="single" w:color="auto" w:sz="4" w:space="0"/>
            </w:tcBorders>
            <w:noWrap/>
            <w:vAlign w:val="center"/>
          </w:tcPr>
          <w:p w14:paraId="00055836">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 量</w:t>
            </w:r>
          </w:p>
        </w:tc>
        <w:tc>
          <w:tcPr>
            <w:tcW w:w="1425" w:type="dxa"/>
            <w:tcBorders>
              <w:bottom w:val="single" w:color="auto" w:sz="4" w:space="0"/>
            </w:tcBorders>
            <w:noWrap/>
            <w:vAlign w:val="center"/>
          </w:tcPr>
          <w:p w14:paraId="5B666B55">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 价</w:t>
            </w:r>
          </w:p>
        </w:tc>
        <w:tc>
          <w:tcPr>
            <w:tcW w:w="1889" w:type="dxa"/>
            <w:tcBorders>
              <w:bottom w:val="single" w:color="auto" w:sz="4" w:space="0"/>
            </w:tcBorders>
            <w:noWrap/>
            <w:vAlign w:val="center"/>
          </w:tcPr>
          <w:p w14:paraId="26067026">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 价</w:t>
            </w:r>
          </w:p>
        </w:tc>
      </w:tr>
      <w:tr w14:paraId="075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3417" w:type="dxa"/>
            <w:noWrap/>
          </w:tcPr>
          <w:p w14:paraId="2E410861">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p w14:paraId="759AA48F">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772" w:type="dxa"/>
            <w:noWrap/>
          </w:tcPr>
          <w:p w14:paraId="40085A12">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981" w:type="dxa"/>
            <w:noWrap/>
          </w:tcPr>
          <w:p w14:paraId="38A3266E">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425" w:type="dxa"/>
            <w:noWrap/>
          </w:tcPr>
          <w:p w14:paraId="576FE906">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889" w:type="dxa"/>
            <w:noWrap/>
          </w:tcPr>
          <w:p w14:paraId="2B795967">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r>
      <w:tr w14:paraId="17F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3417" w:type="dxa"/>
            <w:noWrap/>
          </w:tcPr>
          <w:p w14:paraId="4B825B4A">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772" w:type="dxa"/>
            <w:noWrap/>
          </w:tcPr>
          <w:p w14:paraId="64492A56">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981" w:type="dxa"/>
            <w:noWrap/>
          </w:tcPr>
          <w:p w14:paraId="4E14CE5B">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425" w:type="dxa"/>
            <w:noWrap/>
          </w:tcPr>
          <w:p w14:paraId="6291611B">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889" w:type="dxa"/>
            <w:noWrap/>
          </w:tcPr>
          <w:p w14:paraId="28E82A06">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r>
      <w:tr w14:paraId="0489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3417" w:type="dxa"/>
            <w:noWrap/>
          </w:tcPr>
          <w:p w14:paraId="1D03C17D">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772" w:type="dxa"/>
            <w:noWrap/>
          </w:tcPr>
          <w:p w14:paraId="10F827E9">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981" w:type="dxa"/>
            <w:noWrap/>
          </w:tcPr>
          <w:p w14:paraId="5B3B44B9">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425" w:type="dxa"/>
            <w:noWrap/>
          </w:tcPr>
          <w:p w14:paraId="0437CB32">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c>
          <w:tcPr>
            <w:tcW w:w="1889" w:type="dxa"/>
            <w:noWrap/>
          </w:tcPr>
          <w:p w14:paraId="51B5FBB2">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r>
      <w:tr w14:paraId="6707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7595" w:type="dxa"/>
            <w:gridSpan w:val="4"/>
            <w:tcBorders>
              <w:bottom w:val="single" w:color="auto" w:sz="4" w:space="0"/>
            </w:tcBorders>
            <w:noWrap/>
            <w:vAlign w:val="center"/>
          </w:tcPr>
          <w:p w14:paraId="41D9F119">
            <w:pPr>
              <w:keepNext w:val="0"/>
              <w:keepLines w:val="0"/>
              <w:pageBreakBefore w:val="0"/>
              <w:widowControl/>
              <w:wordWrap/>
              <w:bidi w:val="0"/>
              <w:spacing w:line="48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  计</w:t>
            </w:r>
          </w:p>
        </w:tc>
        <w:tc>
          <w:tcPr>
            <w:tcW w:w="1889" w:type="dxa"/>
            <w:tcBorders>
              <w:bottom w:val="single" w:color="auto" w:sz="4" w:space="0"/>
            </w:tcBorders>
            <w:noWrap/>
          </w:tcPr>
          <w:p w14:paraId="0FE3F1BA">
            <w:pPr>
              <w:keepNext w:val="0"/>
              <w:keepLines w:val="0"/>
              <w:pageBreakBefore w:val="0"/>
              <w:widowControl/>
              <w:wordWrap/>
              <w:bidi w:val="0"/>
              <w:spacing w:line="480" w:lineRule="exact"/>
              <w:ind w:left="0" w:right="0"/>
              <w:rPr>
                <w:rFonts w:hint="eastAsia" w:asciiTheme="minorEastAsia" w:hAnsiTheme="minorEastAsia" w:eastAsiaTheme="minorEastAsia" w:cstheme="minorEastAsia"/>
                <w:color w:val="auto"/>
                <w:sz w:val="24"/>
                <w:szCs w:val="24"/>
              </w:rPr>
            </w:pPr>
          </w:p>
        </w:tc>
      </w:tr>
    </w:tbl>
    <w:p w14:paraId="5D5C1523">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合同总金额为人民币（大写）：  元（￥   ）。</w:t>
      </w:r>
    </w:p>
    <w:p w14:paraId="41853EFE">
      <w:pPr>
        <w:keepNext w:val="0"/>
        <w:keepLines w:val="0"/>
        <w:pageBreakBefore w:val="0"/>
        <w:widowControl/>
        <w:wordWrap/>
        <w:topLinePunct w:val="0"/>
        <w:bidi w:val="0"/>
        <w:spacing w:line="480" w:lineRule="exact"/>
        <w:ind w:left="0" w:right="0" w:firstLine="482" w:firstLineChars="200"/>
        <w:rPr>
          <w:rStyle w:val="19"/>
          <w:rFonts w:hint="eastAsia" w:asciiTheme="minorEastAsia" w:hAnsiTheme="minorEastAsia" w:eastAsiaTheme="minorEastAsia" w:cstheme="minorEastAsia"/>
          <w:b w:val="0"/>
          <w:color w:val="auto"/>
          <w:sz w:val="24"/>
          <w:szCs w:val="24"/>
          <w:lang w:eastAsia="zh-CN"/>
        </w:rPr>
      </w:pPr>
      <w:r>
        <w:rPr>
          <w:rFonts w:hint="eastAsia" w:asciiTheme="minorEastAsia" w:hAnsiTheme="minorEastAsia" w:eastAsiaTheme="minorEastAsia" w:cstheme="minorEastAsia"/>
          <w:b/>
          <w:color w:val="auto"/>
          <w:sz w:val="24"/>
          <w:szCs w:val="24"/>
          <w:lang w:eastAsia="zh-CN"/>
        </w:rPr>
        <w:t>三、</w:t>
      </w:r>
      <w:r>
        <w:rPr>
          <w:rStyle w:val="19"/>
          <w:rFonts w:hint="eastAsia" w:asciiTheme="minorEastAsia" w:hAnsiTheme="minorEastAsia" w:eastAsiaTheme="minorEastAsia" w:cstheme="minorEastAsia"/>
          <w:b w:val="0"/>
          <w:color w:val="auto"/>
          <w:sz w:val="24"/>
          <w:szCs w:val="24"/>
          <w:lang w:eastAsia="zh-CN"/>
        </w:rPr>
        <w:t>履约保证金</w:t>
      </w:r>
    </w:p>
    <w:p w14:paraId="2928024C">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乙方在签订合同前以转账、支票、电子保函形式（银行无条件支付保函或保险公司出具的保证保险）等非现金方式向甲方缴纳合同金额5%的履约保证金，即人民币</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    .00）</w:t>
      </w:r>
      <w:r>
        <w:rPr>
          <w:rFonts w:hint="eastAsia" w:asciiTheme="minorEastAsia" w:hAnsiTheme="minorEastAsia" w:eastAsiaTheme="minorEastAsia" w:cstheme="minorEastAsia"/>
          <w:color w:val="auto"/>
          <w:sz w:val="24"/>
          <w:szCs w:val="24"/>
          <w:lang w:eastAsia="zh-CN"/>
        </w:rPr>
        <w:t>,该履约保证金于设备安装调试且验收合格至维保期结束后，乙方无违约的前提下书面申请后，于30日内无息退还。【履约保证金以保函形式提交的，应为银行无条件支付保函或保险公司出具的保证保险，并且保函有效期要涵盖整个合同有效期。】</w:t>
      </w:r>
    </w:p>
    <w:p w14:paraId="700B8794">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四、合同标的交付时间、地点和条件</w:t>
      </w:r>
    </w:p>
    <w:p w14:paraId="56400502">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1.交付时间：合同签订后120个日历日内完成安装（如甲方另有要求，按甲方要求执行）</w:t>
      </w:r>
      <w:r>
        <w:rPr>
          <w:rFonts w:hint="eastAsia" w:asciiTheme="minorEastAsia" w:hAnsiTheme="minorEastAsia" w:eastAsiaTheme="minorEastAsia" w:cstheme="minorEastAsia"/>
          <w:color w:val="auto"/>
          <w:sz w:val="24"/>
          <w:szCs w:val="24"/>
          <w:lang w:val="en-US" w:eastAsia="zh-CN"/>
        </w:rPr>
        <w:t>。</w:t>
      </w:r>
    </w:p>
    <w:p w14:paraId="732C5A21">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2.交付地点：甲方指定地点</w:t>
      </w:r>
    </w:p>
    <w:p w14:paraId="0FDF343A">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3.交付条件：乙方将原厂原包装的设备送达甲方指定地点，并将随同设备的产品检 验报告、合格证、使用说明书等技术文件和资料交付甲方。货物安装调试且验收合格正常运行。</w:t>
      </w:r>
    </w:p>
    <w:p w14:paraId="22E5F7B9">
      <w:pPr>
        <w:spacing w:line="380" w:lineRule="exact"/>
        <w:ind w:firstLine="480" w:firstLineChars="200"/>
        <w:rPr>
          <w:rFonts w:hint="default" w:ascii="宋体" w:hAnsi="宋体" w:eastAsia="宋体" w:cs="宋体"/>
          <w:color w:val="auto"/>
          <w:sz w:val="24"/>
          <w:u w:val="none"/>
          <w:lang w:val="en-US" w:eastAsia="zh-CN"/>
        </w:rPr>
      </w:pPr>
      <w:r>
        <w:rPr>
          <w:rFonts w:hint="eastAsia" w:ascii="宋体" w:hAnsi="宋体" w:cs="宋体"/>
          <w:color w:val="auto"/>
          <w:sz w:val="24"/>
          <w:lang w:val="en-US" w:eastAsia="zh-CN"/>
        </w:rPr>
        <w:t>五</w:t>
      </w:r>
      <w:r>
        <w:rPr>
          <w:rFonts w:hint="eastAsia" w:ascii="宋体" w:hAnsi="宋体" w:cs="宋体"/>
          <w:color w:val="auto"/>
          <w:sz w:val="24"/>
        </w:rPr>
        <w:t>、付款方式</w:t>
      </w:r>
      <w:r>
        <w:rPr>
          <w:rFonts w:hint="eastAsia" w:ascii="宋体" w:hAnsi="宋体" w:eastAsia="宋体" w:cs="宋体"/>
          <w:color w:val="auto"/>
          <w:sz w:val="24"/>
          <w:lang w:eastAsia="zh-CN"/>
        </w:rPr>
        <w:t>：</w:t>
      </w:r>
      <w:r>
        <w:rPr>
          <w:rFonts w:hint="eastAsia" w:ascii="宋体" w:hAnsi="宋体" w:eastAsia="宋体" w:cs="宋体"/>
          <w:color w:val="auto"/>
          <w:sz w:val="24"/>
          <w:u w:val="none"/>
          <w:lang w:val="en-US" w:eastAsia="zh-CN"/>
        </w:rPr>
        <w:t xml:space="preserve">          </w:t>
      </w:r>
    </w:p>
    <w:p w14:paraId="5F3D5A99">
      <w:pPr>
        <w:spacing w:line="380" w:lineRule="exact"/>
        <w:ind w:firstLine="480" w:firstLineChars="200"/>
        <w:rPr>
          <w:rFonts w:ascii="宋体" w:hAnsi="宋体" w:cs="宋体"/>
          <w:color w:val="auto"/>
          <w:sz w:val="24"/>
          <w:lang w:eastAsia="zh-CN"/>
        </w:rPr>
      </w:pPr>
      <w:r>
        <w:rPr>
          <w:rFonts w:hint="eastAsia" w:ascii="宋体" w:hAnsi="宋体" w:cs="宋体"/>
          <w:color w:val="auto"/>
          <w:sz w:val="24"/>
          <w:lang w:eastAsia="zh-CN"/>
        </w:rPr>
        <w:t>六</w:t>
      </w:r>
      <w:r>
        <w:rPr>
          <w:rFonts w:hint="eastAsia" w:ascii="宋体" w:hAnsi="宋体" w:cs="宋体"/>
          <w:color w:val="auto"/>
          <w:sz w:val="24"/>
        </w:rPr>
        <w:t>、合同有效期</w:t>
      </w:r>
      <w:r>
        <w:rPr>
          <w:rFonts w:hint="eastAsia" w:ascii="宋体" w:hAnsi="宋体" w:eastAsia="宋体" w:cs="宋体"/>
          <w:color w:val="auto"/>
          <w:sz w:val="24"/>
          <w:lang w:eastAsia="zh-CN"/>
        </w:rPr>
        <w:t>：</w:t>
      </w:r>
      <w:r>
        <w:rPr>
          <w:rFonts w:hint="eastAsia" w:ascii="宋体" w:hAnsi="宋体" w:cs="宋体"/>
          <w:color w:val="auto"/>
          <w:sz w:val="24"/>
          <w:lang w:eastAsia="zh-CN"/>
        </w:rPr>
        <w:t>本合同有效期从甲、乙双方签字起到维保期结束为止。</w:t>
      </w:r>
    </w:p>
    <w:p w14:paraId="04A0979F">
      <w:pPr>
        <w:pStyle w:val="15"/>
        <w:keepNext w:val="0"/>
        <w:keepLines w:val="0"/>
        <w:pageBreakBefore w:val="0"/>
        <w:widowControl/>
        <w:kinsoku/>
        <w:wordWrap/>
        <w:topLinePunct w:val="0"/>
        <w:autoSpaceDE/>
        <w:autoSpaceDN/>
        <w:bidi w:val="0"/>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auto"/>
          <w:sz w:val="24"/>
          <w:szCs w:val="24"/>
          <w:lang w:eastAsia="zh-CN"/>
        </w:rPr>
        <w:t>七、</w:t>
      </w:r>
      <w:r>
        <w:rPr>
          <w:rFonts w:hint="eastAsia" w:asciiTheme="minorEastAsia" w:hAnsiTheme="minorEastAsia" w:eastAsiaTheme="minorEastAsia" w:cstheme="minorEastAsia"/>
          <w:color w:val="000000" w:themeColor="text1"/>
          <w:sz w:val="24"/>
          <w:szCs w:val="24"/>
          <w:shd w:val="clear" w:color="auto" w:fill="FFFFFF"/>
        </w:rPr>
        <w:t>货物包装及运输方式及供货要求</w:t>
      </w:r>
    </w:p>
    <w:p w14:paraId="51F58D17">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1</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包装：货物交货时应按国家有关标准要求进行包装。</w:t>
      </w:r>
    </w:p>
    <w:p w14:paraId="68AFAD16">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2</w:t>
      </w:r>
      <w:r>
        <w:rPr>
          <w:rFonts w:hint="eastAsia" w:asciiTheme="minorEastAsia" w:hAnsiTheme="minorEastAsia" w:eastAsiaTheme="minorEastAsia" w:cstheme="minorEastAsia"/>
          <w:color w:val="000000" w:themeColor="text1"/>
          <w:sz w:val="24"/>
          <w:szCs w:val="24"/>
          <w:shd w:val="clear" w:color="auto" w:fill="FFFFFF"/>
          <w:lang w:eastAsia="zh-CN"/>
        </w:rPr>
        <w:t>、</w:t>
      </w:r>
      <w:r>
        <w:rPr>
          <w:rFonts w:hint="eastAsia" w:asciiTheme="minorEastAsia" w:hAnsiTheme="minorEastAsia" w:eastAsiaTheme="minorEastAsia" w:cstheme="minorEastAsia"/>
          <w:color w:val="000000" w:themeColor="text1"/>
          <w:sz w:val="24"/>
          <w:szCs w:val="24"/>
          <w:shd w:val="clear" w:color="auto" w:fill="FFFFFF"/>
        </w:rPr>
        <w:t>方式：包装必须与运输方式相适应，包装方式的确定及包装费用均由</w:t>
      </w:r>
      <w:r>
        <w:rPr>
          <w:rFonts w:hint="eastAsia" w:asciiTheme="minorEastAsia" w:hAnsiTheme="minorEastAsia" w:eastAsiaTheme="minorEastAsia" w:cstheme="minorEastAsia"/>
          <w:color w:val="000000" w:themeColor="text1"/>
          <w:sz w:val="24"/>
          <w:szCs w:val="24"/>
          <w:shd w:val="clear" w:color="auto" w:fill="FFFFFF"/>
          <w:lang w:eastAsia="zh-CN"/>
        </w:rPr>
        <w:t>乙方</w:t>
      </w:r>
      <w:r>
        <w:rPr>
          <w:rFonts w:hint="eastAsia" w:asciiTheme="minorEastAsia" w:hAnsiTheme="minorEastAsia" w:eastAsiaTheme="minorEastAsia" w:cstheme="minorEastAsia"/>
          <w:color w:val="000000" w:themeColor="text1"/>
          <w:sz w:val="24"/>
          <w:szCs w:val="24"/>
          <w:shd w:val="clear" w:color="auto" w:fill="FFFFFF"/>
        </w:rPr>
        <w:t>负责；由于不适当的包装而造成货物在运输过程中有任何损坏由</w:t>
      </w:r>
      <w:r>
        <w:rPr>
          <w:rFonts w:hint="eastAsia" w:asciiTheme="minorEastAsia" w:hAnsiTheme="minorEastAsia" w:eastAsiaTheme="minorEastAsia" w:cstheme="minorEastAsia"/>
          <w:color w:val="000000" w:themeColor="text1"/>
          <w:sz w:val="24"/>
          <w:szCs w:val="24"/>
          <w:shd w:val="clear" w:color="auto" w:fill="FFFFFF"/>
          <w:lang w:eastAsia="zh-CN"/>
        </w:rPr>
        <w:t>乙方</w:t>
      </w:r>
      <w:r>
        <w:rPr>
          <w:rFonts w:hint="eastAsia" w:asciiTheme="minorEastAsia" w:hAnsiTheme="minorEastAsia" w:eastAsiaTheme="minorEastAsia" w:cstheme="minorEastAsia"/>
          <w:color w:val="000000" w:themeColor="text1"/>
          <w:sz w:val="24"/>
          <w:szCs w:val="24"/>
          <w:shd w:val="clear" w:color="auto" w:fill="FFFFFF"/>
        </w:rPr>
        <w:t>负责。</w:t>
      </w:r>
    </w:p>
    <w:p w14:paraId="4F393284">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注：包装应足以承受整个过程中的运输、转运、装卸、储存等，充分考虑到运输途中的各种情况(如暴露于恶劣气候等)和项目所在地的气候特点，以及露天存放的需要</w:t>
      </w:r>
    </w:p>
    <w:p w14:paraId="1966AE38">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3、供货</w:t>
      </w:r>
    </w:p>
    <w:p w14:paraId="3F38984B">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color w:val="000000" w:themeColor="text1"/>
          <w:sz w:val="24"/>
          <w:szCs w:val="24"/>
          <w:lang w:eastAsia="zh-CN"/>
        </w:rPr>
        <w:t>乙方</w:t>
      </w:r>
      <w:r>
        <w:rPr>
          <w:rFonts w:hint="eastAsia" w:asciiTheme="minorEastAsia" w:hAnsiTheme="minorEastAsia" w:eastAsiaTheme="minorEastAsia" w:cstheme="minorEastAsia"/>
          <w:color w:val="000000" w:themeColor="text1"/>
          <w:sz w:val="24"/>
          <w:szCs w:val="24"/>
        </w:rPr>
        <w:t>必须能按照合同的规定，准时提供设备、配件、材料及工具，并负责所供设备、配件、材料及工具的包装、运输及安装。</w:t>
      </w:r>
    </w:p>
    <w:p w14:paraId="50505F7A">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color w:val="000000" w:themeColor="text1"/>
          <w:sz w:val="24"/>
          <w:szCs w:val="24"/>
          <w:lang w:eastAsia="zh-CN"/>
        </w:rPr>
        <w:t>乙方</w:t>
      </w:r>
      <w:r>
        <w:rPr>
          <w:rFonts w:hint="eastAsia" w:asciiTheme="minorEastAsia" w:hAnsiTheme="minorEastAsia" w:eastAsiaTheme="minorEastAsia" w:cstheme="minorEastAsia"/>
          <w:color w:val="000000" w:themeColor="text1"/>
          <w:sz w:val="24"/>
          <w:szCs w:val="24"/>
        </w:rPr>
        <w:t>在中标后应立即组织有关技术人员到安装现场勘察，确保所有货物能符合现场安装要求，满足项目使用需要。</w:t>
      </w:r>
    </w:p>
    <w:p w14:paraId="2966BBCF">
      <w:pPr>
        <w:pStyle w:val="27"/>
        <w:spacing w:line="480" w:lineRule="exact"/>
        <w:ind w:firstLine="48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cstheme="minorEastAsia"/>
          <w:color w:val="000000" w:themeColor="text1"/>
          <w:sz w:val="24"/>
          <w:szCs w:val="24"/>
          <w:lang w:eastAsia="zh-CN"/>
        </w:rPr>
        <w:t>八</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安装调试</w:t>
      </w:r>
    </w:p>
    <w:p w14:paraId="22E634F8">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z w:val="24"/>
          <w:szCs w:val="24"/>
        </w:rPr>
        <w:t>由</w:t>
      </w:r>
      <w:r>
        <w:rPr>
          <w:rFonts w:hint="eastAsia" w:asciiTheme="minorEastAsia" w:hAnsiTheme="minorEastAsia" w:eastAsiaTheme="minorEastAsia" w:cstheme="minorEastAsia"/>
          <w:color w:val="000000" w:themeColor="text1"/>
          <w:sz w:val="24"/>
          <w:szCs w:val="24"/>
          <w:lang w:eastAsia="zh-CN"/>
        </w:rPr>
        <w:t>乙方</w:t>
      </w:r>
      <w:r>
        <w:rPr>
          <w:rFonts w:hint="eastAsia" w:asciiTheme="minorEastAsia" w:hAnsiTheme="minorEastAsia" w:eastAsiaTheme="minorEastAsia" w:cstheme="minorEastAsia"/>
          <w:color w:val="000000" w:themeColor="text1"/>
          <w:sz w:val="24"/>
          <w:szCs w:val="24"/>
        </w:rPr>
        <w:t>负责在</w:t>
      </w:r>
      <w:r>
        <w:rPr>
          <w:rFonts w:hint="eastAsia" w:asciiTheme="minorEastAsia" w:hAnsiTheme="minorEastAsia" w:eastAsiaTheme="minorEastAsia" w:cstheme="minorEastAsia"/>
          <w:color w:val="000000" w:themeColor="text1"/>
          <w:sz w:val="24"/>
          <w:szCs w:val="24"/>
          <w:lang w:eastAsia="zh-CN"/>
        </w:rPr>
        <w:t>甲方</w:t>
      </w:r>
      <w:r>
        <w:rPr>
          <w:rFonts w:hint="eastAsia" w:asciiTheme="minorEastAsia" w:hAnsiTheme="minorEastAsia" w:eastAsiaTheme="minorEastAsia" w:cstheme="minorEastAsia"/>
          <w:color w:val="000000" w:themeColor="text1"/>
          <w:sz w:val="24"/>
          <w:szCs w:val="24"/>
        </w:rPr>
        <w:t>指定地点现场验收到货设备并派技术人员到现场进行免费安装、调试及运行，直至验收合格(附验收报告)，由招标单位签字确认；</w:t>
      </w:r>
      <w:r>
        <w:rPr>
          <w:rFonts w:hint="eastAsia" w:asciiTheme="minorEastAsia" w:hAnsiTheme="minorEastAsia" w:eastAsiaTheme="minorEastAsia" w:cstheme="minorEastAsia"/>
          <w:color w:val="000000" w:themeColor="text1"/>
          <w:sz w:val="24"/>
          <w:szCs w:val="24"/>
          <w:lang w:eastAsia="zh-CN"/>
        </w:rPr>
        <w:t>乙方</w:t>
      </w:r>
      <w:r>
        <w:rPr>
          <w:rFonts w:hint="eastAsia" w:asciiTheme="minorEastAsia" w:hAnsiTheme="minorEastAsia" w:eastAsiaTheme="minorEastAsia" w:cstheme="minorEastAsia"/>
          <w:color w:val="000000" w:themeColor="text1"/>
          <w:sz w:val="24"/>
          <w:szCs w:val="24"/>
        </w:rPr>
        <w:t>应在货物运</w:t>
      </w:r>
      <w:r>
        <w:rPr>
          <w:rFonts w:hint="eastAsia" w:asciiTheme="minorEastAsia" w:hAnsiTheme="minorEastAsia" w:eastAsiaTheme="minorEastAsia" w:cstheme="minorEastAsia"/>
          <w:color w:val="000000" w:themeColor="text1"/>
          <w:sz w:val="24"/>
          <w:szCs w:val="24"/>
          <w:highlight w:val="none"/>
        </w:rPr>
        <w:t>抵现场一</w:t>
      </w:r>
      <w:r>
        <w:rPr>
          <w:rFonts w:hint="eastAsia" w:asciiTheme="minorEastAsia" w:hAnsiTheme="minorEastAsia" w:eastAsiaTheme="minorEastAsia" w:cstheme="minorEastAsia"/>
          <w:color w:val="000000" w:themeColor="text1"/>
          <w:spacing w:val="-1"/>
          <w:sz w:val="24"/>
          <w:szCs w:val="24"/>
          <w:highlight w:val="none"/>
        </w:rPr>
        <w:t>周前，向</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提供安装、调试等进度计划。安装须符合我国国家有关技术规范和技术标准。</w:t>
      </w:r>
    </w:p>
    <w:p w14:paraId="0F482C0A">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cstheme="minorEastAsia"/>
          <w:color w:val="000000" w:themeColor="text1"/>
          <w:spacing w:val="-1"/>
          <w:sz w:val="24"/>
          <w:szCs w:val="24"/>
          <w:highlight w:val="none"/>
          <w:lang w:eastAsia="zh-CN"/>
        </w:rPr>
        <w:t>九</w:t>
      </w:r>
      <w:r>
        <w:rPr>
          <w:rFonts w:hint="eastAsia" w:asciiTheme="minorEastAsia" w:hAnsiTheme="minorEastAsia" w:eastAsiaTheme="minorEastAsia" w:cstheme="minorEastAsia"/>
          <w:color w:val="000000" w:themeColor="text1"/>
          <w:spacing w:val="-1"/>
          <w:sz w:val="24"/>
          <w:szCs w:val="24"/>
          <w:highlight w:val="none"/>
          <w:lang w:eastAsia="zh-CN"/>
        </w:rPr>
        <w:t>、</w:t>
      </w:r>
      <w:r>
        <w:rPr>
          <w:rFonts w:hint="eastAsia" w:asciiTheme="minorEastAsia" w:hAnsiTheme="minorEastAsia" w:eastAsiaTheme="minorEastAsia" w:cstheme="minorEastAsia"/>
          <w:color w:val="000000" w:themeColor="text1"/>
          <w:spacing w:val="-1"/>
          <w:sz w:val="24"/>
          <w:szCs w:val="24"/>
          <w:highlight w:val="none"/>
        </w:rPr>
        <w:t>验收</w:t>
      </w:r>
    </w:p>
    <w:p w14:paraId="18D7DFB7">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val="en-US" w:eastAsia="zh-CN"/>
        </w:rPr>
        <w:t>1、</w:t>
      </w:r>
      <w:r>
        <w:rPr>
          <w:rFonts w:hint="eastAsia" w:asciiTheme="minorEastAsia" w:hAnsiTheme="minorEastAsia" w:eastAsiaTheme="minorEastAsia" w:cstheme="minorEastAsia"/>
          <w:color w:val="000000" w:themeColor="text1"/>
          <w:spacing w:val="-1"/>
          <w:sz w:val="24"/>
          <w:szCs w:val="24"/>
          <w:highlight w:val="none"/>
        </w:rPr>
        <w:t>验收标准</w:t>
      </w:r>
    </w:p>
    <w:p w14:paraId="7500AEC2">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14:paraId="13B18246">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val="en-US" w:eastAsia="zh-CN"/>
        </w:rPr>
        <w:t>2、</w:t>
      </w:r>
      <w:r>
        <w:rPr>
          <w:rFonts w:hint="eastAsia" w:asciiTheme="minorEastAsia" w:hAnsiTheme="minorEastAsia" w:eastAsiaTheme="minorEastAsia" w:cstheme="minorEastAsia"/>
          <w:color w:val="000000" w:themeColor="text1"/>
          <w:spacing w:val="-1"/>
          <w:sz w:val="24"/>
          <w:szCs w:val="24"/>
          <w:highlight w:val="none"/>
        </w:rPr>
        <w:t>验收程序和方法</w:t>
      </w:r>
    </w:p>
    <w:p w14:paraId="5A947A6B">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a.出厂检验</w:t>
      </w:r>
    </w:p>
    <w:p w14:paraId="134F250C">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在货物出厂前，应对货物进行全面检验，并随同货物出具检验报告和产品合格证等。</w:t>
      </w:r>
    </w:p>
    <w:p w14:paraId="38BDC6A0">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b.</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自检</w:t>
      </w:r>
    </w:p>
    <w:p w14:paraId="54F9A31A">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货物在安装地安装完毕后，</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对所有货物的外观、各项性能参数进行自检，检验结果必须符合验收标准以及合同中相关条款要求，同时向</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提供自检记录。</w:t>
      </w:r>
    </w:p>
    <w:p w14:paraId="0B90FD16">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c.最终验收</w:t>
      </w:r>
    </w:p>
    <w:p w14:paraId="4EA41A34">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自检后，</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与</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共同按验收标准以及合同相关条款要求，一同对货物进行最终验收。在此期间，若发现货物不符合验收标准要求</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应无条件免费更换， 并无条件重新检测、调试，直至验收合格交付使用。</w:t>
      </w:r>
    </w:p>
    <w:p w14:paraId="1573B26E">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d.抽检：货物送达</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指定地点后，</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有权抽检，将随机抽选部分中标产品委托有检测资质的第三方检测机构进行检验。抽检不合格的，该种设备全部做退货处理，由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自行收回并重新安排送货。重新送货时仍需按前述办法进行抽检，抽检再次不合格的终止履行合同，由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承担违约责任。抽检所产生的检测费用等均由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承担。</w:t>
      </w:r>
    </w:p>
    <w:p w14:paraId="761C3FF6">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val="en-US" w:eastAsia="zh-CN"/>
        </w:rPr>
        <w:t>3、</w:t>
      </w:r>
      <w:r>
        <w:rPr>
          <w:rFonts w:hint="eastAsia" w:asciiTheme="minorEastAsia" w:hAnsiTheme="minorEastAsia" w:eastAsiaTheme="minorEastAsia" w:cstheme="minorEastAsia"/>
          <w:color w:val="000000" w:themeColor="text1"/>
          <w:spacing w:val="-1"/>
          <w:sz w:val="24"/>
          <w:szCs w:val="24"/>
          <w:highlight w:val="none"/>
        </w:rPr>
        <w:t>到货验收说明</w:t>
      </w:r>
    </w:p>
    <w:p w14:paraId="52AEE37F">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a.</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负责将合同设备运送到</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指定的安装、调试地点，由此产生的费用由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承担。</w:t>
      </w:r>
    </w:p>
    <w:p w14:paraId="5ED1D973">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b.</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依</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在投标文件中的承诺对全部设备的型号、规格、数量、外形、外观、包装及资料、文件（包括装箱单、保修单、随箱介质等）等进行现场签收。</w:t>
      </w:r>
    </w:p>
    <w:p w14:paraId="39FCF52F">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c.设备到货后</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及</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共同配合进行开箱检查，出现损坏、数量不全或产品不对等问题时，由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负责解决。</w:t>
      </w:r>
    </w:p>
    <w:p w14:paraId="1576E435">
      <w:pPr>
        <w:pStyle w:val="27"/>
        <w:spacing w:line="480" w:lineRule="exact"/>
        <w:ind w:firstLine="480"/>
        <w:jc w:val="both"/>
        <w:rPr>
          <w:rFonts w:hint="eastAsia" w:asciiTheme="minorEastAsia" w:hAnsiTheme="minorEastAsia" w:eastAsiaTheme="minorEastAsia" w:cstheme="minorEastAsia"/>
          <w:color w:val="000000" w:themeColor="text1"/>
          <w:spacing w:val="-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rPr>
        <w:t>d.在</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指定的地点和环境下，</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负责对合同设备进行调试（所有部件模块的功能能够正常运行和使用），加电实现正常运行，并达到</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在投标文件中承诺的技术指标和性能。</w:t>
      </w:r>
    </w:p>
    <w:p w14:paraId="2B3F3265">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pacing w:val="-1"/>
          <w:sz w:val="24"/>
          <w:szCs w:val="24"/>
          <w:highlight w:val="none"/>
          <w:lang w:val="en-US" w:eastAsia="zh-CN"/>
        </w:rPr>
        <w:t>4、</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在</w:t>
      </w:r>
      <w:r>
        <w:rPr>
          <w:rFonts w:hint="eastAsia" w:asciiTheme="minorEastAsia" w:hAnsiTheme="minorEastAsia" w:eastAsiaTheme="minorEastAsia" w:cstheme="minorEastAsia"/>
          <w:color w:val="000000" w:themeColor="text1"/>
          <w:spacing w:val="-1"/>
          <w:sz w:val="24"/>
          <w:szCs w:val="24"/>
          <w:highlight w:val="none"/>
          <w:lang w:eastAsia="zh-CN"/>
        </w:rPr>
        <w:t>甲方</w:t>
      </w:r>
      <w:r>
        <w:rPr>
          <w:rFonts w:hint="eastAsia" w:asciiTheme="minorEastAsia" w:hAnsiTheme="minorEastAsia" w:eastAsiaTheme="minorEastAsia" w:cstheme="minorEastAsia"/>
          <w:color w:val="000000" w:themeColor="text1"/>
          <w:spacing w:val="-1"/>
          <w:sz w:val="24"/>
          <w:szCs w:val="24"/>
          <w:highlight w:val="none"/>
        </w:rPr>
        <w:t>安装现场进行最终验收所发生的一切费用均由</w:t>
      </w:r>
      <w:r>
        <w:rPr>
          <w:rFonts w:hint="eastAsia" w:asciiTheme="minorEastAsia" w:hAnsiTheme="minorEastAsia" w:eastAsiaTheme="minorEastAsia" w:cstheme="minorEastAsia"/>
          <w:color w:val="000000" w:themeColor="text1"/>
          <w:spacing w:val="-1"/>
          <w:sz w:val="24"/>
          <w:szCs w:val="24"/>
          <w:highlight w:val="none"/>
          <w:lang w:eastAsia="zh-CN"/>
        </w:rPr>
        <w:t>乙方</w:t>
      </w:r>
      <w:r>
        <w:rPr>
          <w:rFonts w:hint="eastAsia" w:asciiTheme="minorEastAsia" w:hAnsiTheme="minorEastAsia" w:eastAsiaTheme="minorEastAsia" w:cstheme="minorEastAsia"/>
          <w:color w:val="000000" w:themeColor="text1"/>
          <w:spacing w:val="-1"/>
          <w:sz w:val="24"/>
          <w:szCs w:val="24"/>
          <w:highlight w:val="none"/>
        </w:rPr>
        <w:t>承担。</w:t>
      </w:r>
    </w:p>
    <w:p w14:paraId="09FCC489">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lang w:eastAsia="zh-CN"/>
        </w:rPr>
        <w:t>十</w:t>
      </w:r>
      <w:r>
        <w:rPr>
          <w:rFonts w:hint="eastAsia" w:asciiTheme="minorEastAsia" w:hAnsiTheme="minorEastAsia" w:eastAsiaTheme="minorEastAsia" w:cstheme="minorEastAsia"/>
          <w:color w:val="000000" w:themeColor="text1"/>
          <w:sz w:val="24"/>
          <w:szCs w:val="24"/>
          <w:highlight w:val="none"/>
        </w:rPr>
        <w:t>、技术培训</w:t>
      </w:r>
    </w:p>
    <w:p w14:paraId="715664B8">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应结合本项目的安装、调试及运行过程，有计划对</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派出的管理、维护人员进行基本知识、使用、维护保养技术的现场培训以保证本项目的良好运行。直至</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的技术人员能熟练独立工作并能简单的进行故障排除。</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委派的专业技术人员所需费用均由</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承担。</w:t>
      </w:r>
    </w:p>
    <w:p w14:paraId="200ACC8F">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lang w:eastAsia="zh-CN"/>
        </w:rPr>
        <w:t>十一</w:t>
      </w:r>
      <w:r>
        <w:rPr>
          <w:rFonts w:hint="eastAsia" w:asciiTheme="minorEastAsia" w:hAnsiTheme="minorEastAsia" w:eastAsiaTheme="minorEastAsia" w:cstheme="minorEastAsia"/>
          <w:color w:val="000000" w:themeColor="text1"/>
          <w:sz w:val="24"/>
          <w:szCs w:val="24"/>
          <w:highlight w:val="none"/>
        </w:rPr>
        <w:t>、技术资料要求</w:t>
      </w:r>
    </w:p>
    <w:p w14:paraId="5DF505C6">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应向</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提供以下中文技术资料一套，其费用包括在报价价格中：</w:t>
      </w:r>
    </w:p>
    <w:p w14:paraId="74CCEFA8">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(1)出厂明细表(装箱单)；</w:t>
      </w:r>
    </w:p>
    <w:p w14:paraId="5044B550">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(2)出厂检验报告和合格证书；</w:t>
      </w:r>
    </w:p>
    <w:p w14:paraId="54BD7829">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(3)使用说明书；</w:t>
      </w:r>
    </w:p>
    <w:p w14:paraId="7A4193A4">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(4)安装手册、操作手册、维修手册；</w:t>
      </w:r>
    </w:p>
    <w:p w14:paraId="4562BF1D">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(5)零部件目录；</w:t>
      </w:r>
    </w:p>
    <w:p w14:paraId="64419317">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(6)提供原产地制造商的产品证明；</w:t>
      </w:r>
    </w:p>
    <w:p w14:paraId="5D160B46">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(7)合同中要求的其他文件资料。</w:t>
      </w:r>
    </w:p>
    <w:p w14:paraId="235C7581">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(8)其它必须的技术资料。</w:t>
      </w:r>
    </w:p>
    <w:p w14:paraId="276EB92C">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十</w:t>
      </w:r>
      <w:r>
        <w:rPr>
          <w:rFonts w:hint="eastAsia" w:asciiTheme="minorEastAsia" w:hAnsiTheme="minorEastAsia" w:cstheme="minorEastAsia"/>
          <w:color w:val="000000" w:themeColor="text1"/>
          <w:sz w:val="24"/>
          <w:szCs w:val="24"/>
          <w:highlight w:val="none"/>
          <w:lang w:eastAsia="zh-CN"/>
        </w:rPr>
        <w:t>二</w:t>
      </w:r>
      <w:r>
        <w:rPr>
          <w:rFonts w:hint="eastAsia" w:asciiTheme="minorEastAsia" w:hAnsiTheme="minorEastAsia" w:eastAsiaTheme="minorEastAsia" w:cstheme="minorEastAsia"/>
          <w:color w:val="000000" w:themeColor="text1"/>
          <w:sz w:val="24"/>
          <w:szCs w:val="24"/>
          <w:highlight w:val="none"/>
        </w:rPr>
        <w:t>、专用工具</w:t>
      </w:r>
    </w:p>
    <w:p w14:paraId="657BE949">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应提供一套维修所需的专用工具及其清单。</w:t>
      </w:r>
    </w:p>
    <w:p w14:paraId="3CBB83A7">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rPr>
        <w:t>十</w:t>
      </w:r>
      <w:r>
        <w:rPr>
          <w:rFonts w:hint="eastAsia" w:asciiTheme="minorEastAsia" w:hAnsiTheme="minorEastAsia" w:cstheme="minorEastAsia"/>
          <w:color w:val="000000" w:themeColor="text1"/>
          <w:sz w:val="24"/>
          <w:szCs w:val="24"/>
          <w:highlight w:val="none"/>
          <w:lang w:eastAsia="zh-CN"/>
        </w:rPr>
        <w:t>三</w:t>
      </w:r>
      <w:r>
        <w:rPr>
          <w:rFonts w:hint="eastAsia" w:asciiTheme="minorEastAsia" w:hAnsiTheme="minorEastAsia" w:eastAsiaTheme="minorEastAsia" w:cstheme="minorEastAsia"/>
          <w:color w:val="000000" w:themeColor="text1"/>
          <w:sz w:val="24"/>
          <w:szCs w:val="24"/>
          <w:highlight w:val="none"/>
        </w:rPr>
        <w:t>、售后服务要求</w:t>
      </w:r>
    </w:p>
    <w:p w14:paraId="14570D5F">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售后维保期：</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须按招标文件的要求提供合格的产品，自验收合格之日起提供至少3年及以上免费上门维保服务，终身维护。</w:t>
      </w:r>
    </w:p>
    <w:p w14:paraId="0A302C79">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2</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售后维保期自验收合格签名之日起计算。售后维保期内，须按合同条款提供免费服务，售后维保期内免费上门，免费维修（包含所有配件的更换），在售后维保期内定期回访、维护，有问题做到及时处理。</w:t>
      </w:r>
    </w:p>
    <w:p w14:paraId="1E6721C4">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在售后维保期内，</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 xml:space="preserve">须负责货物的维保工作，售后维保期内如产品发生故障, </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须免费更换部件，该部件必须是原厂的产品。</w:t>
      </w:r>
    </w:p>
    <w:p w14:paraId="6BAEC335">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4</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售后维保期内，</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在接到</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故障通知后应在4小时内作出响应，在24小时内应委派专业技术人员到达现场(逾期</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有权另请他人维修，费用由</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承担)，免费提供咨询、维修和更换零部件等服务。</w:t>
      </w:r>
    </w:p>
    <w:p w14:paraId="1BE0BDC8">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5</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售后维保期满前1个月内</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应负责对设备进行一次免费全面检查，如发现潜在问题，应负责排除，保证设备正常运行。</w:t>
      </w:r>
    </w:p>
    <w:p w14:paraId="0E47BD85">
      <w:pPr>
        <w:pStyle w:val="27"/>
        <w:spacing w:line="480" w:lineRule="exact"/>
        <w:ind w:firstLine="448"/>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6</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售后维保期结束后，</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仍应对货物提供终身维修服务，并应继续提供优惠优质服务，维修响应时间6小时，48小时内并派人到达现场。如在5个工作日内无法修复的设备，</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则应提供备品供</w:t>
      </w:r>
      <w:r>
        <w:rPr>
          <w:rFonts w:hint="eastAsia" w:asciiTheme="minorEastAsia" w:hAnsiTheme="minorEastAsia" w:eastAsiaTheme="minorEastAsia" w:cstheme="minorEastAsia"/>
          <w:color w:val="000000" w:themeColor="text1"/>
          <w:sz w:val="24"/>
          <w:szCs w:val="24"/>
          <w:highlight w:val="none"/>
          <w:lang w:eastAsia="zh-CN"/>
        </w:rPr>
        <w:t>甲方</w:t>
      </w:r>
      <w:r>
        <w:rPr>
          <w:rFonts w:hint="eastAsia" w:asciiTheme="minorEastAsia" w:hAnsiTheme="minorEastAsia" w:eastAsiaTheme="minorEastAsia" w:cstheme="minorEastAsia"/>
          <w:color w:val="000000" w:themeColor="text1"/>
          <w:sz w:val="24"/>
          <w:szCs w:val="24"/>
          <w:highlight w:val="none"/>
        </w:rPr>
        <w:t>使用。对由于设 计、工艺或材料的缺陷或故障负责；</w:t>
      </w:r>
      <w:r>
        <w:rPr>
          <w:rFonts w:hint="eastAsia" w:asciiTheme="minorEastAsia" w:hAnsiTheme="minorEastAsia" w:eastAsiaTheme="minorEastAsia" w:cstheme="minorEastAsia"/>
          <w:color w:val="000000" w:themeColor="text1"/>
          <w:sz w:val="24"/>
          <w:szCs w:val="24"/>
          <w:highlight w:val="none"/>
          <w:lang w:eastAsia="zh-CN"/>
        </w:rPr>
        <w:t>乙方</w:t>
      </w:r>
      <w:r>
        <w:rPr>
          <w:rFonts w:hint="eastAsia" w:asciiTheme="minorEastAsia" w:hAnsiTheme="minorEastAsia" w:eastAsiaTheme="minorEastAsia" w:cstheme="minorEastAsia"/>
          <w:color w:val="000000" w:themeColor="text1"/>
          <w:sz w:val="24"/>
          <w:szCs w:val="24"/>
          <w:highlight w:val="none"/>
        </w:rPr>
        <w:t>有对货物在必要时进行定期维护和修理，更换配件时只能收取成本费。</w:t>
      </w:r>
    </w:p>
    <w:p w14:paraId="65D9C320">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十</w:t>
      </w:r>
      <w:r>
        <w:rPr>
          <w:rFonts w:hint="eastAsia" w:asciiTheme="minorEastAsia" w:hAnsiTheme="minorEastAsia" w:cstheme="minorEastAsia"/>
          <w:color w:val="000000" w:themeColor="text1"/>
          <w:sz w:val="24"/>
          <w:szCs w:val="24"/>
          <w:highlight w:val="none"/>
          <w:shd w:val="clear" w:color="auto" w:fill="FFFFFF"/>
          <w:lang w:eastAsia="zh-CN"/>
        </w:rPr>
        <w:t>四</w:t>
      </w:r>
      <w:r>
        <w:rPr>
          <w:rFonts w:hint="eastAsia" w:asciiTheme="minorEastAsia" w:hAnsiTheme="minorEastAsia" w:eastAsiaTheme="minorEastAsia" w:cstheme="minorEastAsia"/>
          <w:color w:val="000000" w:themeColor="text1"/>
          <w:sz w:val="24"/>
          <w:szCs w:val="24"/>
          <w:highlight w:val="none"/>
          <w:shd w:val="clear" w:color="auto" w:fill="FFFFFF"/>
        </w:rPr>
        <w:t>、违约责任</w:t>
      </w:r>
    </w:p>
    <w:p w14:paraId="1CE18114">
      <w:pPr>
        <w:kinsoku/>
        <w:autoSpaceDE/>
        <w:autoSpaceDN/>
        <w:adjustRightInd/>
        <w:spacing w:before="94" w:line="480" w:lineRule="exact"/>
        <w:ind w:left="5" w:right="80" w:firstLine="518"/>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1、</w:t>
      </w:r>
      <w:r>
        <w:rPr>
          <w:rFonts w:hint="eastAsia" w:asciiTheme="minorEastAsia" w:hAnsiTheme="minorEastAsia" w:eastAsiaTheme="minorEastAsia" w:cstheme="minorEastAsia"/>
          <w:color w:val="000000" w:themeColor="text1"/>
          <w:spacing w:val="1"/>
          <w:sz w:val="24"/>
          <w:szCs w:val="24"/>
          <w:highlight w:val="none"/>
          <w:lang w:eastAsia="zh-CN"/>
        </w:rPr>
        <w:t>因乙方原因造成招标供货合同无法</w:t>
      </w:r>
      <w:r>
        <w:rPr>
          <w:rFonts w:hint="eastAsia" w:asciiTheme="minorEastAsia" w:hAnsiTheme="minorEastAsia" w:eastAsiaTheme="minorEastAsia" w:cstheme="minorEastAsia"/>
          <w:color w:val="000000" w:themeColor="text1"/>
          <w:sz w:val="24"/>
          <w:szCs w:val="24"/>
          <w:highlight w:val="none"/>
          <w:lang w:eastAsia="zh-CN"/>
        </w:rPr>
        <w:t xml:space="preserve">按时签订，视为乙方违约，甲方有权 </w:t>
      </w:r>
      <w:r>
        <w:rPr>
          <w:rFonts w:hint="eastAsia" w:asciiTheme="minorEastAsia" w:hAnsiTheme="minorEastAsia" w:eastAsiaTheme="minorEastAsia" w:cstheme="minorEastAsia"/>
          <w:color w:val="000000" w:themeColor="text1"/>
          <w:spacing w:val="5"/>
          <w:sz w:val="24"/>
          <w:szCs w:val="24"/>
          <w:highlight w:val="none"/>
          <w:lang w:eastAsia="zh-CN"/>
        </w:rPr>
        <w:t>没收其投标保证金，如投标保证金不能弥补乙方违约对甲方或</w:t>
      </w:r>
      <w:r>
        <w:rPr>
          <w:rFonts w:hint="eastAsia" w:asciiTheme="minorEastAsia" w:hAnsiTheme="minorEastAsia" w:eastAsiaTheme="minorEastAsia" w:cstheme="minorEastAsia"/>
          <w:color w:val="000000" w:themeColor="text1"/>
          <w:spacing w:val="4"/>
          <w:sz w:val="24"/>
          <w:szCs w:val="24"/>
          <w:highlight w:val="none"/>
          <w:lang w:eastAsia="zh-CN"/>
        </w:rPr>
        <w:t>甲方造成的损失</w:t>
      </w:r>
      <w:r>
        <w:rPr>
          <w:rFonts w:hint="eastAsia" w:asciiTheme="minorEastAsia" w:hAnsiTheme="minorEastAsia" w:eastAsiaTheme="minorEastAsia" w:cstheme="minorEastAsia"/>
          <w:color w:val="000000" w:themeColor="text1"/>
          <w:sz w:val="24"/>
          <w:szCs w:val="24"/>
          <w:highlight w:val="none"/>
          <w:lang w:eastAsia="zh-CN"/>
        </w:rPr>
        <w:t xml:space="preserve"> </w:t>
      </w:r>
      <w:r>
        <w:rPr>
          <w:rFonts w:hint="eastAsia" w:asciiTheme="minorEastAsia" w:hAnsiTheme="minorEastAsia" w:eastAsiaTheme="minorEastAsia" w:cstheme="minorEastAsia"/>
          <w:color w:val="000000" w:themeColor="text1"/>
          <w:spacing w:val="-1"/>
          <w:sz w:val="24"/>
          <w:szCs w:val="24"/>
          <w:highlight w:val="none"/>
          <w:lang w:eastAsia="zh-CN"/>
        </w:rPr>
        <w:t>的，乙方还需另行支付相应的赔偿。</w:t>
      </w:r>
    </w:p>
    <w:p w14:paraId="77C95CD6">
      <w:pPr>
        <w:kinsoku/>
        <w:autoSpaceDE/>
        <w:autoSpaceDN/>
        <w:adjustRightInd/>
        <w:spacing w:before="93" w:line="480" w:lineRule="exact"/>
        <w:ind w:left="3" w:right="80" w:firstLine="52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2、在签定采购合同之后，乙方要</w:t>
      </w:r>
      <w:r>
        <w:rPr>
          <w:rFonts w:hint="eastAsia" w:asciiTheme="minorEastAsia" w:hAnsiTheme="minorEastAsia" w:eastAsiaTheme="minorEastAsia" w:cstheme="minorEastAsia"/>
          <w:color w:val="000000" w:themeColor="text1"/>
          <w:sz w:val="24"/>
          <w:szCs w:val="24"/>
          <w:highlight w:val="none"/>
          <w:lang w:eastAsia="zh-CN"/>
        </w:rPr>
        <w:t>求解除合同的，视为乙方违约，对</w:t>
      </w:r>
      <w:r>
        <w:rPr>
          <w:rFonts w:hint="eastAsia" w:asciiTheme="minorEastAsia" w:hAnsiTheme="minorEastAsia" w:eastAsiaTheme="minorEastAsia" w:cstheme="minorEastAsia"/>
          <w:color w:val="000000" w:themeColor="text1"/>
          <w:spacing w:val="-1"/>
          <w:sz w:val="24"/>
          <w:szCs w:val="24"/>
          <w:highlight w:val="none"/>
          <w:lang w:eastAsia="zh-CN"/>
        </w:rPr>
        <w:t>甲方造成的损失的，乙方须支付相应的赔偿。</w:t>
      </w:r>
    </w:p>
    <w:p w14:paraId="0C2F7709">
      <w:pPr>
        <w:kinsoku/>
        <w:autoSpaceDE/>
        <w:autoSpaceDN/>
        <w:adjustRightInd/>
        <w:spacing w:before="95" w:line="480" w:lineRule="exact"/>
        <w:ind w:left="24" w:right="72" w:firstLine="499"/>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3、若乙方出现以下情形中任意一种情</w:t>
      </w:r>
      <w:r>
        <w:rPr>
          <w:rFonts w:hint="eastAsia" w:asciiTheme="minorEastAsia" w:hAnsiTheme="minorEastAsia" w:eastAsiaTheme="minorEastAsia" w:cstheme="minorEastAsia"/>
          <w:color w:val="000000" w:themeColor="text1"/>
          <w:sz w:val="24"/>
          <w:szCs w:val="24"/>
          <w:highlight w:val="none"/>
          <w:lang w:eastAsia="zh-CN"/>
        </w:rPr>
        <w:t xml:space="preserve">况，均视为乙方违约，甲方将取消其 </w:t>
      </w:r>
      <w:r>
        <w:rPr>
          <w:rFonts w:hint="eastAsia" w:asciiTheme="minorEastAsia" w:hAnsiTheme="minorEastAsia" w:eastAsiaTheme="minorEastAsia" w:cstheme="minorEastAsia"/>
          <w:color w:val="000000" w:themeColor="text1"/>
          <w:spacing w:val="-2"/>
          <w:sz w:val="24"/>
          <w:szCs w:val="24"/>
          <w:highlight w:val="none"/>
          <w:lang w:eastAsia="zh-CN"/>
        </w:rPr>
        <w:t>中标资格，如果已经签订合同的则合同自动解除，且乙方还要承担相应的法律责任。</w:t>
      </w:r>
    </w:p>
    <w:p w14:paraId="466B0B80">
      <w:pPr>
        <w:kinsoku/>
        <w:autoSpaceDE/>
        <w:autoSpaceDN/>
        <w:adjustRightInd/>
        <w:spacing w:before="94" w:line="480" w:lineRule="exact"/>
        <w:ind w:left="499"/>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（1)中标后，乙方的提供的货物与投标文件响应的不符</w:t>
      </w:r>
      <w:r>
        <w:rPr>
          <w:rFonts w:hint="eastAsia" w:asciiTheme="minorEastAsia" w:hAnsiTheme="minorEastAsia" w:eastAsiaTheme="minorEastAsia" w:cstheme="minorEastAsia"/>
          <w:color w:val="000000" w:themeColor="text1"/>
          <w:spacing w:val="-2"/>
          <w:sz w:val="24"/>
          <w:szCs w:val="24"/>
          <w:highlight w:val="none"/>
          <w:lang w:eastAsia="zh-CN"/>
        </w:rPr>
        <w:t>的；</w:t>
      </w:r>
    </w:p>
    <w:p w14:paraId="0480C11A">
      <w:pPr>
        <w:kinsoku/>
        <w:autoSpaceDE/>
        <w:autoSpaceDN/>
        <w:adjustRightInd/>
        <w:spacing w:before="98" w:line="480" w:lineRule="exact"/>
        <w:ind w:left="484"/>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（2)乙方自动放弃中标的；</w:t>
      </w:r>
    </w:p>
    <w:p w14:paraId="791B013D">
      <w:pPr>
        <w:kinsoku/>
        <w:autoSpaceDE/>
        <w:autoSpaceDN/>
        <w:adjustRightInd/>
        <w:spacing w:before="93" w:line="480" w:lineRule="exact"/>
        <w:ind w:right="80" w:firstLine="486"/>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w:t>
      </w:r>
      <w:r>
        <w:rPr>
          <w:rFonts w:hint="eastAsia" w:asciiTheme="minorEastAsia" w:hAnsiTheme="minorEastAsia" w:eastAsiaTheme="minorEastAsia" w:cstheme="minorEastAsia"/>
          <w:color w:val="000000" w:themeColor="text1"/>
          <w:spacing w:val="-2"/>
          <w:sz w:val="24"/>
          <w:szCs w:val="24"/>
          <w:highlight w:val="none"/>
          <w:lang w:eastAsia="zh-CN"/>
        </w:rPr>
        <w:t>3)乙方在自中标通知书发出之日起三十日内，(因乙方原因)未与甲方签订采</w:t>
      </w:r>
      <w:r>
        <w:rPr>
          <w:rFonts w:hint="eastAsia" w:asciiTheme="minorEastAsia" w:hAnsiTheme="minorEastAsia" w:eastAsiaTheme="minorEastAsia" w:cstheme="minorEastAsia"/>
          <w:color w:val="000000" w:themeColor="text1"/>
          <w:spacing w:val="12"/>
          <w:sz w:val="24"/>
          <w:szCs w:val="24"/>
          <w:highlight w:val="none"/>
          <w:lang w:eastAsia="zh-CN"/>
        </w:rPr>
        <w:t xml:space="preserve"> </w:t>
      </w:r>
      <w:r>
        <w:rPr>
          <w:rFonts w:hint="eastAsia" w:asciiTheme="minorEastAsia" w:hAnsiTheme="minorEastAsia" w:eastAsiaTheme="minorEastAsia" w:cstheme="minorEastAsia"/>
          <w:color w:val="000000" w:themeColor="text1"/>
          <w:spacing w:val="-2"/>
          <w:sz w:val="24"/>
          <w:szCs w:val="24"/>
          <w:highlight w:val="none"/>
          <w:lang w:eastAsia="zh-CN"/>
        </w:rPr>
        <w:t>购合同的；</w:t>
      </w:r>
    </w:p>
    <w:p w14:paraId="7242A6A6">
      <w:pPr>
        <w:kinsoku/>
        <w:autoSpaceDE/>
        <w:autoSpaceDN/>
        <w:adjustRightInd/>
        <w:spacing w:before="96" w:line="480" w:lineRule="exact"/>
        <w:ind w:left="48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（4)乙方因不可抗力原因未能如时供货或不能履行合同的；</w:t>
      </w:r>
    </w:p>
    <w:p w14:paraId="32A6193F">
      <w:pPr>
        <w:kinsoku/>
        <w:autoSpaceDE/>
        <w:autoSpaceDN/>
        <w:adjustRightInd/>
        <w:spacing w:before="94" w:line="480" w:lineRule="exact"/>
        <w:ind w:left="486"/>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（5)乙方未响应招标文件交货完工期的。</w:t>
      </w:r>
    </w:p>
    <w:p w14:paraId="5FA642CF">
      <w:pPr>
        <w:kinsoku/>
        <w:autoSpaceDE/>
        <w:autoSpaceDN/>
        <w:adjustRightInd/>
        <w:spacing w:before="94" w:line="480" w:lineRule="exact"/>
        <w:ind w:left="4" w:right="80" w:firstLine="519"/>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4、因乙方原因发生重大质量事故，除</w:t>
      </w:r>
      <w:r>
        <w:rPr>
          <w:rFonts w:hint="eastAsia" w:asciiTheme="minorEastAsia" w:hAnsiTheme="minorEastAsia" w:eastAsiaTheme="minorEastAsia" w:cstheme="minorEastAsia"/>
          <w:color w:val="000000" w:themeColor="text1"/>
          <w:sz w:val="24"/>
          <w:szCs w:val="24"/>
          <w:highlight w:val="none"/>
          <w:lang w:eastAsia="zh-CN"/>
        </w:rPr>
        <w:t xml:space="preserve">依约承担赔偿责任外，还将按有关质量管 </w:t>
      </w:r>
      <w:r>
        <w:rPr>
          <w:rFonts w:hint="eastAsia" w:asciiTheme="minorEastAsia" w:hAnsiTheme="minorEastAsia" w:eastAsiaTheme="minorEastAsia" w:cstheme="minorEastAsia"/>
          <w:color w:val="000000" w:themeColor="text1"/>
          <w:spacing w:val="-2"/>
          <w:sz w:val="24"/>
          <w:szCs w:val="24"/>
          <w:highlight w:val="none"/>
          <w:lang w:eastAsia="zh-CN"/>
        </w:rPr>
        <w:t>理办法规定执行。同时，甲方有权保留更换乙方的权利，并报相关行政主管部门处</w:t>
      </w:r>
      <w:r>
        <w:rPr>
          <w:rFonts w:hint="eastAsia" w:asciiTheme="minorEastAsia" w:hAnsiTheme="minorEastAsia" w:eastAsiaTheme="minorEastAsia" w:cstheme="minorEastAsia"/>
          <w:color w:val="000000" w:themeColor="text1"/>
          <w:spacing w:val="-7"/>
          <w:sz w:val="24"/>
          <w:szCs w:val="24"/>
          <w:highlight w:val="none"/>
          <w:lang w:eastAsia="zh-CN"/>
        </w:rPr>
        <w:t>罚。</w:t>
      </w:r>
    </w:p>
    <w:p w14:paraId="21831BCF">
      <w:pPr>
        <w:kinsoku/>
        <w:autoSpaceDE/>
        <w:autoSpaceDN/>
        <w:adjustRightInd/>
        <w:spacing w:before="88" w:line="480" w:lineRule="exact"/>
        <w:ind w:right="80" w:firstLine="523"/>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5、若发生死亡安全事故，除按国家有关</w:t>
      </w:r>
      <w:r>
        <w:rPr>
          <w:rFonts w:hint="eastAsia" w:asciiTheme="minorEastAsia" w:hAnsiTheme="minorEastAsia" w:eastAsiaTheme="minorEastAsia" w:cstheme="minorEastAsia"/>
          <w:color w:val="000000" w:themeColor="text1"/>
          <w:sz w:val="24"/>
          <w:szCs w:val="24"/>
          <w:highlight w:val="none"/>
          <w:lang w:eastAsia="zh-CN"/>
        </w:rPr>
        <w:t xml:space="preserve">安全管理规定及甲方有关安全管理办法 </w:t>
      </w:r>
      <w:r>
        <w:rPr>
          <w:rFonts w:hint="eastAsia" w:asciiTheme="minorEastAsia" w:hAnsiTheme="minorEastAsia" w:eastAsiaTheme="minorEastAsia" w:cstheme="minorEastAsia"/>
          <w:color w:val="000000" w:themeColor="text1"/>
          <w:spacing w:val="-2"/>
          <w:sz w:val="24"/>
          <w:szCs w:val="24"/>
          <w:highlight w:val="none"/>
          <w:lang w:eastAsia="zh-CN"/>
        </w:rPr>
        <w:t>执行外，并报相关行政主管部门处罚；发生重大安全事故或特大安全事故，除按国家有</w:t>
      </w:r>
      <w:r>
        <w:rPr>
          <w:rFonts w:hint="eastAsia" w:asciiTheme="minorEastAsia" w:hAnsiTheme="minorEastAsia" w:eastAsiaTheme="minorEastAsia" w:cstheme="minorEastAsia"/>
          <w:color w:val="000000" w:themeColor="text1"/>
          <w:spacing w:val="18"/>
          <w:sz w:val="24"/>
          <w:szCs w:val="24"/>
          <w:highlight w:val="none"/>
          <w:lang w:eastAsia="zh-CN"/>
        </w:rPr>
        <w:t xml:space="preserve"> </w:t>
      </w:r>
      <w:r>
        <w:rPr>
          <w:rFonts w:hint="eastAsia" w:asciiTheme="minorEastAsia" w:hAnsiTheme="minorEastAsia" w:eastAsiaTheme="minorEastAsia" w:cstheme="minorEastAsia"/>
          <w:color w:val="000000" w:themeColor="text1"/>
          <w:spacing w:val="-2"/>
          <w:sz w:val="24"/>
          <w:szCs w:val="24"/>
          <w:highlight w:val="none"/>
          <w:lang w:eastAsia="zh-CN"/>
        </w:rPr>
        <w:t>关安全管理规定及甲方有关安全管理办法执行外，甲方保留更换乙方，给甲方</w:t>
      </w:r>
      <w:r>
        <w:rPr>
          <w:rFonts w:hint="eastAsia" w:asciiTheme="minorEastAsia" w:hAnsiTheme="minorEastAsia" w:eastAsiaTheme="minorEastAsia" w:cstheme="minorEastAsia"/>
          <w:color w:val="000000" w:themeColor="text1"/>
          <w:spacing w:val="18"/>
          <w:sz w:val="24"/>
          <w:szCs w:val="24"/>
          <w:highlight w:val="none"/>
          <w:lang w:eastAsia="zh-CN"/>
        </w:rPr>
        <w:t xml:space="preserve"> </w:t>
      </w:r>
      <w:r>
        <w:rPr>
          <w:rFonts w:hint="eastAsia" w:asciiTheme="minorEastAsia" w:hAnsiTheme="minorEastAsia" w:eastAsiaTheme="minorEastAsia" w:cstheme="minorEastAsia"/>
          <w:color w:val="000000" w:themeColor="text1"/>
          <w:spacing w:val="-1"/>
          <w:sz w:val="24"/>
          <w:szCs w:val="24"/>
          <w:highlight w:val="none"/>
          <w:lang w:eastAsia="zh-CN"/>
        </w:rPr>
        <w:t>造成的损失，还应承担赔偿责任。</w:t>
      </w:r>
    </w:p>
    <w:p w14:paraId="4912EF63">
      <w:pPr>
        <w:kinsoku/>
        <w:autoSpaceDE/>
        <w:autoSpaceDN/>
        <w:adjustRightInd/>
        <w:spacing w:before="96" w:line="480" w:lineRule="exact"/>
        <w:ind w:left="3" w:right="80" w:firstLine="52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6、在明确违约责任后，乙方应在接到</w:t>
      </w:r>
      <w:r>
        <w:rPr>
          <w:rFonts w:hint="eastAsia" w:asciiTheme="minorEastAsia" w:hAnsiTheme="minorEastAsia" w:eastAsiaTheme="minorEastAsia" w:cstheme="minorEastAsia"/>
          <w:color w:val="000000" w:themeColor="text1"/>
          <w:sz w:val="24"/>
          <w:szCs w:val="24"/>
          <w:highlight w:val="none"/>
          <w:lang w:eastAsia="zh-CN"/>
        </w:rPr>
        <w:t>书面通知书起七天内支付违约金、赔偿金</w:t>
      </w:r>
      <w:r>
        <w:rPr>
          <w:rFonts w:hint="eastAsia" w:asciiTheme="minorEastAsia" w:hAnsiTheme="minorEastAsia" w:eastAsiaTheme="minorEastAsia" w:cstheme="minorEastAsia"/>
          <w:color w:val="000000" w:themeColor="text1"/>
          <w:spacing w:val="-6"/>
          <w:sz w:val="24"/>
          <w:szCs w:val="24"/>
          <w:highlight w:val="none"/>
          <w:lang w:eastAsia="zh-CN"/>
        </w:rPr>
        <w:t>等。</w:t>
      </w:r>
    </w:p>
    <w:p w14:paraId="723E009D">
      <w:pPr>
        <w:kinsoku/>
        <w:autoSpaceDE/>
        <w:autoSpaceDN/>
        <w:adjustRightInd/>
        <w:spacing w:before="94" w:line="480" w:lineRule="exact"/>
        <w:ind w:right="80" w:firstLine="523"/>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7、因乙方原因造成采购合同无法</w:t>
      </w:r>
      <w:r>
        <w:rPr>
          <w:rFonts w:hint="eastAsia" w:asciiTheme="minorEastAsia" w:hAnsiTheme="minorEastAsia" w:eastAsiaTheme="minorEastAsia" w:cstheme="minorEastAsia"/>
          <w:color w:val="000000" w:themeColor="text1"/>
          <w:sz w:val="24"/>
          <w:szCs w:val="24"/>
          <w:highlight w:val="none"/>
          <w:lang w:eastAsia="zh-CN"/>
        </w:rPr>
        <w:t xml:space="preserve">按时签订或未按规定供货、安装、调试、 </w:t>
      </w:r>
      <w:r>
        <w:rPr>
          <w:rFonts w:hint="eastAsia" w:asciiTheme="minorEastAsia" w:hAnsiTheme="minorEastAsia" w:eastAsiaTheme="minorEastAsia" w:cstheme="minorEastAsia"/>
          <w:color w:val="000000" w:themeColor="text1"/>
          <w:spacing w:val="-2"/>
          <w:sz w:val="24"/>
          <w:szCs w:val="24"/>
          <w:highlight w:val="none"/>
          <w:lang w:eastAsia="zh-CN"/>
        </w:rPr>
        <w:t>试运行、验收、交付等规定，视为乙方违约，乙方违约的，除了应承担相应法律责</w:t>
      </w:r>
      <w:r>
        <w:rPr>
          <w:rFonts w:hint="eastAsia" w:asciiTheme="minorEastAsia" w:hAnsiTheme="minorEastAsia" w:eastAsiaTheme="minorEastAsia" w:cstheme="minorEastAsia"/>
          <w:color w:val="000000" w:themeColor="text1"/>
          <w:sz w:val="24"/>
          <w:szCs w:val="24"/>
          <w:highlight w:val="none"/>
          <w:lang w:eastAsia="zh-CN"/>
        </w:rPr>
        <w:t>任外，甲方有权要求乙方偿付合同货款</w:t>
      </w:r>
      <w:r>
        <w:rPr>
          <w:rFonts w:hint="eastAsia" w:asciiTheme="minorEastAsia" w:hAnsiTheme="minorEastAsia" w:eastAsiaTheme="minorEastAsia" w:cstheme="minorEastAsia"/>
          <w:color w:val="000000" w:themeColor="text1"/>
          <w:spacing w:val="-48"/>
          <w:sz w:val="24"/>
          <w:szCs w:val="24"/>
          <w:highlight w:val="none"/>
          <w:lang w:eastAsia="zh-CN"/>
        </w:rPr>
        <w:t xml:space="preserve"> </w:t>
      </w:r>
      <w:r>
        <w:rPr>
          <w:rFonts w:hint="eastAsia" w:asciiTheme="minorEastAsia" w:hAnsiTheme="minorEastAsia" w:eastAsiaTheme="minorEastAsia" w:cstheme="minorEastAsia"/>
          <w:color w:val="000000" w:themeColor="text1"/>
          <w:sz w:val="24"/>
          <w:szCs w:val="24"/>
          <w:highlight w:val="none"/>
          <w:lang w:eastAsia="zh-CN"/>
        </w:rPr>
        <w:t>20%的违约金；造成</w:t>
      </w:r>
      <w:r>
        <w:rPr>
          <w:rFonts w:hint="eastAsia" w:asciiTheme="minorEastAsia" w:hAnsiTheme="minorEastAsia" w:eastAsiaTheme="minorEastAsia" w:cstheme="minorEastAsia"/>
          <w:color w:val="000000" w:themeColor="text1"/>
          <w:spacing w:val="-1"/>
          <w:sz w:val="24"/>
          <w:szCs w:val="24"/>
          <w:highlight w:val="none"/>
          <w:lang w:eastAsia="zh-CN"/>
        </w:rPr>
        <w:t>甲方损失的，乙方</w:t>
      </w:r>
      <w:r>
        <w:rPr>
          <w:rFonts w:hint="eastAsia" w:asciiTheme="minorEastAsia" w:hAnsiTheme="minorEastAsia" w:eastAsiaTheme="minorEastAsia" w:cstheme="minorEastAsia"/>
          <w:color w:val="000000" w:themeColor="text1"/>
          <w:spacing w:val="-2"/>
          <w:sz w:val="24"/>
          <w:szCs w:val="24"/>
          <w:highlight w:val="none"/>
          <w:lang w:eastAsia="zh-CN"/>
        </w:rPr>
        <w:t>还应予以赔偿。</w:t>
      </w:r>
    </w:p>
    <w:p w14:paraId="09098509">
      <w:pPr>
        <w:kinsoku/>
        <w:autoSpaceDE/>
        <w:autoSpaceDN/>
        <w:adjustRightInd/>
        <w:spacing w:before="107" w:line="480" w:lineRule="exact"/>
        <w:ind w:left="24" w:firstLine="499"/>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8"/>
          <w:sz w:val="24"/>
          <w:szCs w:val="24"/>
          <w:highlight w:val="none"/>
          <w:lang w:eastAsia="zh-CN"/>
        </w:rPr>
        <w:t>8、其他未列明的违约情形，每一次扣履约保证金</w:t>
      </w:r>
      <w:r>
        <w:rPr>
          <w:rFonts w:hint="eastAsia" w:asciiTheme="minorEastAsia" w:hAnsiTheme="minorEastAsia" w:eastAsiaTheme="minorEastAsia" w:cstheme="minorEastAsia"/>
          <w:color w:val="000000" w:themeColor="text1"/>
          <w:spacing w:val="-31"/>
          <w:sz w:val="24"/>
          <w:szCs w:val="24"/>
          <w:highlight w:val="none"/>
          <w:lang w:eastAsia="zh-CN"/>
        </w:rPr>
        <w:t xml:space="preserve"> </w:t>
      </w:r>
      <w:r>
        <w:rPr>
          <w:rFonts w:hint="eastAsia" w:asciiTheme="minorEastAsia" w:hAnsiTheme="minorEastAsia" w:eastAsiaTheme="minorEastAsia" w:cstheme="minorEastAsia"/>
          <w:color w:val="000000" w:themeColor="text1"/>
          <w:spacing w:val="-8"/>
          <w:sz w:val="24"/>
          <w:szCs w:val="24"/>
          <w:highlight w:val="none"/>
          <w:lang w:eastAsia="zh-CN"/>
        </w:rPr>
        <w:t>1000</w:t>
      </w:r>
      <w:r>
        <w:rPr>
          <w:rFonts w:hint="eastAsia" w:asciiTheme="minorEastAsia" w:hAnsiTheme="minorEastAsia" w:eastAsiaTheme="minorEastAsia" w:cstheme="minorEastAsia"/>
          <w:color w:val="000000" w:themeColor="text1"/>
          <w:spacing w:val="-49"/>
          <w:sz w:val="24"/>
          <w:szCs w:val="24"/>
          <w:highlight w:val="none"/>
          <w:lang w:eastAsia="zh-CN"/>
        </w:rPr>
        <w:t xml:space="preserve"> </w:t>
      </w:r>
      <w:r>
        <w:rPr>
          <w:rFonts w:hint="eastAsia" w:asciiTheme="minorEastAsia" w:hAnsiTheme="minorEastAsia" w:eastAsiaTheme="minorEastAsia" w:cstheme="minorEastAsia"/>
          <w:color w:val="000000" w:themeColor="text1"/>
          <w:spacing w:val="-8"/>
          <w:sz w:val="24"/>
          <w:szCs w:val="24"/>
          <w:highlight w:val="none"/>
          <w:lang w:eastAsia="zh-CN"/>
        </w:rPr>
        <w:t>元，履约保证金不够支付的，</w:t>
      </w:r>
      <w:r>
        <w:rPr>
          <w:rFonts w:hint="eastAsia" w:asciiTheme="minorEastAsia" w:hAnsiTheme="minorEastAsia" w:eastAsiaTheme="minorEastAsia" w:cstheme="minorEastAsia"/>
          <w:color w:val="000000" w:themeColor="text1"/>
          <w:spacing w:val="-2"/>
          <w:sz w:val="24"/>
          <w:szCs w:val="24"/>
          <w:highlight w:val="none"/>
          <w:lang w:eastAsia="zh-CN"/>
        </w:rPr>
        <w:t>乙方应根据违约责任15.6支付。</w:t>
      </w:r>
    </w:p>
    <w:p w14:paraId="108711F4">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十</w:t>
      </w:r>
      <w:r>
        <w:rPr>
          <w:rFonts w:hint="eastAsia" w:asciiTheme="minorEastAsia" w:hAnsiTheme="minorEastAsia" w:cstheme="minorEastAsia"/>
          <w:color w:val="000000" w:themeColor="text1"/>
          <w:sz w:val="24"/>
          <w:szCs w:val="24"/>
          <w:highlight w:val="none"/>
          <w:shd w:val="clear" w:color="auto" w:fill="FFFFFF"/>
          <w:lang w:eastAsia="zh-CN"/>
        </w:rPr>
        <w:t>五</w:t>
      </w:r>
      <w:r>
        <w:rPr>
          <w:rFonts w:hint="eastAsia" w:asciiTheme="minorEastAsia" w:hAnsiTheme="minorEastAsia" w:eastAsiaTheme="minorEastAsia" w:cstheme="minorEastAsia"/>
          <w:color w:val="000000" w:themeColor="text1"/>
          <w:sz w:val="24"/>
          <w:szCs w:val="24"/>
          <w:highlight w:val="none"/>
          <w:shd w:val="clear" w:color="auto" w:fill="FFFFFF"/>
        </w:rPr>
        <w:t>、不可抗力</w:t>
      </w:r>
    </w:p>
    <w:p w14:paraId="0A8A7261">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1</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w:t>
      </w:r>
      <w:r>
        <w:rPr>
          <w:rFonts w:hint="eastAsia" w:asciiTheme="minorEastAsia" w:hAnsiTheme="minorEastAsia" w:eastAsiaTheme="minorEastAsia" w:cstheme="minorEastAsia"/>
          <w:color w:val="000000" w:themeColor="text1"/>
          <w:sz w:val="24"/>
          <w:szCs w:val="24"/>
          <w:highlight w:val="none"/>
          <w:shd w:val="clear" w:color="auto" w:fill="FFFFFF"/>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11C9F6B">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2</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w:t>
      </w:r>
      <w:r>
        <w:rPr>
          <w:rFonts w:hint="eastAsia" w:asciiTheme="minorEastAsia" w:hAnsiTheme="minorEastAsia" w:eastAsiaTheme="minorEastAsia" w:cstheme="minorEastAsia"/>
          <w:color w:val="000000" w:themeColor="text1"/>
          <w:sz w:val="24"/>
          <w:szCs w:val="24"/>
          <w:highlight w:val="none"/>
          <w:shd w:val="clear" w:color="auto" w:fill="FFFFFF"/>
        </w:rPr>
        <w:t>本招标文件中的不可抗力指不能预见、不能避免并不能克服的客观情况。包括但不限于：自然灾害如地震、台风、洪水、火灾；政府行为、法律规定或其适用的变化或者其他任何无法预见、避免或者控制的事件。</w:t>
      </w:r>
    </w:p>
    <w:p w14:paraId="2DC87817">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十</w:t>
      </w:r>
      <w:r>
        <w:rPr>
          <w:rFonts w:hint="eastAsia" w:asciiTheme="minorEastAsia" w:hAnsiTheme="minorEastAsia" w:cstheme="minorEastAsia"/>
          <w:color w:val="000000" w:themeColor="text1"/>
          <w:sz w:val="24"/>
          <w:szCs w:val="24"/>
          <w:highlight w:val="none"/>
          <w:shd w:val="clear" w:color="auto" w:fill="FFFFFF"/>
          <w:lang w:eastAsia="zh-CN"/>
        </w:rPr>
        <w:t>六</w:t>
      </w:r>
      <w:r>
        <w:rPr>
          <w:rFonts w:hint="eastAsia" w:asciiTheme="minorEastAsia" w:hAnsiTheme="minorEastAsia" w:eastAsiaTheme="minorEastAsia" w:cstheme="minorEastAsia"/>
          <w:color w:val="000000" w:themeColor="text1"/>
          <w:sz w:val="24"/>
          <w:szCs w:val="24"/>
          <w:highlight w:val="none"/>
          <w:shd w:val="clear" w:color="auto" w:fill="FFFFFF"/>
        </w:rPr>
        <w:t>、专利权及知识产权</w:t>
      </w:r>
    </w:p>
    <w:p w14:paraId="5405C761">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1</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提供的货物应符合国家知识产权法律、法规的规定且非假冒伪劣品；</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还应保证</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不受到第三方关于侵犯知识产权及专 利权、商 标权或工业设 计权等知识产权方面的指控，若任何第三方提出此方面指控均与</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无关，</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应与第三方交涉，并承担可能发生的一切法律责任、费用和后果；若</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因此而遭致损失，则投标人应赔偿该损失。</w:t>
      </w:r>
    </w:p>
    <w:p w14:paraId="466DE20A">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2</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w:t>
      </w:r>
      <w:r>
        <w:rPr>
          <w:rFonts w:hint="eastAsia" w:asciiTheme="minorEastAsia" w:hAnsiTheme="minorEastAsia" w:eastAsiaTheme="minorEastAsia" w:cstheme="minorEastAsia"/>
          <w:color w:val="000000" w:themeColor="text1"/>
          <w:sz w:val="24"/>
          <w:szCs w:val="24"/>
          <w:highlight w:val="none"/>
          <w:shd w:val="clear" w:color="auto" w:fill="FFFFFF"/>
        </w:rPr>
        <w:t>若</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提供的货物不符合国家知识产权法律、法规的规定或被有关主管机关认定为假冒伪劣品，则</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招标资格将被取消；</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还将按照有关法律、法规和规章的规定进行处理，具体如下：</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必须保证所提供的产品具有独立的知识产权，保证</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在使用</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所提供的产品时不受任何专 利或版权等方面的侵权困扰，如出现类似纠纷，投标人应对由此产生的后果负全部责任，并赔偿</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由此而造成的全部损失；</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必须对技术、商务、招标要求等如实响应，如出现虚假应标被证实的，</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将要求供货人赔偿合同金额30%的违约金，如产生其它影响和后果的，</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保留进一步要求供货人赔偿的权利。</w:t>
      </w:r>
    </w:p>
    <w:p w14:paraId="37120B53">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十</w:t>
      </w:r>
      <w:r>
        <w:rPr>
          <w:rFonts w:hint="eastAsia" w:asciiTheme="minorEastAsia" w:hAnsiTheme="minorEastAsia" w:cstheme="minorEastAsia"/>
          <w:color w:val="000000" w:themeColor="text1"/>
          <w:sz w:val="24"/>
          <w:szCs w:val="24"/>
          <w:highlight w:val="none"/>
          <w:shd w:val="clear" w:color="auto" w:fill="FFFFFF"/>
          <w:lang w:eastAsia="zh-CN"/>
        </w:rPr>
        <w:t>七</w:t>
      </w:r>
      <w:r>
        <w:rPr>
          <w:rFonts w:hint="eastAsia" w:asciiTheme="minorEastAsia" w:hAnsiTheme="minorEastAsia" w:eastAsiaTheme="minorEastAsia" w:cstheme="minorEastAsia"/>
          <w:color w:val="000000" w:themeColor="text1"/>
          <w:sz w:val="24"/>
          <w:szCs w:val="24"/>
          <w:highlight w:val="none"/>
          <w:shd w:val="clear" w:color="auto" w:fill="FFFFFF"/>
        </w:rPr>
        <w:t>、保密条款</w:t>
      </w:r>
    </w:p>
    <w:p w14:paraId="6ADEC42F">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1</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、乙方</w:t>
      </w:r>
      <w:r>
        <w:rPr>
          <w:rFonts w:hint="eastAsia" w:asciiTheme="minorEastAsia" w:hAnsiTheme="minorEastAsia" w:eastAsiaTheme="minorEastAsia" w:cstheme="minorEastAsia"/>
          <w:color w:val="000000" w:themeColor="text1"/>
          <w:sz w:val="24"/>
          <w:szCs w:val="24"/>
          <w:highlight w:val="none"/>
          <w:shd w:val="clear" w:color="auto" w:fill="FFFFFF"/>
        </w:rPr>
        <w:t>应当对本项目的内容、因履行本项目或在本项目执行期间知悉的或收到的</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的财务、技术、产品信息或其他工作上的文件资料、工作内容等予以保密，不得向本任何第三方披露，严格履行保密义务。</w:t>
      </w:r>
    </w:p>
    <w:p w14:paraId="04F1E3A9">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2</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w:t>
      </w:r>
      <w:r>
        <w:rPr>
          <w:rFonts w:hint="eastAsia" w:asciiTheme="minorEastAsia" w:hAnsiTheme="minorEastAsia" w:eastAsiaTheme="minorEastAsia" w:cstheme="minorEastAsia"/>
          <w:color w:val="000000" w:themeColor="text1"/>
          <w:sz w:val="24"/>
          <w:szCs w:val="24"/>
          <w:highlight w:val="none"/>
          <w:shd w:val="clear" w:color="auto" w:fill="FFFFFF"/>
        </w:rPr>
        <w:t>投标人违反本条约定泄露</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的涉密信息的，应承担相应的法律责任，造成</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损失的，投标人应当依法承担赔偿责任。</w:t>
      </w:r>
    </w:p>
    <w:p w14:paraId="14541F2E">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rPr>
        <w:t>3</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w:t>
      </w:r>
      <w:r>
        <w:rPr>
          <w:rFonts w:hint="eastAsia" w:asciiTheme="minorEastAsia" w:hAnsiTheme="minorEastAsia" w:eastAsiaTheme="minorEastAsia" w:cstheme="minorEastAsia"/>
          <w:color w:val="000000" w:themeColor="text1"/>
          <w:sz w:val="24"/>
          <w:szCs w:val="24"/>
          <w:highlight w:val="none"/>
          <w:shd w:val="clear" w:color="auto" w:fill="FFFFFF"/>
        </w:rPr>
        <w:t>本条款不因合同届满或解除而失效。</w:t>
      </w:r>
    </w:p>
    <w:p w14:paraId="7BF63555">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shd w:val="clear" w:color="auto" w:fill="FFFFFF"/>
          <w:lang w:eastAsia="zh-CN"/>
        </w:rPr>
        <w:t>十</w:t>
      </w:r>
      <w:r>
        <w:rPr>
          <w:rFonts w:hint="eastAsia" w:asciiTheme="minorEastAsia" w:hAnsiTheme="minorEastAsia" w:cstheme="minorEastAsia"/>
          <w:color w:val="000000" w:themeColor="text1"/>
          <w:sz w:val="24"/>
          <w:szCs w:val="24"/>
          <w:highlight w:val="none"/>
          <w:shd w:val="clear" w:color="auto" w:fill="FFFFFF"/>
          <w:lang w:eastAsia="zh-CN"/>
        </w:rPr>
        <w:t>八</w:t>
      </w:r>
      <w:r>
        <w:rPr>
          <w:rFonts w:hint="eastAsia" w:asciiTheme="minorEastAsia" w:hAnsiTheme="minorEastAsia" w:eastAsiaTheme="minorEastAsia" w:cstheme="minorEastAsia"/>
          <w:color w:val="000000" w:themeColor="text1"/>
          <w:sz w:val="24"/>
          <w:szCs w:val="24"/>
          <w:highlight w:val="none"/>
          <w:shd w:val="clear" w:color="auto" w:fill="FFFFFF"/>
        </w:rPr>
        <w:t>、廉政条款</w:t>
      </w:r>
    </w:p>
    <w:p w14:paraId="49A3E28F">
      <w:pPr>
        <w:pStyle w:val="27"/>
        <w:spacing w:line="480" w:lineRule="exact"/>
        <w:ind w:firstLine="480"/>
        <w:jc w:val="both"/>
        <w:rPr>
          <w:rFonts w:hint="eastAsia" w:asciiTheme="minorEastAsia" w:hAnsiTheme="minorEastAsia" w:eastAsiaTheme="minorEastAsia" w:cstheme="minorEastAsia"/>
          <w:color w:val="000000" w:themeColor="text1"/>
          <w:sz w:val="24"/>
          <w:szCs w:val="24"/>
          <w:highlight w:val="none"/>
          <w:shd w:val="clear" w:color="auto" w:fill="FFFFFF"/>
        </w:rPr>
      </w:pPr>
      <w:r>
        <w:rPr>
          <w:rFonts w:hint="eastAsia" w:asciiTheme="minorEastAsia" w:hAnsiTheme="minorEastAsia" w:eastAsiaTheme="minorEastAsia" w:cstheme="minorEastAsia"/>
          <w:color w:val="000000" w:themeColor="text1"/>
          <w:sz w:val="24"/>
          <w:szCs w:val="24"/>
          <w:highlight w:val="none"/>
          <w:shd w:val="clear" w:color="auto" w:fill="FFFFFF"/>
        </w:rPr>
        <w:t>投标人及其工作人员不得有以任何形式行贿</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工作人员的行为，若发现经被核查属实的，</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有权解除合同且不予退还履约保证金，情节严重的，投标人及其工作人员还要承担相应的法律责任；</w:t>
      </w:r>
      <w:r>
        <w:rPr>
          <w:rFonts w:hint="eastAsia" w:asciiTheme="minorEastAsia" w:hAnsiTheme="minorEastAsia" w:eastAsiaTheme="minorEastAsia" w:cstheme="minorEastAsia"/>
          <w:color w:val="000000" w:themeColor="text1"/>
          <w:sz w:val="24"/>
          <w:szCs w:val="24"/>
          <w:highlight w:val="none"/>
          <w:shd w:val="clear" w:color="auto" w:fill="FFFFFF"/>
          <w:lang w:eastAsia="zh-CN"/>
        </w:rPr>
        <w:t>甲方</w:t>
      </w:r>
      <w:r>
        <w:rPr>
          <w:rFonts w:hint="eastAsia" w:asciiTheme="minorEastAsia" w:hAnsiTheme="minorEastAsia" w:eastAsiaTheme="minorEastAsia" w:cstheme="minorEastAsia"/>
          <w:color w:val="000000" w:themeColor="text1"/>
          <w:sz w:val="24"/>
          <w:szCs w:val="24"/>
          <w:highlight w:val="none"/>
          <w:shd w:val="clear" w:color="auto" w:fill="FFFFFF"/>
        </w:rPr>
        <w:t>及其工作人员不得索要或接受投标人的礼金及吃请等，如有违反廉政纪律等行为的，依据有关规定给予党纪、政纪或组织处理；情节严重的，还应承担相应的法律责任。</w:t>
      </w:r>
    </w:p>
    <w:p w14:paraId="1EB2EA7C">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十九、合同纠纷处理方式</w:t>
      </w:r>
    </w:p>
    <w:p w14:paraId="3053FAEA">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1、合同争议处理方式</w:t>
      </w:r>
    </w:p>
    <w:p w14:paraId="4CAD44F6">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甲乙双方必须认真履行合同条款。因本合同或与本合同有关的一切事项发生争议，由双方友好协商解决，协商不成的，任何一方均可向甲方所在地人民法院提起诉讼。</w:t>
      </w:r>
    </w:p>
    <w:p w14:paraId="783F8280">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2、合同补充和修改</w:t>
      </w:r>
    </w:p>
    <w:p w14:paraId="54F5F66E">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本合同生效后，双方对合同内容的变更或补充应采取书面形式，并经双方签字并盖章确认。</w:t>
      </w:r>
    </w:p>
    <w:p w14:paraId="5A20FBBD">
      <w:pPr>
        <w:pStyle w:val="8"/>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二十、其他</w:t>
      </w:r>
    </w:p>
    <w:p w14:paraId="3E9A11EC">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1、本采购项目的招标文件、乙方的投标文件以及相关的承诺等均为本合同不可分割的一部分，与本合同具有同等法律效力。</w:t>
      </w:r>
    </w:p>
    <w:p w14:paraId="51820D56">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2、本合同一式五份，经双方法定代表人或其授权代表签名并盖章后生效。甲方、乙方各执二份，送一份至招标代理备案，具有同等效力。</w:t>
      </w:r>
    </w:p>
    <w:p w14:paraId="255D3140">
      <w:pPr>
        <w:keepNext w:val="0"/>
        <w:keepLines w:val="0"/>
        <w:pageBreakBefore w:val="0"/>
        <w:widowControl/>
        <w:wordWrap/>
        <w:topLinePunct w:val="0"/>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（以下无正文）</w:t>
      </w:r>
    </w:p>
    <w:p w14:paraId="1E1832B2">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p>
    <w:p w14:paraId="609A88AC">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甲    方：                            乙    方：</w:t>
      </w:r>
    </w:p>
    <w:p w14:paraId="1B45051A">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单位地址：                            单位地址：</w:t>
      </w:r>
    </w:p>
    <w:p w14:paraId="0A62C5CF">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                          法定代表人：</w:t>
      </w:r>
    </w:p>
    <w:p w14:paraId="28E2177B">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委托代理人：                          委托代理人：</w:t>
      </w:r>
    </w:p>
    <w:p w14:paraId="2ABC210B">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    话：                            电    话：</w:t>
      </w:r>
    </w:p>
    <w:p w14:paraId="1FAAA38D">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开户银行：                            开户银行：</w:t>
      </w:r>
    </w:p>
    <w:p w14:paraId="50E36697">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账    号：                            账    号：</w:t>
      </w:r>
    </w:p>
    <w:p w14:paraId="47CE9757">
      <w:pPr>
        <w:keepNext w:val="0"/>
        <w:keepLines w:val="0"/>
        <w:pageBreakBefore w:val="0"/>
        <w:widowControl/>
        <w:wordWrap/>
        <w:bidi w:val="0"/>
        <w:spacing w:line="480" w:lineRule="exact"/>
        <w:ind w:left="0" w:righ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    期：                            日    期：</w:t>
      </w:r>
    </w:p>
    <w:p w14:paraId="6BC4B1A6">
      <w:pPr>
        <w:spacing w:before="95" w:line="221" w:lineRule="auto"/>
        <w:ind w:left="509"/>
        <w:rPr>
          <w:rFonts w:hint="eastAsia" w:asciiTheme="minorEastAsia" w:hAnsiTheme="minorEastAsia" w:eastAsiaTheme="minorEastAsia" w:cstheme="minorEastAsia"/>
          <w:color w:val="000000" w:themeColor="text1"/>
          <w:sz w:val="24"/>
          <w:szCs w:val="24"/>
          <w:highlight w:val="none"/>
          <w:lang w:eastAsia="zh-CN"/>
        </w:rPr>
      </w:pPr>
    </w:p>
    <w:p w14:paraId="0A5813B3">
      <w:pPr>
        <w:spacing w:line="220" w:lineRule="auto"/>
        <w:rPr>
          <w:rFonts w:hint="eastAsia" w:asciiTheme="minorEastAsia" w:hAnsiTheme="minorEastAsia" w:eastAsiaTheme="minorEastAsia" w:cstheme="minorEastAsia"/>
          <w:color w:val="000000" w:themeColor="text1"/>
          <w:sz w:val="24"/>
          <w:szCs w:val="24"/>
          <w:highlight w:val="none"/>
          <w:lang w:eastAsia="zh-CN"/>
        </w:rPr>
        <w:sectPr>
          <w:footerReference r:id="rId18" w:type="default"/>
          <w:pgSz w:w="11906" w:h="16839"/>
          <w:pgMar w:top="1431" w:right="1785" w:bottom="1260" w:left="1785" w:header="0" w:footer="1013" w:gutter="0"/>
          <w:pgNumType w:fmt="decimal"/>
          <w:cols w:space="720" w:num="1"/>
        </w:sectPr>
      </w:pPr>
    </w:p>
    <w:p w14:paraId="62F05C76">
      <w:pPr>
        <w:spacing w:before="73" w:line="219" w:lineRule="auto"/>
        <w:ind w:left="3062"/>
        <w:outlineLvl w:val="0"/>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eastAsiaTheme="minorEastAsia" w:cstheme="minorEastAsia"/>
          <w:b/>
          <w:bCs/>
          <w:color w:val="000000" w:themeColor="text1"/>
          <w:spacing w:val="-3"/>
          <w:sz w:val="28"/>
          <w:szCs w:val="28"/>
          <w:highlight w:val="none"/>
          <w:lang w:eastAsia="zh-CN"/>
        </w:rPr>
        <w:t>第七章</w:t>
      </w:r>
      <w:r>
        <w:rPr>
          <w:rFonts w:hint="eastAsia" w:asciiTheme="minorEastAsia" w:hAnsiTheme="minorEastAsia" w:eastAsiaTheme="minorEastAsia" w:cstheme="minorEastAsia"/>
          <w:color w:val="000000" w:themeColor="text1"/>
          <w:spacing w:val="-3"/>
          <w:sz w:val="28"/>
          <w:szCs w:val="28"/>
          <w:highlight w:val="none"/>
          <w:lang w:eastAsia="zh-CN"/>
        </w:rPr>
        <w:t xml:space="preserve">   </w:t>
      </w:r>
      <w:r>
        <w:rPr>
          <w:rFonts w:hint="eastAsia" w:asciiTheme="minorEastAsia" w:hAnsiTheme="minorEastAsia" w:eastAsiaTheme="minorEastAsia" w:cstheme="minorEastAsia"/>
          <w:b/>
          <w:bCs/>
          <w:color w:val="000000" w:themeColor="text1"/>
          <w:spacing w:val="-3"/>
          <w:sz w:val="28"/>
          <w:szCs w:val="28"/>
          <w:highlight w:val="none"/>
          <w:lang w:eastAsia="zh-CN"/>
        </w:rPr>
        <w:t>投标文件格式</w:t>
      </w:r>
      <w:bookmarkEnd w:id="8"/>
    </w:p>
    <w:p w14:paraId="42EDFC37">
      <w:pPr>
        <w:pStyle w:val="8"/>
        <w:spacing w:line="381" w:lineRule="auto"/>
        <w:rPr>
          <w:rFonts w:hint="eastAsia" w:asciiTheme="minorEastAsia" w:hAnsiTheme="minorEastAsia" w:eastAsiaTheme="minorEastAsia" w:cstheme="minorEastAsia"/>
          <w:color w:val="000000" w:themeColor="text1"/>
          <w:highlight w:val="none"/>
          <w:lang w:eastAsia="zh-CN"/>
        </w:rPr>
      </w:pPr>
    </w:p>
    <w:p w14:paraId="4E8CE238">
      <w:pPr>
        <w:spacing w:before="78" w:line="219" w:lineRule="auto"/>
        <w:ind w:left="4058"/>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b/>
          <w:bCs/>
          <w:color w:val="000000" w:themeColor="text1"/>
          <w:spacing w:val="-5"/>
          <w:sz w:val="24"/>
          <w:szCs w:val="24"/>
          <w:highlight w:val="none"/>
          <w:lang w:eastAsia="zh-CN"/>
        </w:rPr>
        <w:t>编制说明</w:t>
      </w:r>
    </w:p>
    <w:p w14:paraId="440EC382">
      <w:pPr>
        <w:spacing w:before="95" w:line="219" w:lineRule="auto"/>
        <w:ind w:left="498"/>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2"/>
          <w:sz w:val="24"/>
          <w:szCs w:val="24"/>
          <w:highlight w:val="none"/>
          <w:lang w:eastAsia="zh-CN"/>
        </w:rPr>
        <w:t>1、除招标文件另有规定外，本章中：</w:t>
      </w:r>
    </w:p>
    <w:p w14:paraId="409D7E9D">
      <w:pPr>
        <w:spacing w:before="95" w:line="220" w:lineRule="auto"/>
        <w:ind w:left="498"/>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4"/>
          <w:sz w:val="24"/>
          <w:szCs w:val="24"/>
          <w:highlight w:val="none"/>
          <w:lang w:eastAsia="zh-CN"/>
        </w:rPr>
        <w:t>1.1</w:t>
      </w:r>
      <w:r>
        <w:rPr>
          <w:rFonts w:hint="eastAsia" w:asciiTheme="minorEastAsia" w:hAnsiTheme="minorEastAsia" w:eastAsiaTheme="minorEastAsia" w:cstheme="minorEastAsia"/>
          <w:color w:val="000000" w:themeColor="text1"/>
          <w:spacing w:val="-49"/>
          <w:sz w:val="24"/>
          <w:szCs w:val="24"/>
          <w:highlight w:val="none"/>
          <w:lang w:eastAsia="zh-CN"/>
        </w:rPr>
        <w:t xml:space="preserve"> </w:t>
      </w:r>
      <w:r>
        <w:rPr>
          <w:rFonts w:hint="eastAsia" w:asciiTheme="minorEastAsia" w:hAnsiTheme="minorEastAsia" w:eastAsiaTheme="minorEastAsia" w:cstheme="minorEastAsia"/>
          <w:color w:val="000000" w:themeColor="text1"/>
          <w:spacing w:val="-4"/>
          <w:sz w:val="24"/>
          <w:szCs w:val="24"/>
          <w:highlight w:val="none"/>
          <w:lang w:eastAsia="zh-CN"/>
        </w:rPr>
        <w:t>涉及投标人的</w:t>
      </w:r>
      <w:r>
        <w:rPr>
          <w:rFonts w:hint="eastAsia" w:asciiTheme="minorEastAsia" w:hAnsiTheme="minorEastAsia" w:eastAsiaTheme="minorEastAsia" w:cstheme="minorEastAsia"/>
          <w:b/>
          <w:bCs/>
          <w:color w:val="000000" w:themeColor="text1"/>
          <w:spacing w:val="-4"/>
          <w:sz w:val="24"/>
          <w:szCs w:val="24"/>
          <w:highlight w:val="none"/>
          <w:lang w:eastAsia="zh-CN"/>
        </w:rPr>
        <w:t>“全称</w:t>
      </w:r>
      <w:r>
        <w:rPr>
          <w:rFonts w:hint="eastAsia" w:asciiTheme="minorEastAsia" w:hAnsiTheme="minorEastAsia" w:eastAsiaTheme="minorEastAsia" w:cstheme="minorEastAsia"/>
          <w:color w:val="000000" w:themeColor="text1"/>
          <w:spacing w:val="-85"/>
          <w:sz w:val="24"/>
          <w:szCs w:val="24"/>
          <w:highlight w:val="none"/>
          <w:lang w:eastAsia="zh-CN"/>
        </w:rPr>
        <w:t xml:space="preserve"> </w:t>
      </w:r>
      <w:r>
        <w:rPr>
          <w:rFonts w:hint="eastAsia" w:asciiTheme="minorEastAsia" w:hAnsiTheme="minorEastAsia" w:eastAsiaTheme="minorEastAsia" w:cstheme="minorEastAsia"/>
          <w:b/>
          <w:bCs/>
          <w:color w:val="000000" w:themeColor="text1"/>
          <w:spacing w:val="-4"/>
          <w:sz w:val="24"/>
          <w:szCs w:val="24"/>
          <w:highlight w:val="none"/>
          <w:lang w:eastAsia="zh-CN"/>
        </w:rPr>
        <w:t>”</w:t>
      </w:r>
      <w:r>
        <w:rPr>
          <w:rFonts w:hint="eastAsia" w:asciiTheme="minorEastAsia" w:hAnsiTheme="minorEastAsia" w:eastAsiaTheme="minorEastAsia" w:cstheme="minorEastAsia"/>
          <w:color w:val="000000" w:themeColor="text1"/>
          <w:spacing w:val="-4"/>
          <w:sz w:val="24"/>
          <w:szCs w:val="24"/>
          <w:highlight w:val="none"/>
          <w:lang w:eastAsia="zh-CN"/>
        </w:rPr>
        <w:t>：指</w:t>
      </w:r>
      <w:r>
        <w:rPr>
          <w:rFonts w:hint="eastAsia" w:asciiTheme="minorEastAsia" w:hAnsiTheme="minorEastAsia" w:eastAsiaTheme="minorEastAsia" w:cstheme="minorEastAsia"/>
          <w:b/>
          <w:bCs/>
          <w:color w:val="000000" w:themeColor="text1"/>
          <w:spacing w:val="-4"/>
          <w:sz w:val="24"/>
          <w:szCs w:val="24"/>
          <w:highlight w:val="none"/>
          <w:lang w:eastAsia="zh-CN"/>
        </w:rPr>
        <w:t>投标人的全</w:t>
      </w:r>
      <w:r>
        <w:rPr>
          <w:rFonts w:hint="eastAsia" w:asciiTheme="minorEastAsia" w:hAnsiTheme="minorEastAsia" w:eastAsiaTheme="minorEastAsia" w:cstheme="minorEastAsia"/>
          <w:b/>
          <w:bCs/>
          <w:color w:val="000000" w:themeColor="text1"/>
          <w:spacing w:val="-5"/>
          <w:sz w:val="24"/>
          <w:szCs w:val="24"/>
          <w:highlight w:val="none"/>
          <w:lang w:eastAsia="zh-CN"/>
        </w:rPr>
        <w:t>称</w:t>
      </w:r>
      <w:r>
        <w:rPr>
          <w:rFonts w:hint="eastAsia" w:asciiTheme="minorEastAsia" w:hAnsiTheme="minorEastAsia" w:eastAsiaTheme="minorEastAsia" w:cstheme="minorEastAsia"/>
          <w:color w:val="000000" w:themeColor="text1"/>
          <w:spacing w:val="-5"/>
          <w:sz w:val="24"/>
          <w:szCs w:val="24"/>
          <w:highlight w:val="none"/>
          <w:lang w:eastAsia="zh-CN"/>
        </w:rPr>
        <w:t>。</w:t>
      </w:r>
    </w:p>
    <w:p w14:paraId="78A63CC9">
      <w:pPr>
        <w:spacing w:before="92" w:line="219" w:lineRule="auto"/>
        <w:ind w:left="498"/>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4"/>
          <w:sz w:val="24"/>
          <w:szCs w:val="24"/>
          <w:highlight w:val="none"/>
          <w:lang w:eastAsia="zh-CN"/>
        </w:rPr>
        <w:t>1.2</w:t>
      </w:r>
      <w:r>
        <w:rPr>
          <w:rFonts w:hint="eastAsia" w:asciiTheme="minorEastAsia" w:hAnsiTheme="minorEastAsia" w:eastAsiaTheme="minorEastAsia" w:cstheme="minorEastAsia"/>
          <w:color w:val="000000" w:themeColor="text1"/>
          <w:spacing w:val="-36"/>
          <w:sz w:val="24"/>
          <w:szCs w:val="24"/>
          <w:highlight w:val="none"/>
          <w:lang w:eastAsia="zh-CN"/>
        </w:rPr>
        <w:t xml:space="preserve"> </w:t>
      </w:r>
      <w:r>
        <w:rPr>
          <w:rFonts w:hint="eastAsia" w:asciiTheme="minorEastAsia" w:hAnsiTheme="minorEastAsia" w:eastAsiaTheme="minorEastAsia" w:cstheme="minorEastAsia"/>
          <w:color w:val="000000" w:themeColor="text1"/>
          <w:spacing w:val="-4"/>
          <w:sz w:val="24"/>
          <w:szCs w:val="24"/>
          <w:highlight w:val="none"/>
          <w:lang w:eastAsia="zh-CN"/>
        </w:rPr>
        <w:t>涉及投标人</w:t>
      </w:r>
      <w:r>
        <w:rPr>
          <w:rFonts w:hint="eastAsia" w:asciiTheme="minorEastAsia" w:hAnsiTheme="minorEastAsia" w:eastAsiaTheme="minorEastAsia" w:cstheme="minorEastAsia"/>
          <w:b/>
          <w:bCs/>
          <w:color w:val="000000" w:themeColor="text1"/>
          <w:spacing w:val="-4"/>
          <w:sz w:val="24"/>
          <w:szCs w:val="24"/>
          <w:highlight w:val="none"/>
          <w:lang w:eastAsia="zh-CN"/>
        </w:rPr>
        <w:t>“加盖单位公章</w:t>
      </w:r>
      <w:r>
        <w:rPr>
          <w:rFonts w:hint="eastAsia" w:asciiTheme="minorEastAsia" w:hAnsiTheme="minorEastAsia" w:eastAsiaTheme="minorEastAsia" w:cstheme="minorEastAsia"/>
          <w:color w:val="000000" w:themeColor="text1"/>
          <w:spacing w:val="-85"/>
          <w:sz w:val="24"/>
          <w:szCs w:val="24"/>
          <w:highlight w:val="none"/>
          <w:lang w:eastAsia="zh-CN"/>
        </w:rPr>
        <w:t xml:space="preserve"> </w:t>
      </w:r>
      <w:r>
        <w:rPr>
          <w:rFonts w:hint="eastAsia" w:asciiTheme="minorEastAsia" w:hAnsiTheme="minorEastAsia" w:eastAsiaTheme="minorEastAsia" w:cstheme="minorEastAsia"/>
          <w:b/>
          <w:bCs/>
          <w:color w:val="000000" w:themeColor="text1"/>
          <w:spacing w:val="-4"/>
          <w:sz w:val="24"/>
          <w:szCs w:val="24"/>
          <w:highlight w:val="none"/>
          <w:lang w:eastAsia="zh-CN"/>
        </w:rPr>
        <w:t>”</w:t>
      </w:r>
      <w:r>
        <w:rPr>
          <w:rFonts w:hint="eastAsia" w:asciiTheme="minorEastAsia" w:hAnsiTheme="minorEastAsia" w:eastAsiaTheme="minorEastAsia" w:cstheme="minorEastAsia"/>
          <w:color w:val="000000" w:themeColor="text1"/>
          <w:spacing w:val="-4"/>
          <w:sz w:val="24"/>
          <w:szCs w:val="24"/>
          <w:highlight w:val="none"/>
          <w:lang w:eastAsia="zh-CN"/>
        </w:rPr>
        <w:t>：指</w:t>
      </w:r>
      <w:r>
        <w:rPr>
          <w:rFonts w:hint="eastAsia" w:asciiTheme="minorEastAsia" w:hAnsiTheme="minorEastAsia" w:eastAsiaTheme="minorEastAsia" w:cstheme="minorEastAsia"/>
          <w:b/>
          <w:bCs/>
          <w:color w:val="000000" w:themeColor="text1"/>
          <w:spacing w:val="-4"/>
          <w:sz w:val="24"/>
          <w:szCs w:val="24"/>
          <w:highlight w:val="none"/>
          <w:lang w:eastAsia="zh-CN"/>
        </w:rPr>
        <w:t>加盖投标人的单位公章</w:t>
      </w:r>
      <w:r>
        <w:rPr>
          <w:rFonts w:hint="eastAsia" w:asciiTheme="minorEastAsia" w:hAnsiTheme="minorEastAsia" w:eastAsiaTheme="minorEastAsia" w:cstheme="minorEastAsia"/>
          <w:color w:val="000000" w:themeColor="text1"/>
          <w:spacing w:val="-4"/>
          <w:sz w:val="24"/>
          <w:szCs w:val="24"/>
          <w:highlight w:val="none"/>
          <w:lang w:eastAsia="zh-CN"/>
        </w:rPr>
        <w:t>。</w:t>
      </w:r>
    </w:p>
    <w:p w14:paraId="1009A2E9">
      <w:pPr>
        <w:spacing w:before="98" w:line="255" w:lineRule="auto"/>
        <w:ind w:left="1" w:right="63" w:firstLine="496"/>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4"/>
          <w:sz w:val="24"/>
          <w:szCs w:val="24"/>
          <w:highlight w:val="none"/>
          <w:lang w:eastAsia="zh-CN"/>
        </w:rPr>
        <w:t>1.3</w:t>
      </w:r>
      <w:r>
        <w:rPr>
          <w:rFonts w:hint="eastAsia" w:asciiTheme="minorEastAsia" w:hAnsiTheme="minorEastAsia" w:eastAsiaTheme="minorEastAsia" w:cstheme="minorEastAsia"/>
          <w:color w:val="000000" w:themeColor="text1"/>
          <w:spacing w:val="-39"/>
          <w:sz w:val="24"/>
          <w:szCs w:val="24"/>
          <w:highlight w:val="none"/>
          <w:lang w:eastAsia="zh-CN"/>
        </w:rPr>
        <w:t xml:space="preserve"> </w:t>
      </w:r>
      <w:r>
        <w:rPr>
          <w:rFonts w:hint="eastAsia" w:asciiTheme="minorEastAsia" w:hAnsiTheme="minorEastAsia" w:eastAsiaTheme="minorEastAsia" w:cstheme="minorEastAsia"/>
          <w:color w:val="000000" w:themeColor="text1"/>
          <w:spacing w:val="-4"/>
          <w:sz w:val="24"/>
          <w:szCs w:val="24"/>
          <w:highlight w:val="none"/>
          <w:lang w:eastAsia="zh-CN"/>
        </w:rPr>
        <w:t>涉及</w:t>
      </w:r>
      <w:r>
        <w:rPr>
          <w:rFonts w:hint="eastAsia" w:asciiTheme="minorEastAsia" w:hAnsiTheme="minorEastAsia" w:eastAsiaTheme="minorEastAsia" w:cstheme="minorEastAsia"/>
          <w:b/>
          <w:bCs/>
          <w:color w:val="000000" w:themeColor="text1"/>
          <w:spacing w:val="-4"/>
          <w:sz w:val="24"/>
          <w:szCs w:val="24"/>
          <w:highlight w:val="none"/>
          <w:lang w:eastAsia="zh-CN"/>
        </w:rPr>
        <w:t>“投标人代表签字</w:t>
      </w:r>
      <w:r>
        <w:rPr>
          <w:rFonts w:hint="eastAsia" w:asciiTheme="minorEastAsia" w:hAnsiTheme="minorEastAsia" w:eastAsiaTheme="minorEastAsia" w:cstheme="minorEastAsia"/>
          <w:color w:val="000000" w:themeColor="text1"/>
          <w:spacing w:val="-85"/>
          <w:sz w:val="24"/>
          <w:szCs w:val="24"/>
          <w:highlight w:val="none"/>
          <w:lang w:eastAsia="zh-CN"/>
        </w:rPr>
        <w:t xml:space="preserve"> </w:t>
      </w:r>
      <w:r>
        <w:rPr>
          <w:rFonts w:hint="eastAsia" w:asciiTheme="minorEastAsia" w:hAnsiTheme="minorEastAsia" w:eastAsiaTheme="minorEastAsia" w:cstheme="minorEastAsia"/>
          <w:b/>
          <w:bCs/>
          <w:color w:val="000000" w:themeColor="text1"/>
          <w:spacing w:val="-4"/>
          <w:sz w:val="24"/>
          <w:szCs w:val="24"/>
          <w:highlight w:val="none"/>
          <w:lang w:eastAsia="zh-CN"/>
        </w:rPr>
        <w:t>”</w:t>
      </w:r>
      <w:r>
        <w:rPr>
          <w:rFonts w:hint="eastAsia" w:asciiTheme="minorEastAsia" w:hAnsiTheme="minorEastAsia" w:eastAsiaTheme="minorEastAsia" w:cstheme="minorEastAsia"/>
          <w:color w:val="000000" w:themeColor="text1"/>
          <w:spacing w:val="-4"/>
          <w:sz w:val="24"/>
          <w:szCs w:val="24"/>
          <w:highlight w:val="none"/>
          <w:lang w:eastAsia="zh-CN"/>
        </w:rPr>
        <w:t>：指由</w:t>
      </w:r>
      <w:r>
        <w:rPr>
          <w:rFonts w:hint="eastAsia" w:asciiTheme="minorEastAsia" w:hAnsiTheme="minorEastAsia" w:eastAsiaTheme="minorEastAsia" w:cstheme="minorEastAsia"/>
          <w:b/>
          <w:bCs/>
          <w:color w:val="000000" w:themeColor="text1"/>
          <w:spacing w:val="-4"/>
          <w:sz w:val="24"/>
          <w:szCs w:val="24"/>
          <w:highlight w:val="none"/>
          <w:lang w:eastAsia="zh-CN"/>
        </w:rPr>
        <w:t>投标人的单位负责人或其授权的委托代理人签</w:t>
      </w:r>
      <w:r>
        <w:rPr>
          <w:rFonts w:hint="eastAsia" w:asciiTheme="minorEastAsia" w:hAnsiTheme="minorEastAsia" w:eastAsiaTheme="minorEastAsia" w:cstheme="minorEastAsia"/>
          <w:color w:val="000000" w:themeColor="text1"/>
          <w:sz w:val="24"/>
          <w:szCs w:val="24"/>
          <w:highlight w:val="none"/>
          <w:lang w:eastAsia="zh-CN"/>
        </w:rPr>
        <w:t xml:space="preserve"> </w:t>
      </w:r>
      <w:r>
        <w:rPr>
          <w:rFonts w:hint="eastAsia" w:asciiTheme="minorEastAsia" w:hAnsiTheme="minorEastAsia" w:eastAsiaTheme="minorEastAsia" w:cstheme="minorEastAsia"/>
          <w:b/>
          <w:bCs/>
          <w:color w:val="000000" w:themeColor="text1"/>
          <w:spacing w:val="-1"/>
          <w:sz w:val="24"/>
          <w:szCs w:val="24"/>
          <w:highlight w:val="none"/>
          <w:lang w:eastAsia="zh-CN"/>
        </w:rPr>
        <w:t>字</w:t>
      </w:r>
      <w:r>
        <w:rPr>
          <w:rFonts w:hint="eastAsia" w:asciiTheme="minorEastAsia" w:hAnsiTheme="minorEastAsia" w:eastAsiaTheme="minorEastAsia" w:cstheme="minorEastAsia"/>
          <w:color w:val="000000" w:themeColor="text1"/>
          <w:spacing w:val="-1"/>
          <w:sz w:val="24"/>
          <w:szCs w:val="24"/>
          <w:highlight w:val="none"/>
          <w:lang w:eastAsia="zh-CN"/>
        </w:rPr>
        <w:t>，由委托代理人签字的，应提供“单位负责人授权书</w:t>
      </w:r>
      <w:r>
        <w:rPr>
          <w:rFonts w:hint="eastAsia" w:asciiTheme="minorEastAsia" w:hAnsiTheme="minorEastAsia" w:eastAsiaTheme="minorEastAsia" w:cstheme="minorEastAsia"/>
          <w:color w:val="000000" w:themeColor="text1"/>
          <w:spacing w:val="-75"/>
          <w:sz w:val="24"/>
          <w:szCs w:val="24"/>
          <w:highlight w:val="none"/>
          <w:lang w:eastAsia="zh-CN"/>
        </w:rPr>
        <w:t xml:space="preserve"> </w:t>
      </w:r>
      <w:r>
        <w:rPr>
          <w:rFonts w:hint="eastAsia" w:asciiTheme="minorEastAsia" w:hAnsiTheme="minorEastAsia" w:eastAsiaTheme="minorEastAsia" w:cstheme="minorEastAsia"/>
          <w:color w:val="000000" w:themeColor="text1"/>
          <w:spacing w:val="-1"/>
          <w:sz w:val="24"/>
          <w:szCs w:val="24"/>
          <w:highlight w:val="none"/>
          <w:lang w:eastAsia="zh-CN"/>
        </w:rPr>
        <w:t>”。</w:t>
      </w:r>
    </w:p>
    <w:p w14:paraId="01A0BC61">
      <w:pPr>
        <w:spacing w:before="94" w:line="219" w:lineRule="auto"/>
        <w:ind w:left="483"/>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2、除招标文件另有规定外，本章中</w:t>
      </w:r>
      <w:r>
        <w:rPr>
          <w:rFonts w:hint="eastAsia" w:asciiTheme="minorEastAsia" w:hAnsiTheme="minorEastAsia" w:eastAsiaTheme="minorEastAsia" w:cstheme="minorEastAsia"/>
          <w:b/>
          <w:bCs/>
          <w:color w:val="000000" w:themeColor="text1"/>
          <w:spacing w:val="-1"/>
          <w:sz w:val="24"/>
          <w:szCs w:val="24"/>
          <w:highlight w:val="none"/>
          <w:lang w:eastAsia="zh-CN"/>
        </w:rPr>
        <w:t>“投标人的资</w:t>
      </w:r>
      <w:r>
        <w:rPr>
          <w:rFonts w:hint="eastAsia" w:asciiTheme="minorEastAsia" w:hAnsiTheme="minorEastAsia" w:eastAsiaTheme="minorEastAsia" w:cstheme="minorEastAsia"/>
          <w:b/>
          <w:bCs/>
          <w:color w:val="000000" w:themeColor="text1"/>
          <w:spacing w:val="-2"/>
          <w:sz w:val="24"/>
          <w:szCs w:val="24"/>
          <w:highlight w:val="none"/>
          <w:lang w:eastAsia="zh-CN"/>
        </w:rPr>
        <w:t>格及资信证明文件</w:t>
      </w:r>
      <w:r>
        <w:rPr>
          <w:rFonts w:hint="eastAsia" w:asciiTheme="minorEastAsia" w:hAnsiTheme="minorEastAsia" w:eastAsiaTheme="minorEastAsia" w:cstheme="minorEastAsia"/>
          <w:color w:val="000000" w:themeColor="text1"/>
          <w:spacing w:val="-85"/>
          <w:sz w:val="24"/>
          <w:szCs w:val="24"/>
          <w:highlight w:val="none"/>
          <w:lang w:eastAsia="zh-CN"/>
        </w:rPr>
        <w:t xml:space="preserve"> </w:t>
      </w:r>
      <w:r>
        <w:rPr>
          <w:rFonts w:hint="eastAsia" w:asciiTheme="minorEastAsia" w:hAnsiTheme="minorEastAsia" w:eastAsiaTheme="minorEastAsia" w:cstheme="minorEastAsia"/>
          <w:b/>
          <w:bCs/>
          <w:color w:val="000000" w:themeColor="text1"/>
          <w:spacing w:val="-2"/>
          <w:sz w:val="24"/>
          <w:szCs w:val="24"/>
          <w:highlight w:val="none"/>
          <w:lang w:eastAsia="zh-CN"/>
        </w:rPr>
        <w:t>”</w:t>
      </w:r>
      <w:r>
        <w:rPr>
          <w:rFonts w:hint="eastAsia" w:asciiTheme="minorEastAsia" w:hAnsiTheme="minorEastAsia" w:eastAsiaTheme="minorEastAsia" w:cstheme="minorEastAsia"/>
          <w:color w:val="000000" w:themeColor="text1"/>
          <w:spacing w:val="-2"/>
          <w:sz w:val="24"/>
          <w:szCs w:val="24"/>
          <w:highlight w:val="none"/>
          <w:lang w:eastAsia="zh-CN"/>
        </w:rPr>
        <w:t>：</w:t>
      </w:r>
    </w:p>
    <w:p w14:paraId="0B734B00">
      <w:pPr>
        <w:spacing w:before="98" w:line="255" w:lineRule="auto"/>
        <w:ind w:left="19" w:firstLine="464"/>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5"/>
          <w:sz w:val="24"/>
          <w:szCs w:val="24"/>
          <w:highlight w:val="none"/>
          <w:lang w:eastAsia="zh-CN"/>
        </w:rPr>
        <w:t>2.1</w:t>
      </w:r>
      <w:r>
        <w:rPr>
          <w:rFonts w:hint="eastAsia" w:asciiTheme="minorEastAsia" w:hAnsiTheme="minorEastAsia" w:eastAsiaTheme="minorEastAsia" w:cstheme="minorEastAsia"/>
          <w:color w:val="000000" w:themeColor="text1"/>
          <w:spacing w:val="-48"/>
          <w:sz w:val="24"/>
          <w:szCs w:val="24"/>
          <w:highlight w:val="none"/>
          <w:lang w:eastAsia="zh-CN"/>
        </w:rPr>
        <w:t xml:space="preserve"> </w:t>
      </w:r>
      <w:r>
        <w:rPr>
          <w:rFonts w:hint="eastAsia" w:asciiTheme="minorEastAsia" w:hAnsiTheme="minorEastAsia" w:eastAsiaTheme="minorEastAsia" w:cstheme="minorEastAsia"/>
          <w:color w:val="000000" w:themeColor="text1"/>
          <w:spacing w:val="-5"/>
          <w:sz w:val="24"/>
          <w:szCs w:val="24"/>
          <w:highlight w:val="none"/>
          <w:lang w:eastAsia="zh-CN"/>
        </w:rPr>
        <w:t>投标人应按照招标文件第二章、第七章规定进行编制，如有必要，可增加附</w:t>
      </w:r>
      <w:r>
        <w:rPr>
          <w:rFonts w:hint="eastAsia" w:asciiTheme="minorEastAsia" w:hAnsiTheme="minorEastAsia" w:eastAsiaTheme="minorEastAsia" w:cstheme="minorEastAsia"/>
          <w:color w:val="000000" w:themeColor="text1"/>
          <w:spacing w:val="-6"/>
          <w:sz w:val="24"/>
          <w:szCs w:val="24"/>
          <w:highlight w:val="none"/>
          <w:lang w:eastAsia="zh-CN"/>
        </w:rPr>
        <w:t>页，</w:t>
      </w:r>
      <w:r>
        <w:rPr>
          <w:rFonts w:hint="eastAsia" w:asciiTheme="minorEastAsia" w:hAnsiTheme="minorEastAsia" w:eastAsiaTheme="minorEastAsia" w:cstheme="minorEastAsia"/>
          <w:color w:val="000000" w:themeColor="text1"/>
          <w:sz w:val="24"/>
          <w:szCs w:val="24"/>
          <w:highlight w:val="none"/>
          <w:lang w:eastAsia="zh-CN"/>
        </w:rPr>
        <w:t xml:space="preserve"> </w:t>
      </w:r>
      <w:r>
        <w:rPr>
          <w:rFonts w:hint="eastAsia" w:asciiTheme="minorEastAsia" w:hAnsiTheme="minorEastAsia" w:eastAsiaTheme="minorEastAsia" w:cstheme="minorEastAsia"/>
          <w:color w:val="000000" w:themeColor="text1"/>
          <w:spacing w:val="-2"/>
          <w:sz w:val="24"/>
          <w:szCs w:val="24"/>
          <w:highlight w:val="none"/>
          <w:lang w:eastAsia="zh-CN"/>
        </w:rPr>
        <w:t>附页作为资格及资信文件的组成部分。</w:t>
      </w:r>
    </w:p>
    <w:p w14:paraId="5A46F79C">
      <w:pPr>
        <w:spacing w:before="95" w:line="219" w:lineRule="auto"/>
        <w:ind w:left="485"/>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3、投标人对投标文件的应编制页码。</w:t>
      </w:r>
    </w:p>
    <w:p w14:paraId="542DC892">
      <w:pPr>
        <w:spacing w:before="97" w:line="274" w:lineRule="auto"/>
        <w:ind w:right="53" w:firstLine="479"/>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pacing w:val="-1"/>
          <w:sz w:val="24"/>
          <w:szCs w:val="24"/>
          <w:highlight w:val="none"/>
          <w:lang w:eastAsia="zh-CN"/>
        </w:rPr>
        <w:t xml:space="preserve">4、除招标文件另有规定外，招标文件要求原件的，投标人在纸质投标文件正本中 </w:t>
      </w:r>
      <w:r>
        <w:rPr>
          <w:rFonts w:hint="eastAsia" w:asciiTheme="minorEastAsia" w:hAnsiTheme="minorEastAsia" w:eastAsiaTheme="minorEastAsia" w:cstheme="minorEastAsia"/>
          <w:color w:val="000000" w:themeColor="text1"/>
          <w:spacing w:val="-2"/>
          <w:sz w:val="24"/>
          <w:szCs w:val="24"/>
          <w:highlight w:val="none"/>
          <w:lang w:eastAsia="zh-CN"/>
        </w:rPr>
        <w:t>应提供原件；招标文件要求复印件的，投标人在纸质投标文件中提供原件、复印件、扫</w:t>
      </w:r>
      <w:r>
        <w:rPr>
          <w:rFonts w:hint="eastAsia" w:asciiTheme="minorEastAsia" w:hAnsiTheme="minorEastAsia" w:eastAsiaTheme="minorEastAsia" w:cstheme="minorEastAsia"/>
          <w:color w:val="000000" w:themeColor="text1"/>
          <w:spacing w:val="17"/>
          <w:sz w:val="24"/>
          <w:szCs w:val="24"/>
          <w:highlight w:val="none"/>
          <w:lang w:eastAsia="zh-CN"/>
        </w:rPr>
        <w:t xml:space="preserve"> </w:t>
      </w:r>
      <w:r>
        <w:rPr>
          <w:rFonts w:hint="eastAsia" w:asciiTheme="minorEastAsia" w:hAnsiTheme="minorEastAsia" w:eastAsiaTheme="minorEastAsia" w:cstheme="minorEastAsia"/>
          <w:color w:val="000000" w:themeColor="text1"/>
          <w:spacing w:val="-1"/>
          <w:sz w:val="24"/>
          <w:szCs w:val="24"/>
          <w:highlight w:val="none"/>
          <w:lang w:eastAsia="zh-CN"/>
        </w:rPr>
        <w:t>描件皆可；招标文件对原件、复印件未作要求的，投标人</w:t>
      </w:r>
      <w:r>
        <w:rPr>
          <w:rFonts w:hint="eastAsia" w:asciiTheme="minorEastAsia" w:hAnsiTheme="minorEastAsia" w:eastAsiaTheme="minorEastAsia" w:cstheme="minorEastAsia"/>
          <w:color w:val="000000" w:themeColor="text1"/>
          <w:spacing w:val="-2"/>
          <w:sz w:val="24"/>
          <w:szCs w:val="24"/>
          <w:highlight w:val="none"/>
          <w:lang w:eastAsia="zh-CN"/>
        </w:rPr>
        <w:t>在纸质投标文件中提供原件、</w:t>
      </w:r>
      <w:r>
        <w:rPr>
          <w:rFonts w:hint="eastAsia" w:asciiTheme="minorEastAsia" w:hAnsiTheme="minorEastAsia" w:eastAsiaTheme="minorEastAsia" w:cstheme="minorEastAsia"/>
          <w:color w:val="000000" w:themeColor="text1"/>
          <w:sz w:val="24"/>
          <w:szCs w:val="24"/>
          <w:highlight w:val="none"/>
          <w:lang w:eastAsia="zh-CN"/>
        </w:rPr>
        <w:t xml:space="preserve"> </w:t>
      </w:r>
      <w:r>
        <w:rPr>
          <w:rFonts w:hint="eastAsia" w:asciiTheme="minorEastAsia" w:hAnsiTheme="minorEastAsia" w:eastAsiaTheme="minorEastAsia" w:cstheme="minorEastAsia"/>
          <w:color w:val="000000" w:themeColor="text1"/>
          <w:spacing w:val="-1"/>
          <w:sz w:val="24"/>
          <w:szCs w:val="24"/>
          <w:highlight w:val="none"/>
          <w:lang w:eastAsia="zh-CN"/>
        </w:rPr>
        <w:t>复印件、扫描件皆可。</w:t>
      </w:r>
    </w:p>
    <w:p w14:paraId="29BA5E7F">
      <w:pPr>
        <w:spacing w:line="268" w:lineRule="auto"/>
        <w:rPr>
          <w:rFonts w:hint="eastAsia" w:asciiTheme="minorEastAsia" w:hAnsiTheme="minorEastAsia" w:eastAsiaTheme="minorEastAsia" w:cstheme="minorEastAsia"/>
          <w:color w:val="000000" w:themeColor="text1"/>
          <w:sz w:val="24"/>
          <w:szCs w:val="24"/>
          <w:highlight w:val="none"/>
          <w:lang w:eastAsia="zh-CN"/>
        </w:rPr>
        <w:sectPr>
          <w:footerReference r:id="rId19" w:type="default"/>
          <w:pgSz w:w="11906" w:h="16839"/>
          <w:pgMar w:top="1431" w:right="1356" w:bottom="1260" w:left="1424" w:header="0" w:footer="1013" w:gutter="0"/>
          <w:pgNumType w:fmt="decimal"/>
          <w:cols w:space="720" w:num="1"/>
        </w:sectPr>
      </w:pPr>
    </w:p>
    <w:p w14:paraId="4F489B4D">
      <w:pPr>
        <w:pStyle w:val="8"/>
        <w:spacing w:line="316" w:lineRule="auto"/>
        <w:rPr>
          <w:rFonts w:hint="eastAsia" w:asciiTheme="minorEastAsia" w:hAnsiTheme="minorEastAsia" w:eastAsiaTheme="minorEastAsia" w:cstheme="minorEastAsia"/>
          <w:color w:val="000000" w:themeColor="text1"/>
          <w:lang w:eastAsia="zh-CN"/>
        </w:rPr>
      </w:pPr>
    </w:p>
    <w:p w14:paraId="37930D66">
      <w:pPr>
        <w:spacing w:before="101" w:line="225" w:lineRule="auto"/>
        <w:ind w:left="3534"/>
        <w:rPr>
          <w:rFonts w:hint="eastAsia" w:asciiTheme="minorEastAsia" w:hAnsiTheme="minorEastAsia" w:eastAsiaTheme="minorEastAsia" w:cstheme="minorEastAsia"/>
          <w:color w:val="000000" w:themeColor="text1"/>
          <w:sz w:val="31"/>
          <w:szCs w:val="31"/>
          <w:lang w:eastAsia="zh-CN"/>
        </w:rPr>
      </w:pPr>
      <w:r>
        <w:rPr>
          <w:rFonts w:hint="eastAsia" w:asciiTheme="minorEastAsia" w:hAnsiTheme="minorEastAsia" w:eastAsiaTheme="minorEastAsia" w:cstheme="minorEastAsia"/>
          <w:b/>
          <w:bCs/>
          <w:color w:val="000000" w:themeColor="text1"/>
          <w:spacing w:val="4"/>
          <w:sz w:val="31"/>
          <w:szCs w:val="31"/>
          <w:lang w:eastAsia="zh-CN"/>
        </w:rPr>
        <w:t>封面格式</w:t>
      </w:r>
    </w:p>
    <w:p w14:paraId="0A79C39F">
      <w:pPr>
        <w:pStyle w:val="8"/>
        <w:spacing w:line="281" w:lineRule="auto"/>
        <w:rPr>
          <w:rFonts w:hint="eastAsia" w:asciiTheme="minorEastAsia" w:hAnsiTheme="minorEastAsia" w:eastAsiaTheme="minorEastAsia" w:cstheme="minorEastAsia"/>
          <w:color w:val="000000" w:themeColor="text1"/>
          <w:lang w:eastAsia="zh-CN"/>
        </w:rPr>
      </w:pPr>
    </w:p>
    <w:p w14:paraId="444069FB">
      <w:pPr>
        <w:pStyle w:val="8"/>
        <w:spacing w:line="281" w:lineRule="auto"/>
        <w:rPr>
          <w:rFonts w:hint="eastAsia" w:asciiTheme="minorEastAsia" w:hAnsiTheme="minorEastAsia" w:eastAsiaTheme="minorEastAsia" w:cstheme="minorEastAsia"/>
          <w:color w:val="000000" w:themeColor="text1"/>
          <w:lang w:eastAsia="zh-CN"/>
        </w:rPr>
      </w:pPr>
    </w:p>
    <w:p w14:paraId="10557005">
      <w:pPr>
        <w:pStyle w:val="8"/>
        <w:spacing w:line="281" w:lineRule="auto"/>
        <w:rPr>
          <w:rFonts w:hint="eastAsia" w:asciiTheme="minorEastAsia" w:hAnsiTheme="minorEastAsia" w:eastAsiaTheme="minorEastAsia" w:cstheme="minorEastAsia"/>
          <w:color w:val="000000" w:themeColor="text1"/>
          <w:lang w:eastAsia="zh-CN"/>
        </w:rPr>
      </w:pPr>
    </w:p>
    <w:p w14:paraId="2B222F32">
      <w:pPr>
        <w:pStyle w:val="8"/>
        <w:spacing w:line="282" w:lineRule="auto"/>
        <w:rPr>
          <w:rFonts w:hint="eastAsia" w:asciiTheme="minorEastAsia" w:hAnsiTheme="minorEastAsia" w:eastAsiaTheme="minorEastAsia" w:cstheme="minorEastAsia"/>
          <w:color w:val="000000" w:themeColor="text1"/>
          <w:lang w:eastAsia="zh-CN"/>
        </w:rPr>
      </w:pPr>
    </w:p>
    <w:p w14:paraId="661AFDBF">
      <w:pPr>
        <w:spacing w:before="78" w:line="219" w:lineRule="auto"/>
        <w:ind w:left="36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投标文件</w:t>
      </w:r>
    </w:p>
    <w:p w14:paraId="2F630634">
      <w:pPr>
        <w:spacing w:before="96" w:line="758" w:lineRule="exact"/>
        <w:ind w:left="286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position w:val="40"/>
          <w:sz w:val="24"/>
          <w:szCs w:val="24"/>
          <w:lang w:eastAsia="zh-CN"/>
        </w:rPr>
        <w:t>（资格及资信证明部分）</w:t>
      </w:r>
    </w:p>
    <w:p w14:paraId="1110A3D7">
      <w:pPr>
        <w:tabs>
          <w:tab w:val="left" w:pos="3218"/>
        </w:tabs>
        <w:spacing w:line="218" w:lineRule="auto"/>
        <w:ind w:left="308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17"/>
          <w:sz w:val="24"/>
          <w:szCs w:val="24"/>
          <w:u w:val="single"/>
          <w:lang w:eastAsia="zh-CN"/>
        </w:rPr>
        <w:t>（填写正本或副本）</w:t>
      </w:r>
    </w:p>
    <w:p w14:paraId="5A2F451A">
      <w:pPr>
        <w:pStyle w:val="8"/>
        <w:spacing w:line="396" w:lineRule="auto"/>
        <w:rPr>
          <w:rFonts w:hint="eastAsia" w:asciiTheme="minorEastAsia" w:hAnsiTheme="minorEastAsia" w:eastAsiaTheme="minorEastAsia" w:cstheme="minorEastAsia"/>
          <w:color w:val="000000" w:themeColor="text1"/>
          <w:lang w:eastAsia="zh-CN"/>
        </w:rPr>
      </w:pPr>
    </w:p>
    <w:p w14:paraId="7E74D61B">
      <w:pPr>
        <w:spacing w:before="78" w:line="220" w:lineRule="auto"/>
        <w:ind w:left="156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项目名称</w:t>
      </w:r>
      <w:r>
        <w:rPr>
          <w:rFonts w:hint="eastAsia" w:asciiTheme="minorEastAsia" w:hAnsiTheme="minorEastAsia" w:eastAsiaTheme="minorEastAsia" w:cstheme="minorEastAsia"/>
          <w:b/>
          <w:bCs/>
          <w:color w:val="000000" w:themeColor="text1"/>
          <w:spacing w:val="-18"/>
          <w:sz w:val="24"/>
          <w:szCs w:val="24"/>
          <w:lang w:eastAsia="zh-CN"/>
        </w:rPr>
        <w:t>：</w:t>
      </w:r>
      <w:r>
        <w:rPr>
          <w:rFonts w:hint="eastAsia" w:asciiTheme="minorEastAsia" w:hAnsiTheme="minorEastAsia" w:eastAsiaTheme="minorEastAsia" w:cstheme="minorEastAsia"/>
          <w:b/>
          <w:bCs/>
          <w:color w:val="000000" w:themeColor="text1"/>
          <w:spacing w:val="-18"/>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54747F74">
      <w:pPr>
        <w:spacing w:before="93" w:line="219" w:lineRule="auto"/>
        <w:ind w:left="156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招标编号</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1C07472C">
      <w:pPr>
        <w:spacing w:before="96" w:line="219" w:lineRule="auto"/>
        <w:ind w:left="155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所投合同包</w:t>
      </w:r>
      <w:r>
        <w:rPr>
          <w:rFonts w:hint="eastAsia" w:asciiTheme="minorEastAsia" w:hAnsiTheme="minorEastAsia" w:eastAsiaTheme="minorEastAsia" w:cstheme="minorEastAsia"/>
          <w:b/>
          <w:bCs/>
          <w:color w:val="000000" w:themeColor="text1"/>
          <w:spacing w:val="-16"/>
          <w:sz w:val="24"/>
          <w:szCs w:val="24"/>
          <w:lang w:eastAsia="zh-CN"/>
        </w:rPr>
        <w:t>：</w:t>
      </w:r>
      <w:r>
        <w:rPr>
          <w:rFonts w:hint="eastAsia" w:asciiTheme="minorEastAsia" w:hAnsiTheme="minorEastAsia" w:eastAsiaTheme="minorEastAsia" w:cstheme="minorEastAsia"/>
          <w:b/>
          <w:bCs/>
          <w:color w:val="000000" w:themeColor="text1"/>
          <w:spacing w:val="-16"/>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74D4D06F">
      <w:pPr>
        <w:pStyle w:val="8"/>
        <w:spacing w:line="254" w:lineRule="auto"/>
        <w:rPr>
          <w:rFonts w:hint="eastAsia" w:asciiTheme="minorEastAsia" w:hAnsiTheme="minorEastAsia" w:eastAsiaTheme="minorEastAsia" w:cstheme="minorEastAsia"/>
          <w:color w:val="000000" w:themeColor="text1"/>
          <w:lang w:eastAsia="zh-CN"/>
        </w:rPr>
      </w:pPr>
    </w:p>
    <w:p w14:paraId="461BA520">
      <w:pPr>
        <w:pStyle w:val="8"/>
        <w:spacing w:line="254" w:lineRule="auto"/>
        <w:rPr>
          <w:rFonts w:hint="eastAsia" w:asciiTheme="minorEastAsia" w:hAnsiTheme="minorEastAsia" w:eastAsiaTheme="minorEastAsia" w:cstheme="minorEastAsia"/>
          <w:color w:val="000000" w:themeColor="text1"/>
          <w:lang w:eastAsia="zh-CN"/>
        </w:rPr>
      </w:pPr>
    </w:p>
    <w:p w14:paraId="2386FD23">
      <w:pPr>
        <w:pStyle w:val="8"/>
        <w:spacing w:line="254" w:lineRule="auto"/>
        <w:rPr>
          <w:rFonts w:hint="eastAsia" w:asciiTheme="minorEastAsia" w:hAnsiTheme="minorEastAsia" w:eastAsiaTheme="minorEastAsia" w:cstheme="minorEastAsia"/>
          <w:color w:val="000000" w:themeColor="text1"/>
          <w:lang w:eastAsia="zh-CN"/>
        </w:rPr>
      </w:pPr>
    </w:p>
    <w:p w14:paraId="63BE38BC">
      <w:pPr>
        <w:pStyle w:val="8"/>
        <w:spacing w:line="254" w:lineRule="auto"/>
        <w:rPr>
          <w:rFonts w:hint="eastAsia" w:asciiTheme="minorEastAsia" w:hAnsiTheme="minorEastAsia" w:eastAsiaTheme="minorEastAsia" w:cstheme="minorEastAsia"/>
          <w:color w:val="000000" w:themeColor="text1"/>
          <w:lang w:eastAsia="zh-CN"/>
        </w:rPr>
      </w:pPr>
    </w:p>
    <w:p w14:paraId="21134F26">
      <w:pPr>
        <w:pStyle w:val="8"/>
        <w:spacing w:line="255" w:lineRule="auto"/>
        <w:rPr>
          <w:rFonts w:hint="eastAsia" w:asciiTheme="minorEastAsia" w:hAnsiTheme="minorEastAsia" w:eastAsiaTheme="minorEastAsia" w:cstheme="minorEastAsia"/>
          <w:color w:val="000000" w:themeColor="text1"/>
          <w:lang w:eastAsia="zh-CN"/>
        </w:rPr>
      </w:pPr>
    </w:p>
    <w:p w14:paraId="4AF654C3">
      <w:pPr>
        <w:pStyle w:val="8"/>
        <w:spacing w:line="255" w:lineRule="auto"/>
        <w:rPr>
          <w:rFonts w:hint="eastAsia" w:asciiTheme="minorEastAsia" w:hAnsiTheme="minorEastAsia" w:eastAsiaTheme="minorEastAsia" w:cstheme="minorEastAsia"/>
          <w:color w:val="000000" w:themeColor="text1"/>
          <w:lang w:eastAsia="zh-CN"/>
        </w:rPr>
      </w:pPr>
    </w:p>
    <w:p w14:paraId="51202D06">
      <w:pPr>
        <w:spacing w:before="79" w:line="220" w:lineRule="auto"/>
        <w:ind w:left="273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投标人</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填写“全称</w:t>
      </w:r>
      <w:r>
        <w:rPr>
          <w:rFonts w:hint="eastAsia" w:asciiTheme="minorEastAsia" w:hAnsiTheme="minorEastAsia" w:eastAsiaTheme="minorEastAsia" w:cstheme="minorEastAsia"/>
          <w:color w:val="000000" w:themeColor="text1"/>
          <w:spacing w:val="-86"/>
          <w:sz w:val="24"/>
          <w:szCs w:val="24"/>
          <w:u w:val="single"/>
          <w:lang w:eastAsia="zh-CN"/>
        </w:rPr>
        <w:t xml:space="preserve"> </w:t>
      </w:r>
      <w:r>
        <w:rPr>
          <w:rFonts w:hint="eastAsia" w:asciiTheme="minorEastAsia" w:hAnsiTheme="minorEastAsia" w:eastAsiaTheme="minorEastAsia" w:cstheme="minorEastAsia"/>
          <w:b/>
          <w:bCs/>
          <w:color w:val="000000" w:themeColor="text1"/>
          <w:sz w:val="24"/>
          <w:szCs w:val="24"/>
          <w:u w:val="single"/>
          <w:lang w:eastAsia="zh-CN"/>
        </w:rPr>
        <w:t>”）</w:t>
      </w:r>
    </w:p>
    <w:p w14:paraId="40EA4711">
      <w:pPr>
        <w:tabs>
          <w:tab w:val="left" w:pos="2133"/>
        </w:tabs>
        <w:spacing w:before="96" w:line="219" w:lineRule="auto"/>
        <w:ind w:left="19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年</w:t>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月</w:t>
      </w:r>
    </w:p>
    <w:p w14:paraId="46DAC1C6">
      <w:pPr>
        <w:pStyle w:val="8"/>
        <w:spacing w:line="243" w:lineRule="auto"/>
        <w:rPr>
          <w:rFonts w:hint="eastAsia" w:asciiTheme="minorEastAsia" w:hAnsiTheme="minorEastAsia" w:eastAsiaTheme="minorEastAsia" w:cstheme="minorEastAsia"/>
          <w:color w:val="000000" w:themeColor="text1"/>
          <w:lang w:eastAsia="zh-CN"/>
        </w:rPr>
      </w:pPr>
    </w:p>
    <w:p w14:paraId="04C7772F">
      <w:pPr>
        <w:pStyle w:val="8"/>
        <w:spacing w:line="243" w:lineRule="auto"/>
        <w:rPr>
          <w:rFonts w:hint="eastAsia" w:asciiTheme="minorEastAsia" w:hAnsiTheme="minorEastAsia" w:eastAsiaTheme="minorEastAsia" w:cstheme="minorEastAsia"/>
          <w:color w:val="000000" w:themeColor="text1"/>
          <w:lang w:eastAsia="zh-CN"/>
        </w:rPr>
      </w:pPr>
    </w:p>
    <w:p w14:paraId="50362FAF">
      <w:pPr>
        <w:pStyle w:val="8"/>
        <w:spacing w:line="243" w:lineRule="auto"/>
        <w:rPr>
          <w:rFonts w:hint="eastAsia" w:asciiTheme="minorEastAsia" w:hAnsiTheme="minorEastAsia" w:eastAsiaTheme="minorEastAsia" w:cstheme="minorEastAsia"/>
          <w:color w:val="000000" w:themeColor="text1"/>
          <w:lang w:eastAsia="zh-CN"/>
        </w:rPr>
      </w:pPr>
    </w:p>
    <w:p w14:paraId="118AA519">
      <w:pPr>
        <w:pStyle w:val="8"/>
        <w:spacing w:line="243" w:lineRule="auto"/>
        <w:rPr>
          <w:rFonts w:hint="eastAsia" w:asciiTheme="minorEastAsia" w:hAnsiTheme="minorEastAsia" w:eastAsiaTheme="minorEastAsia" w:cstheme="minorEastAsia"/>
          <w:color w:val="000000" w:themeColor="text1"/>
          <w:lang w:eastAsia="zh-CN"/>
        </w:rPr>
      </w:pPr>
    </w:p>
    <w:p w14:paraId="6C661F8D">
      <w:pPr>
        <w:pStyle w:val="8"/>
        <w:spacing w:line="243" w:lineRule="auto"/>
        <w:rPr>
          <w:rFonts w:hint="eastAsia" w:asciiTheme="minorEastAsia" w:hAnsiTheme="minorEastAsia" w:eastAsiaTheme="minorEastAsia" w:cstheme="minorEastAsia"/>
          <w:color w:val="000000" w:themeColor="text1"/>
          <w:lang w:eastAsia="zh-CN"/>
        </w:rPr>
      </w:pPr>
    </w:p>
    <w:p w14:paraId="2C572B80">
      <w:pPr>
        <w:pStyle w:val="8"/>
        <w:spacing w:line="243" w:lineRule="auto"/>
        <w:rPr>
          <w:rFonts w:hint="eastAsia" w:asciiTheme="minorEastAsia" w:hAnsiTheme="minorEastAsia" w:eastAsiaTheme="minorEastAsia" w:cstheme="minorEastAsia"/>
          <w:color w:val="000000" w:themeColor="text1"/>
          <w:lang w:eastAsia="zh-CN"/>
        </w:rPr>
      </w:pPr>
    </w:p>
    <w:p w14:paraId="283BFBE0">
      <w:pPr>
        <w:pStyle w:val="8"/>
        <w:spacing w:line="243" w:lineRule="auto"/>
        <w:rPr>
          <w:rFonts w:hint="eastAsia" w:asciiTheme="minorEastAsia" w:hAnsiTheme="minorEastAsia" w:eastAsiaTheme="minorEastAsia" w:cstheme="minorEastAsia"/>
          <w:color w:val="000000" w:themeColor="text1"/>
          <w:lang w:eastAsia="zh-CN"/>
        </w:rPr>
      </w:pPr>
    </w:p>
    <w:p w14:paraId="5BD91CD5">
      <w:pPr>
        <w:pStyle w:val="8"/>
        <w:spacing w:line="243" w:lineRule="auto"/>
        <w:rPr>
          <w:rFonts w:hint="eastAsia" w:asciiTheme="minorEastAsia" w:hAnsiTheme="minorEastAsia" w:eastAsiaTheme="minorEastAsia" w:cstheme="minorEastAsia"/>
          <w:color w:val="000000" w:themeColor="text1"/>
          <w:lang w:eastAsia="zh-CN"/>
        </w:rPr>
      </w:pPr>
    </w:p>
    <w:p w14:paraId="031D2864">
      <w:pPr>
        <w:pStyle w:val="8"/>
        <w:spacing w:line="243" w:lineRule="auto"/>
        <w:rPr>
          <w:rFonts w:hint="eastAsia" w:asciiTheme="minorEastAsia" w:hAnsiTheme="minorEastAsia" w:eastAsiaTheme="minorEastAsia" w:cstheme="minorEastAsia"/>
          <w:color w:val="000000" w:themeColor="text1"/>
          <w:lang w:eastAsia="zh-CN"/>
        </w:rPr>
      </w:pPr>
    </w:p>
    <w:p w14:paraId="7AAA39AC">
      <w:pPr>
        <w:pStyle w:val="8"/>
        <w:spacing w:line="243" w:lineRule="auto"/>
        <w:rPr>
          <w:rFonts w:hint="eastAsia" w:asciiTheme="minorEastAsia" w:hAnsiTheme="minorEastAsia" w:eastAsiaTheme="minorEastAsia" w:cstheme="minorEastAsia"/>
          <w:color w:val="000000" w:themeColor="text1"/>
          <w:lang w:eastAsia="zh-CN"/>
        </w:rPr>
      </w:pPr>
    </w:p>
    <w:p w14:paraId="19DDEC0A">
      <w:pPr>
        <w:pStyle w:val="8"/>
        <w:spacing w:line="243" w:lineRule="auto"/>
        <w:rPr>
          <w:rFonts w:hint="eastAsia" w:asciiTheme="minorEastAsia" w:hAnsiTheme="minorEastAsia" w:eastAsiaTheme="minorEastAsia" w:cstheme="minorEastAsia"/>
          <w:color w:val="000000" w:themeColor="text1"/>
          <w:lang w:eastAsia="zh-CN"/>
        </w:rPr>
      </w:pPr>
    </w:p>
    <w:p w14:paraId="0F95E48D">
      <w:pPr>
        <w:pStyle w:val="8"/>
        <w:spacing w:line="243" w:lineRule="auto"/>
        <w:rPr>
          <w:rFonts w:hint="eastAsia" w:asciiTheme="minorEastAsia" w:hAnsiTheme="minorEastAsia" w:eastAsiaTheme="minorEastAsia" w:cstheme="minorEastAsia"/>
          <w:color w:val="000000" w:themeColor="text1"/>
          <w:lang w:eastAsia="zh-CN"/>
        </w:rPr>
      </w:pPr>
    </w:p>
    <w:p w14:paraId="6A51A7C8">
      <w:pPr>
        <w:pStyle w:val="8"/>
        <w:spacing w:line="243" w:lineRule="auto"/>
        <w:rPr>
          <w:rFonts w:hint="eastAsia" w:asciiTheme="minorEastAsia" w:hAnsiTheme="minorEastAsia" w:eastAsiaTheme="minorEastAsia" w:cstheme="minorEastAsia"/>
          <w:color w:val="000000" w:themeColor="text1"/>
          <w:lang w:eastAsia="zh-CN"/>
        </w:rPr>
      </w:pPr>
    </w:p>
    <w:p w14:paraId="6EB09D71">
      <w:pPr>
        <w:pStyle w:val="8"/>
        <w:spacing w:line="243" w:lineRule="auto"/>
        <w:rPr>
          <w:rFonts w:hint="eastAsia" w:asciiTheme="minorEastAsia" w:hAnsiTheme="minorEastAsia" w:eastAsiaTheme="minorEastAsia" w:cstheme="minorEastAsia"/>
          <w:color w:val="000000" w:themeColor="text1"/>
          <w:lang w:eastAsia="zh-CN"/>
        </w:rPr>
      </w:pPr>
    </w:p>
    <w:p w14:paraId="2D06D555">
      <w:pPr>
        <w:pStyle w:val="8"/>
        <w:spacing w:line="243" w:lineRule="auto"/>
        <w:rPr>
          <w:rFonts w:hint="eastAsia" w:asciiTheme="minorEastAsia" w:hAnsiTheme="minorEastAsia" w:eastAsiaTheme="minorEastAsia" w:cstheme="minorEastAsia"/>
          <w:color w:val="000000" w:themeColor="text1"/>
          <w:lang w:eastAsia="zh-CN"/>
        </w:rPr>
      </w:pPr>
    </w:p>
    <w:p w14:paraId="202091F1">
      <w:pPr>
        <w:pStyle w:val="8"/>
        <w:spacing w:line="243" w:lineRule="auto"/>
        <w:rPr>
          <w:rFonts w:hint="eastAsia" w:asciiTheme="minorEastAsia" w:hAnsiTheme="minorEastAsia" w:eastAsiaTheme="minorEastAsia" w:cstheme="minorEastAsia"/>
          <w:color w:val="000000" w:themeColor="text1"/>
          <w:lang w:eastAsia="zh-CN"/>
        </w:rPr>
      </w:pPr>
    </w:p>
    <w:p w14:paraId="36CF1F72">
      <w:pPr>
        <w:pStyle w:val="8"/>
        <w:spacing w:line="243" w:lineRule="auto"/>
        <w:rPr>
          <w:rFonts w:hint="eastAsia" w:asciiTheme="minorEastAsia" w:hAnsiTheme="minorEastAsia" w:eastAsiaTheme="minorEastAsia" w:cstheme="minorEastAsia"/>
          <w:color w:val="000000" w:themeColor="text1"/>
          <w:lang w:eastAsia="zh-CN"/>
        </w:rPr>
      </w:pPr>
    </w:p>
    <w:p w14:paraId="317CE70D">
      <w:pPr>
        <w:pStyle w:val="8"/>
        <w:spacing w:line="243" w:lineRule="auto"/>
        <w:rPr>
          <w:rFonts w:hint="eastAsia" w:asciiTheme="minorEastAsia" w:hAnsiTheme="minorEastAsia" w:eastAsiaTheme="minorEastAsia" w:cstheme="minorEastAsia"/>
          <w:color w:val="000000" w:themeColor="text1"/>
          <w:lang w:eastAsia="zh-CN"/>
        </w:rPr>
      </w:pPr>
    </w:p>
    <w:p w14:paraId="780C1206">
      <w:pPr>
        <w:pStyle w:val="8"/>
        <w:spacing w:line="243" w:lineRule="auto"/>
        <w:rPr>
          <w:rFonts w:hint="eastAsia" w:asciiTheme="minorEastAsia" w:hAnsiTheme="minorEastAsia" w:eastAsiaTheme="minorEastAsia" w:cstheme="minorEastAsia"/>
          <w:color w:val="000000" w:themeColor="text1"/>
          <w:lang w:eastAsia="zh-CN"/>
        </w:rPr>
      </w:pPr>
    </w:p>
    <w:p w14:paraId="6C711392">
      <w:pPr>
        <w:pStyle w:val="8"/>
        <w:spacing w:line="243" w:lineRule="auto"/>
        <w:rPr>
          <w:rFonts w:hint="eastAsia" w:asciiTheme="minorEastAsia" w:hAnsiTheme="minorEastAsia" w:eastAsiaTheme="minorEastAsia" w:cstheme="minorEastAsia"/>
          <w:color w:val="000000" w:themeColor="text1"/>
          <w:lang w:eastAsia="zh-CN"/>
        </w:rPr>
      </w:pPr>
    </w:p>
    <w:p w14:paraId="7821650A">
      <w:pPr>
        <w:pStyle w:val="8"/>
        <w:spacing w:line="243" w:lineRule="auto"/>
        <w:rPr>
          <w:rFonts w:hint="eastAsia" w:asciiTheme="minorEastAsia" w:hAnsiTheme="minorEastAsia" w:eastAsiaTheme="minorEastAsia" w:cstheme="minorEastAsia"/>
          <w:color w:val="000000" w:themeColor="text1"/>
          <w:lang w:eastAsia="zh-CN"/>
        </w:rPr>
      </w:pPr>
    </w:p>
    <w:p w14:paraId="44D116DF">
      <w:pPr>
        <w:pStyle w:val="8"/>
        <w:spacing w:line="243" w:lineRule="auto"/>
        <w:rPr>
          <w:rFonts w:hint="eastAsia" w:asciiTheme="minorEastAsia" w:hAnsiTheme="minorEastAsia" w:eastAsiaTheme="minorEastAsia" w:cstheme="minorEastAsia"/>
          <w:color w:val="000000" w:themeColor="text1"/>
          <w:lang w:eastAsia="zh-CN"/>
        </w:rPr>
      </w:pPr>
    </w:p>
    <w:p w14:paraId="70802998">
      <w:pPr>
        <w:pStyle w:val="8"/>
        <w:spacing w:line="243" w:lineRule="auto"/>
        <w:rPr>
          <w:rFonts w:hint="eastAsia" w:asciiTheme="minorEastAsia" w:hAnsiTheme="minorEastAsia" w:eastAsiaTheme="minorEastAsia" w:cstheme="minorEastAsia"/>
          <w:color w:val="000000" w:themeColor="text1"/>
          <w:lang w:eastAsia="zh-CN"/>
        </w:rPr>
      </w:pPr>
    </w:p>
    <w:p w14:paraId="533C7FDA">
      <w:pPr>
        <w:pStyle w:val="8"/>
        <w:spacing w:line="243" w:lineRule="auto"/>
        <w:rPr>
          <w:rFonts w:hint="eastAsia" w:asciiTheme="minorEastAsia" w:hAnsiTheme="minorEastAsia" w:eastAsiaTheme="minorEastAsia" w:cstheme="minorEastAsia"/>
          <w:color w:val="000000" w:themeColor="text1"/>
          <w:lang w:eastAsia="zh-CN"/>
        </w:rPr>
      </w:pPr>
    </w:p>
    <w:p w14:paraId="26C4F55D">
      <w:pPr>
        <w:pStyle w:val="8"/>
        <w:spacing w:line="243" w:lineRule="auto"/>
        <w:rPr>
          <w:rFonts w:hint="eastAsia" w:asciiTheme="minorEastAsia" w:hAnsiTheme="minorEastAsia" w:eastAsiaTheme="minorEastAsia" w:cstheme="minorEastAsia"/>
          <w:color w:val="000000" w:themeColor="text1"/>
          <w:lang w:eastAsia="zh-CN"/>
        </w:rPr>
      </w:pPr>
    </w:p>
    <w:p w14:paraId="54A59735">
      <w:pPr>
        <w:pStyle w:val="8"/>
        <w:spacing w:line="243" w:lineRule="auto"/>
        <w:rPr>
          <w:rFonts w:hint="eastAsia" w:asciiTheme="minorEastAsia" w:hAnsiTheme="minorEastAsia" w:eastAsiaTheme="minorEastAsia" w:cstheme="minorEastAsia"/>
          <w:color w:val="000000" w:themeColor="text1"/>
          <w:lang w:eastAsia="zh-CN"/>
        </w:rPr>
      </w:pPr>
    </w:p>
    <w:p w14:paraId="2BDDEFA8">
      <w:pPr>
        <w:spacing w:before="108" w:line="220" w:lineRule="auto"/>
        <w:ind w:left="43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0"/>
          <w:sz w:val="24"/>
          <w:szCs w:val="24"/>
          <w:lang w:eastAsia="zh-CN"/>
        </w:rPr>
        <w:t>索引</w:t>
      </w:r>
    </w:p>
    <w:p w14:paraId="25B6385A">
      <w:pPr>
        <w:spacing w:before="93" w:line="220"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1、投标函</w:t>
      </w:r>
    </w:p>
    <w:p w14:paraId="5B6F1CB2">
      <w:pPr>
        <w:spacing w:before="93" w:line="381" w:lineRule="exact"/>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2、投标人的资格及资信证明文件</w:t>
      </w:r>
    </w:p>
    <w:p w14:paraId="2C4696F9">
      <w:pPr>
        <w:spacing w:line="220"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3、投标保证金</w:t>
      </w:r>
    </w:p>
    <w:p w14:paraId="732A3F3C">
      <w:pPr>
        <w:pStyle w:val="8"/>
        <w:spacing w:line="254" w:lineRule="auto"/>
        <w:rPr>
          <w:rFonts w:hint="eastAsia" w:asciiTheme="minorEastAsia" w:hAnsiTheme="minorEastAsia" w:eastAsiaTheme="minorEastAsia" w:cstheme="minorEastAsia"/>
          <w:color w:val="000000" w:themeColor="text1"/>
          <w:lang w:eastAsia="zh-CN"/>
        </w:rPr>
      </w:pPr>
    </w:p>
    <w:p w14:paraId="26C167C1">
      <w:pPr>
        <w:pStyle w:val="8"/>
        <w:spacing w:line="254" w:lineRule="auto"/>
        <w:rPr>
          <w:rFonts w:hint="eastAsia" w:asciiTheme="minorEastAsia" w:hAnsiTheme="minorEastAsia" w:eastAsiaTheme="minorEastAsia" w:cstheme="minorEastAsia"/>
          <w:color w:val="000000" w:themeColor="text1"/>
          <w:lang w:eastAsia="zh-CN"/>
        </w:rPr>
      </w:pPr>
    </w:p>
    <w:p w14:paraId="78D1722D">
      <w:pPr>
        <w:pStyle w:val="8"/>
        <w:spacing w:line="254" w:lineRule="auto"/>
        <w:rPr>
          <w:rFonts w:hint="eastAsia" w:asciiTheme="minorEastAsia" w:hAnsiTheme="minorEastAsia" w:eastAsiaTheme="minorEastAsia" w:cstheme="minorEastAsia"/>
          <w:color w:val="000000" w:themeColor="text1"/>
          <w:lang w:eastAsia="zh-CN"/>
        </w:rPr>
      </w:pPr>
    </w:p>
    <w:p w14:paraId="4E9E5FD2">
      <w:pPr>
        <w:pStyle w:val="8"/>
        <w:spacing w:line="254" w:lineRule="auto"/>
        <w:rPr>
          <w:rFonts w:hint="eastAsia" w:asciiTheme="minorEastAsia" w:hAnsiTheme="minorEastAsia" w:eastAsiaTheme="minorEastAsia" w:cstheme="minorEastAsia"/>
          <w:color w:val="000000" w:themeColor="text1"/>
          <w:lang w:eastAsia="zh-CN"/>
        </w:rPr>
      </w:pPr>
    </w:p>
    <w:p w14:paraId="4637932B">
      <w:pPr>
        <w:pStyle w:val="8"/>
        <w:spacing w:line="254" w:lineRule="auto"/>
        <w:rPr>
          <w:rFonts w:hint="eastAsia" w:asciiTheme="minorEastAsia" w:hAnsiTheme="minorEastAsia" w:eastAsiaTheme="minorEastAsia" w:cstheme="minorEastAsia"/>
          <w:color w:val="000000" w:themeColor="text1"/>
          <w:lang w:eastAsia="zh-CN"/>
        </w:rPr>
      </w:pPr>
    </w:p>
    <w:p w14:paraId="015FB08B">
      <w:pPr>
        <w:pStyle w:val="8"/>
        <w:spacing w:line="254" w:lineRule="auto"/>
        <w:rPr>
          <w:rFonts w:hint="eastAsia" w:asciiTheme="minorEastAsia" w:hAnsiTheme="minorEastAsia" w:eastAsiaTheme="minorEastAsia" w:cstheme="minorEastAsia"/>
          <w:color w:val="000000" w:themeColor="text1"/>
          <w:lang w:eastAsia="zh-CN"/>
        </w:rPr>
      </w:pPr>
    </w:p>
    <w:p w14:paraId="604EF690">
      <w:pPr>
        <w:spacing w:before="78" w:line="224" w:lineRule="auto"/>
        <w:ind w:left="41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★注意</w:t>
      </w:r>
    </w:p>
    <w:p w14:paraId="5863FC27">
      <w:pPr>
        <w:spacing w:before="89" w:line="256" w:lineRule="auto"/>
        <w:ind w:firstLine="43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资格及资信证明部分中不得出现报价部分的全部或部分的投标报价信息（或组成资</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料</w:t>
      </w: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否则</w:t>
      </w:r>
      <w:r>
        <w:rPr>
          <w:rFonts w:hint="eastAsia" w:asciiTheme="minorEastAsia" w:hAnsiTheme="minorEastAsia" w:eastAsiaTheme="minorEastAsia" w:cstheme="minorEastAsia"/>
          <w:b/>
          <w:bCs/>
          <w:color w:val="000000" w:themeColor="text1"/>
          <w:spacing w:val="-4"/>
          <w:sz w:val="24"/>
          <w:szCs w:val="24"/>
          <w:lang w:eastAsia="zh-CN"/>
        </w:rPr>
        <w:t>资格审查不合格</w:t>
      </w:r>
      <w:r>
        <w:rPr>
          <w:rFonts w:hint="eastAsia" w:asciiTheme="minorEastAsia" w:hAnsiTheme="minorEastAsia" w:eastAsiaTheme="minorEastAsia" w:cstheme="minorEastAsia"/>
          <w:color w:val="000000" w:themeColor="text1"/>
          <w:spacing w:val="-4"/>
          <w:sz w:val="24"/>
          <w:szCs w:val="24"/>
          <w:lang w:eastAsia="zh-CN"/>
        </w:rPr>
        <w:t>。</w:t>
      </w:r>
    </w:p>
    <w:p w14:paraId="2765189B">
      <w:pPr>
        <w:spacing w:line="256" w:lineRule="auto"/>
        <w:rPr>
          <w:rFonts w:hint="eastAsia" w:asciiTheme="minorEastAsia" w:hAnsiTheme="minorEastAsia" w:eastAsiaTheme="minorEastAsia" w:cstheme="minorEastAsia"/>
          <w:color w:val="000000" w:themeColor="text1"/>
          <w:sz w:val="24"/>
          <w:szCs w:val="24"/>
          <w:lang w:eastAsia="zh-CN"/>
        </w:rPr>
        <w:sectPr>
          <w:footerReference r:id="rId20" w:type="default"/>
          <w:pgSz w:w="11906" w:h="16839"/>
          <w:pgMar w:top="1431" w:right="1430" w:bottom="1260" w:left="1425" w:header="0" w:footer="1013" w:gutter="0"/>
          <w:pgNumType w:fmt="decimal"/>
          <w:cols w:space="720" w:num="1"/>
        </w:sectPr>
      </w:pPr>
    </w:p>
    <w:p w14:paraId="5A2BA529">
      <w:pPr>
        <w:spacing w:before="108" w:line="220" w:lineRule="auto"/>
        <w:ind w:left="401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8"/>
          <w:sz w:val="24"/>
          <w:szCs w:val="24"/>
          <w:lang w:eastAsia="zh-CN"/>
        </w:rPr>
        <w:t>1、投标函</w:t>
      </w:r>
    </w:p>
    <w:p w14:paraId="4E899722">
      <w:pPr>
        <w:spacing w:before="93" w:line="220"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29A35CBD">
      <w:pPr>
        <w:spacing w:before="93" w:line="274" w:lineRule="auto"/>
        <w:ind w:firstLine="425"/>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兹收到贵单位关于</w:t>
      </w:r>
      <w:r>
        <w:rPr>
          <w:rFonts w:hint="eastAsia" w:asciiTheme="minorEastAsia" w:hAnsiTheme="minorEastAsia" w:eastAsiaTheme="minorEastAsia" w:cstheme="minorEastAsia"/>
          <w:color w:val="000000" w:themeColor="text1"/>
          <w:spacing w:val="-3"/>
          <w:sz w:val="24"/>
          <w:szCs w:val="24"/>
          <w:u w:val="single"/>
          <w:lang w:eastAsia="zh-CN"/>
        </w:rPr>
        <w:t>（填写“项目名称</w:t>
      </w:r>
      <w:r>
        <w:rPr>
          <w:rFonts w:hint="eastAsia" w:asciiTheme="minorEastAsia" w:hAnsiTheme="minorEastAsia" w:eastAsiaTheme="minorEastAsia" w:cstheme="minorEastAsia"/>
          <w:color w:val="000000" w:themeColor="text1"/>
          <w:spacing w:val="-89"/>
          <w:sz w:val="24"/>
          <w:szCs w:val="24"/>
          <w:u w:val="single"/>
          <w:lang w:eastAsia="zh-CN"/>
        </w:rPr>
        <w:t xml:space="preserve"> </w:t>
      </w:r>
      <w:r>
        <w:rPr>
          <w:rFonts w:hint="eastAsia" w:asciiTheme="minorEastAsia" w:hAnsiTheme="minorEastAsia" w:eastAsiaTheme="minorEastAsia" w:cstheme="minorEastAsia"/>
          <w:color w:val="000000" w:themeColor="text1"/>
          <w:spacing w:val="-3"/>
          <w:sz w:val="24"/>
          <w:szCs w:val="24"/>
          <w:u w:val="single"/>
          <w:lang w:eastAsia="zh-CN"/>
        </w:rPr>
        <w:t>”）</w:t>
      </w:r>
      <w:r>
        <w:rPr>
          <w:rFonts w:hint="eastAsia" w:asciiTheme="minorEastAsia" w:hAnsiTheme="minorEastAsia" w:eastAsiaTheme="minorEastAsia" w:cstheme="minorEastAsia"/>
          <w:color w:val="000000" w:themeColor="text1"/>
          <w:spacing w:val="-3"/>
          <w:sz w:val="24"/>
          <w:szCs w:val="24"/>
          <w:lang w:eastAsia="zh-CN"/>
        </w:rPr>
        <w:t>项目（招标编号</w:t>
      </w:r>
      <w:r>
        <w:rPr>
          <w:rFonts w:hint="eastAsia" w:asciiTheme="minorEastAsia" w:hAnsiTheme="minorEastAsia" w:eastAsiaTheme="minorEastAsia" w:cstheme="minorEastAsia"/>
          <w:color w:val="000000" w:themeColor="text1"/>
          <w:spacing w:val="3"/>
          <w:sz w:val="24"/>
          <w:szCs w:val="24"/>
          <w:lang w:eastAsia="zh-CN"/>
        </w:rPr>
        <w:t>：</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w:t>
      </w:r>
      <w:r>
        <w:rPr>
          <w:rFonts w:hint="eastAsia" w:asciiTheme="minorEastAsia" w:hAnsiTheme="minorEastAsia" w:eastAsiaTheme="minorEastAsia" w:cstheme="minorEastAsia"/>
          <w:color w:val="000000" w:themeColor="text1"/>
          <w:spacing w:val="-3"/>
          <w:sz w:val="24"/>
          <w:szCs w:val="24"/>
          <w:lang w:eastAsia="zh-CN"/>
        </w:rPr>
        <w:t>的投标邀</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请，本投标人代表</w:t>
      </w:r>
      <w:r>
        <w:rPr>
          <w:rFonts w:hint="eastAsia" w:asciiTheme="minorEastAsia" w:hAnsiTheme="minorEastAsia" w:eastAsiaTheme="minorEastAsia" w:cstheme="minorEastAsia"/>
          <w:color w:val="000000" w:themeColor="text1"/>
          <w:spacing w:val="-7"/>
          <w:sz w:val="24"/>
          <w:szCs w:val="24"/>
          <w:u w:val="single"/>
          <w:lang w:eastAsia="zh-CN"/>
        </w:rPr>
        <w:t>（填写“全名</w:t>
      </w:r>
      <w:r>
        <w:rPr>
          <w:rFonts w:hint="eastAsia" w:asciiTheme="minorEastAsia" w:hAnsiTheme="minorEastAsia" w:eastAsiaTheme="minorEastAsia" w:cstheme="minorEastAsia"/>
          <w:color w:val="000000" w:themeColor="text1"/>
          <w:spacing w:val="-77"/>
          <w:sz w:val="24"/>
          <w:szCs w:val="24"/>
          <w:u w:val="single"/>
          <w:lang w:eastAsia="zh-CN"/>
        </w:rPr>
        <w:t xml:space="preserve"> </w:t>
      </w:r>
      <w:r>
        <w:rPr>
          <w:rFonts w:hint="eastAsia" w:asciiTheme="minorEastAsia" w:hAnsiTheme="minorEastAsia" w:eastAsiaTheme="minorEastAsia" w:cstheme="minorEastAsia"/>
          <w:color w:val="000000" w:themeColor="text1"/>
          <w:spacing w:val="-7"/>
          <w:sz w:val="24"/>
          <w:szCs w:val="24"/>
          <w:u w:val="single"/>
          <w:lang w:eastAsia="zh-CN"/>
        </w:rPr>
        <w:t>”）</w:t>
      </w:r>
      <w:r>
        <w:rPr>
          <w:rFonts w:hint="eastAsia" w:asciiTheme="minorEastAsia" w:hAnsiTheme="minorEastAsia" w:eastAsiaTheme="minorEastAsia" w:cstheme="minorEastAsia"/>
          <w:color w:val="000000" w:themeColor="text1"/>
          <w:spacing w:val="-7"/>
          <w:sz w:val="24"/>
          <w:szCs w:val="24"/>
          <w:lang w:eastAsia="zh-CN"/>
        </w:rPr>
        <w:t>已获得我方正式授权并代表投标人</w:t>
      </w:r>
      <w:r>
        <w:rPr>
          <w:rFonts w:hint="eastAsia" w:asciiTheme="minorEastAsia" w:hAnsiTheme="minorEastAsia" w:eastAsiaTheme="minorEastAsia" w:cstheme="minorEastAsia"/>
          <w:color w:val="000000" w:themeColor="text1"/>
          <w:spacing w:val="-7"/>
          <w:sz w:val="24"/>
          <w:szCs w:val="24"/>
          <w:u w:val="single"/>
          <w:lang w:eastAsia="zh-CN"/>
        </w:rPr>
        <w:t>（填写“全称</w:t>
      </w:r>
      <w:r>
        <w:rPr>
          <w:rFonts w:hint="eastAsia" w:asciiTheme="minorEastAsia" w:hAnsiTheme="minorEastAsia" w:eastAsiaTheme="minorEastAsia" w:cstheme="minorEastAsia"/>
          <w:color w:val="000000" w:themeColor="text1"/>
          <w:spacing w:val="-88"/>
          <w:sz w:val="24"/>
          <w:szCs w:val="24"/>
          <w:u w:val="single"/>
          <w:lang w:eastAsia="zh-CN"/>
        </w:rPr>
        <w:t xml:space="preserve"> </w:t>
      </w:r>
      <w:r>
        <w:rPr>
          <w:rFonts w:hint="eastAsia" w:asciiTheme="minorEastAsia" w:hAnsiTheme="minorEastAsia" w:eastAsiaTheme="minorEastAsia" w:cstheme="minorEastAsia"/>
          <w:color w:val="000000" w:themeColor="text1"/>
          <w:spacing w:val="-7"/>
          <w:sz w:val="24"/>
          <w:szCs w:val="24"/>
          <w:u w:val="single"/>
          <w:lang w:eastAsia="zh-CN"/>
        </w:rPr>
        <w:t>”）</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参加投标，并提交招标文件规定份数的投标文</w:t>
      </w:r>
      <w:r>
        <w:rPr>
          <w:rFonts w:hint="eastAsia" w:asciiTheme="minorEastAsia" w:hAnsiTheme="minorEastAsia" w:eastAsiaTheme="minorEastAsia" w:cstheme="minorEastAsia"/>
          <w:color w:val="000000" w:themeColor="text1"/>
          <w:spacing w:val="-2"/>
          <w:sz w:val="24"/>
          <w:szCs w:val="24"/>
          <w:lang w:eastAsia="zh-CN"/>
        </w:rPr>
        <w:t xml:space="preserve">件正本和副本。我方提交的全部投标文件 </w:t>
      </w:r>
      <w:r>
        <w:rPr>
          <w:rFonts w:hint="eastAsia" w:asciiTheme="minorEastAsia" w:hAnsiTheme="minorEastAsia" w:eastAsiaTheme="minorEastAsia" w:cstheme="minorEastAsia"/>
          <w:color w:val="000000" w:themeColor="text1"/>
          <w:spacing w:val="-1"/>
          <w:sz w:val="24"/>
          <w:szCs w:val="24"/>
          <w:lang w:eastAsia="zh-CN"/>
        </w:rPr>
        <w:t>均由下述部分组成：</w:t>
      </w:r>
    </w:p>
    <w:p w14:paraId="764A015A">
      <w:pPr>
        <w:spacing w:before="96" w:line="219" w:lineRule="auto"/>
        <w:ind w:left="43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（1）资格及资信证明部分</w:t>
      </w:r>
    </w:p>
    <w:p w14:paraId="215405F2">
      <w:pPr>
        <w:spacing w:before="94"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①投标函</w:t>
      </w:r>
    </w:p>
    <w:p w14:paraId="3992D16C">
      <w:pPr>
        <w:spacing w:before="97" w:line="381" w:lineRule="exact"/>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0"/>
          <w:sz w:val="24"/>
          <w:szCs w:val="24"/>
          <w:lang w:eastAsia="zh-CN"/>
        </w:rPr>
        <w:t>②投标人的资格及资信证明文件</w:t>
      </w:r>
    </w:p>
    <w:p w14:paraId="4FE8F7B8">
      <w:pPr>
        <w:spacing w:before="1"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③投标保证金</w:t>
      </w:r>
    </w:p>
    <w:p w14:paraId="1AC7B23F">
      <w:pPr>
        <w:spacing w:before="96" w:line="380" w:lineRule="exact"/>
        <w:ind w:left="43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0"/>
          <w:sz w:val="24"/>
          <w:szCs w:val="24"/>
          <w:lang w:eastAsia="zh-CN"/>
        </w:rPr>
        <w:t>（2）报价部分</w:t>
      </w:r>
    </w:p>
    <w:p w14:paraId="4EE3EE08">
      <w:pPr>
        <w:spacing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①开标一览表</w:t>
      </w:r>
    </w:p>
    <w:p w14:paraId="0E60E77D">
      <w:pPr>
        <w:spacing w:before="100" w:line="219" w:lineRule="auto"/>
        <w:ind w:left="43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（3）技术商务部分</w:t>
      </w:r>
    </w:p>
    <w:p w14:paraId="4F98E9DE">
      <w:pPr>
        <w:spacing w:before="94"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①技术和服务要求响应表</w:t>
      </w:r>
    </w:p>
    <w:p w14:paraId="7E3230A2">
      <w:pPr>
        <w:spacing w:before="97"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②商务条件响应表</w:t>
      </w:r>
    </w:p>
    <w:p w14:paraId="1967E7EC">
      <w:pPr>
        <w:spacing w:before="99" w:line="217"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③投标人提交的其他资料（若有）</w:t>
      </w:r>
    </w:p>
    <w:p w14:paraId="35D57CFC">
      <w:pPr>
        <w:spacing w:before="97" w:line="256" w:lineRule="auto"/>
        <w:ind w:left="438" w:right="1131" w:hanging="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根据本函，本投标人代表宣布我方保证遵守招标文件的全</w:t>
      </w:r>
      <w:r>
        <w:rPr>
          <w:rFonts w:hint="eastAsia" w:asciiTheme="minorEastAsia" w:hAnsiTheme="minorEastAsia" w:eastAsiaTheme="minorEastAsia" w:cstheme="minorEastAsia"/>
          <w:color w:val="000000" w:themeColor="text1"/>
          <w:spacing w:val="-3"/>
          <w:sz w:val="24"/>
          <w:szCs w:val="24"/>
          <w:lang w:eastAsia="zh-CN"/>
        </w:rPr>
        <w:t>部规定，同时：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1、</w:t>
      </w:r>
      <w:r>
        <w:rPr>
          <w:rFonts w:hint="eastAsia" w:asciiTheme="minorEastAsia" w:hAnsiTheme="minorEastAsia" w:eastAsiaTheme="minorEastAsia" w:cstheme="minorEastAsia"/>
          <w:b/>
          <w:bCs/>
          <w:color w:val="000000" w:themeColor="text1"/>
          <w:spacing w:val="-7"/>
          <w:sz w:val="24"/>
          <w:szCs w:val="24"/>
          <w:lang w:eastAsia="zh-CN"/>
        </w:rPr>
        <w:t>确认：</w:t>
      </w:r>
    </w:p>
    <w:p w14:paraId="79820B87">
      <w:pPr>
        <w:spacing w:before="95" w:line="218" w:lineRule="auto"/>
        <w:ind w:left="43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w:t>
      </w:r>
      <w:r>
        <w:rPr>
          <w:rFonts w:hint="eastAsia" w:asciiTheme="minorEastAsia" w:hAnsiTheme="minorEastAsia" w:eastAsiaTheme="minorEastAsia" w:cstheme="minorEastAsia"/>
          <w:color w:val="000000" w:themeColor="text1"/>
          <w:spacing w:val="-42"/>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所投合同包的投标报价详见“开标一览表</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w:t>
      </w:r>
    </w:p>
    <w:p w14:paraId="77FF1146">
      <w:pPr>
        <w:spacing w:before="97" w:line="268" w:lineRule="auto"/>
        <w:ind w:right="99" w:firstLine="43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1.2</w:t>
      </w:r>
      <w:r>
        <w:rPr>
          <w:rFonts w:hint="eastAsia" w:asciiTheme="minorEastAsia" w:hAnsiTheme="minorEastAsia" w:eastAsiaTheme="minorEastAsia" w:cstheme="minorEastAsia"/>
          <w:color w:val="000000" w:themeColor="text1"/>
          <w:spacing w:val="-4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我方已详细审查全部招标文件[包括但不限于：有关</w:t>
      </w:r>
      <w:r>
        <w:rPr>
          <w:rFonts w:hint="eastAsia" w:asciiTheme="minorEastAsia" w:hAnsiTheme="minorEastAsia" w:eastAsiaTheme="minorEastAsia" w:cstheme="minorEastAsia"/>
          <w:color w:val="000000" w:themeColor="text1"/>
          <w:spacing w:val="-3"/>
          <w:sz w:val="24"/>
          <w:szCs w:val="24"/>
          <w:lang w:eastAsia="zh-CN"/>
        </w:rPr>
        <w:t>附件（若有）、澄清或修改</w:t>
      </w:r>
      <w:r>
        <w:rPr>
          <w:rFonts w:hint="eastAsia" w:asciiTheme="minorEastAsia" w:hAnsiTheme="minorEastAsia" w:eastAsiaTheme="minorEastAsia" w:cstheme="minorEastAsia"/>
          <w:color w:val="000000" w:themeColor="text1"/>
          <w:sz w:val="24"/>
          <w:szCs w:val="24"/>
          <w:lang w:eastAsia="zh-CN"/>
        </w:rPr>
        <w:t xml:space="preserve"> （若有）等]，并自行承担因对全部招标文件理解不正确或误解</w:t>
      </w:r>
      <w:r>
        <w:rPr>
          <w:rFonts w:hint="eastAsia" w:asciiTheme="minorEastAsia" w:hAnsiTheme="minorEastAsia" w:eastAsiaTheme="minorEastAsia" w:cstheme="minorEastAsia"/>
          <w:color w:val="000000" w:themeColor="text1"/>
          <w:spacing w:val="-1"/>
          <w:sz w:val="24"/>
          <w:szCs w:val="24"/>
          <w:lang w:eastAsia="zh-CN"/>
        </w:rPr>
        <w:t>而产生的相应后果和责</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任。</w:t>
      </w:r>
    </w:p>
    <w:p w14:paraId="208F927D">
      <w:pPr>
        <w:spacing w:before="95" w:line="219" w:lineRule="auto"/>
        <w:ind w:left="42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2、</w:t>
      </w:r>
      <w:r>
        <w:rPr>
          <w:rFonts w:hint="eastAsia" w:asciiTheme="minorEastAsia" w:hAnsiTheme="minorEastAsia" w:eastAsiaTheme="minorEastAsia" w:cstheme="minorEastAsia"/>
          <w:b/>
          <w:bCs/>
          <w:color w:val="000000" w:themeColor="text1"/>
          <w:spacing w:val="-3"/>
          <w:sz w:val="24"/>
          <w:szCs w:val="24"/>
          <w:lang w:eastAsia="zh-CN"/>
        </w:rPr>
        <w:t>承诺及声明：</w:t>
      </w:r>
    </w:p>
    <w:p w14:paraId="3016080F">
      <w:pPr>
        <w:spacing w:before="95" w:line="256" w:lineRule="auto"/>
        <w:ind w:left="2" w:right="171" w:firstLine="4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2.1</w:t>
      </w:r>
      <w:r>
        <w:rPr>
          <w:rFonts w:hint="eastAsia" w:asciiTheme="minorEastAsia" w:hAnsiTheme="minorEastAsia" w:eastAsiaTheme="minorEastAsia" w:cstheme="minorEastAsia"/>
          <w:color w:val="000000" w:themeColor="text1"/>
          <w:spacing w:val="-32"/>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我方具备招标文件第一章载明的“投标人的资格要求</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”且符合招标文件第三章</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载明的“二、投标人</w:t>
      </w:r>
      <w:r>
        <w:rPr>
          <w:rFonts w:hint="eastAsia" w:asciiTheme="minorEastAsia" w:hAnsiTheme="minorEastAsia" w:eastAsiaTheme="minorEastAsia" w:cstheme="minorEastAsia"/>
          <w:color w:val="000000" w:themeColor="text1"/>
          <w:spacing w:val="-79"/>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”之规定，否则</w:t>
      </w:r>
      <w:r>
        <w:rPr>
          <w:rFonts w:hint="eastAsia" w:asciiTheme="minorEastAsia" w:hAnsiTheme="minorEastAsia" w:eastAsiaTheme="minorEastAsia" w:cstheme="minorEastAsia"/>
          <w:b/>
          <w:bCs/>
          <w:color w:val="000000" w:themeColor="text1"/>
          <w:spacing w:val="-3"/>
          <w:sz w:val="24"/>
          <w:szCs w:val="24"/>
          <w:lang w:eastAsia="zh-CN"/>
        </w:rPr>
        <w:t>投标无效。</w:t>
      </w:r>
    </w:p>
    <w:p w14:paraId="3C6216CB">
      <w:pPr>
        <w:spacing w:before="93" w:line="256" w:lineRule="auto"/>
        <w:ind w:left="3" w:right="210" w:firstLine="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2.2</w:t>
      </w:r>
      <w:r>
        <w:rPr>
          <w:rFonts w:hint="eastAsia" w:asciiTheme="minorEastAsia" w:hAnsiTheme="minorEastAsia" w:eastAsiaTheme="minorEastAsia" w:cstheme="minorEastAsia"/>
          <w:color w:val="000000" w:themeColor="text1"/>
          <w:spacing w:val="-40"/>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我方提交的投标文件各组成部分的全部内容及资料是不可割离且真实、有效、</w:t>
      </w:r>
      <w:r>
        <w:rPr>
          <w:rFonts w:hint="eastAsia" w:asciiTheme="minorEastAsia" w:hAnsiTheme="minorEastAsia" w:eastAsiaTheme="minorEastAsia" w:cstheme="minorEastAsia"/>
          <w:color w:val="000000" w:themeColor="text1"/>
          <w:sz w:val="24"/>
          <w:szCs w:val="24"/>
          <w:lang w:eastAsia="zh-CN"/>
        </w:rPr>
        <w:t xml:space="preserve"> 准确、完整和不具有任何误导性的，否则产</w:t>
      </w:r>
      <w:r>
        <w:rPr>
          <w:rFonts w:hint="eastAsia" w:asciiTheme="minorEastAsia" w:hAnsiTheme="minorEastAsia" w:eastAsiaTheme="minorEastAsia" w:cstheme="minorEastAsia"/>
          <w:color w:val="000000" w:themeColor="text1"/>
          <w:spacing w:val="-1"/>
          <w:sz w:val="24"/>
          <w:szCs w:val="24"/>
          <w:lang w:eastAsia="zh-CN"/>
        </w:rPr>
        <w:t>生不利后果由我方承担责任。</w:t>
      </w:r>
    </w:p>
    <w:p w14:paraId="098FE2FD">
      <w:pPr>
        <w:spacing w:before="96" w:line="218" w:lineRule="auto"/>
        <w:jc w:val="right"/>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2.3</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我方提供的标的价格不高于同期市场价格，否则产生不利后果由我方承担责任。</w:t>
      </w:r>
    </w:p>
    <w:p w14:paraId="166B5581">
      <w:pPr>
        <w:spacing w:before="95" w:line="262" w:lineRule="auto"/>
        <w:ind w:right="171" w:firstLine="42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2.4</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投标保证金：若出现招标文件第三章规定的不予退还情形，同意贵单位不予退</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还。</w:t>
      </w:r>
    </w:p>
    <w:p w14:paraId="488B6618">
      <w:pPr>
        <w:spacing w:before="79" w:line="256" w:lineRule="auto"/>
        <w:ind w:left="30" w:right="171" w:firstLine="39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2.5</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投标有效期：按照招标文件第三章规定执行，并在招标文件第二章载明的期限</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内保持有效。</w:t>
      </w:r>
    </w:p>
    <w:p w14:paraId="02DCB029">
      <w:pPr>
        <w:spacing w:before="94" w:line="219" w:lineRule="auto"/>
        <w:ind w:left="42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2.6</w:t>
      </w:r>
      <w:r>
        <w:rPr>
          <w:rFonts w:hint="eastAsia" w:asciiTheme="minorEastAsia" w:hAnsiTheme="minorEastAsia" w:eastAsiaTheme="minorEastAsia" w:cstheme="minorEastAsia"/>
          <w:color w:val="000000" w:themeColor="text1"/>
          <w:spacing w:val="-40"/>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若中标，将按照招标文件、我方投标文件及采购合同履行责任和义务。</w:t>
      </w:r>
    </w:p>
    <w:p w14:paraId="432C42E9">
      <w:pPr>
        <w:spacing w:before="97" w:line="255" w:lineRule="auto"/>
        <w:ind w:left="3" w:right="171" w:firstLine="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2.7</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若贵单位要求，我方同意提供与本项目投标有关的一切资料、数据或文件，并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完全理解贵单位不一定要接受最低的投标报价或收到的任何投标。</w:t>
      </w:r>
    </w:p>
    <w:p w14:paraId="440A7274">
      <w:pPr>
        <w:spacing w:line="255" w:lineRule="auto"/>
        <w:rPr>
          <w:rFonts w:hint="eastAsia" w:asciiTheme="minorEastAsia" w:hAnsiTheme="minorEastAsia" w:eastAsiaTheme="minorEastAsia" w:cstheme="minorEastAsia"/>
          <w:color w:val="000000" w:themeColor="text1"/>
          <w:sz w:val="24"/>
          <w:szCs w:val="24"/>
          <w:lang w:eastAsia="zh-CN"/>
        </w:rPr>
        <w:sectPr>
          <w:footerReference r:id="rId21" w:type="default"/>
          <w:pgSz w:w="11906" w:h="16839"/>
          <w:pgMar w:top="1431" w:right="1318" w:bottom="1260" w:left="1423" w:header="0" w:footer="1013" w:gutter="0"/>
          <w:pgNumType w:fmt="decimal"/>
          <w:cols w:space="720" w:num="1"/>
        </w:sectPr>
      </w:pPr>
    </w:p>
    <w:p w14:paraId="564F5C01">
      <w:pPr>
        <w:spacing w:before="107" w:line="256" w:lineRule="auto"/>
        <w:ind w:firstLine="4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2.8</w:t>
      </w:r>
      <w:r>
        <w:rPr>
          <w:rFonts w:hint="eastAsia" w:asciiTheme="minorEastAsia" w:hAnsiTheme="minorEastAsia" w:eastAsiaTheme="minorEastAsia" w:cstheme="minorEastAsia"/>
          <w:color w:val="000000" w:themeColor="text1"/>
          <w:spacing w:val="-2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除招标文件另有规定外，对于贵单位按照下述联络方式发出的任何信息或通知，</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均视为我方已收悉前述信息或通知的全部内容：</w:t>
      </w:r>
    </w:p>
    <w:p w14:paraId="17B0A136">
      <w:pPr>
        <w:spacing w:before="94" w:line="219" w:lineRule="auto"/>
        <w:ind w:left="4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通信地址：</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9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邮编：</w:t>
      </w:r>
      <w:r>
        <w:rPr>
          <w:rFonts w:hint="eastAsia" w:asciiTheme="minorEastAsia" w:hAnsiTheme="minorEastAsia" w:eastAsiaTheme="minorEastAsia" w:cstheme="minorEastAsia"/>
          <w:color w:val="000000" w:themeColor="text1"/>
          <w:sz w:val="24"/>
          <w:szCs w:val="24"/>
          <w:u w:val="single"/>
          <w:lang w:eastAsia="zh-CN"/>
        </w:rPr>
        <w:t xml:space="preserve">              </w:t>
      </w:r>
    </w:p>
    <w:p w14:paraId="413B4115">
      <w:pPr>
        <w:spacing w:before="95" w:line="219" w:lineRule="auto"/>
        <w:ind w:left="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联系方法</w:t>
      </w:r>
      <w:r>
        <w:rPr>
          <w:rFonts w:hint="eastAsia" w:asciiTheme="minorEastAsia" w:hAnsiTheme="minorEastAsia" w:eastAsiaTheme="minorEastAsia" w:cstheme="minorEastAsia"/>
          <w:color w:val="000000" w:themeColor="text1"/>
          <w:spacing w:val="-18"/>
          <w:sz w:val="24"/>
          <w:szCs w:val="24"/>
          <w:lang w:eastAsia="zh-CN"/>
        </w:rPr>
        <w:t>：</w:t>
      </w:r>
      <w:r>
        <w:rPr>
          <w:rFonts w:hint="eastAsia" w:asciiTheme="minorEastAsia" w:hAnsiTheme="minorEastAsia" w:eastAsiaTheme="minorEastAsia" w:cstheme="minorEastAsia"/>
          <w:color w:val="000000" w:themeColor="text1"/>
          <w:spacing w:val="-18"/>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包括但不限于：联系人、联系电话、手机、</w:t>
      </w:r>
      <w:r>
        <w:rPr>
          <w:rFonts w:hint="eastAsia" w:asciiTheme="minorEastAsia" w:hAnsiTheme="minorEastAsia" w:eastAsiaTheme="minorEastAsia" w:cstheme="minorEastAsia"/>
          <w:color w:val="000000" w:themeColor="text1"/>
          <w:sz w:val="24"/>
          <w:szCs w:val="24"/>
          <w:u w:val="single"/>
          <w:lang w:eastAsia="zh-CN"/>
        </w:rPr>
        <w:t>传真、电子邮箱等）</w:t>
      </w:r>
    </w:p>
    <w:p w14:paraId="409DF628">
      <w:pPr>
        <w:spacing w:before="94" w:line="219" w:lineRule="auto"/>
        <w:ind w:left="4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26A50248">
      <w:pPr>
        <w:spacing w:before="95" w:line="219" w:lineRule="auto"/>
        <w:ind w:left="4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035CE459">
      <w:pPr>
        <w:spacing w:before="97" w:line="219" w:lineRule="auto"/>
        <w:ind w:left="46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pacing w:val="24"/>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0817123A">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2" w:type="default"/>
          <w:pgSz w:w="11906" w:h="16839"/>
          <w:pgMar w:top="1431" w:right="1356" w:bottom="1260" w:left="1426" w:header="0" w:footer="1013" w:gutter="0"/>
          <w:pgNumType w:fmt="decimal"/>
          <w:cols w:space="720" w:num="1"/>
        </w:sectPr>
      </w:pPr>
    </w:p>
    <w:p w14:paraId="7E2D08C0">
      <w:pPr>
        <w:spacing w:before="108" w:line="758" w:lineRule="exact"/>
        <w:ind w:left="295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position w:val="40"/>
          <w:sz w:val="24"/>
          <w:szCs w:val="24"/>
          <w:lang w:eastAsia="zh-CN"/>
        </w:rPr>
        <w:t>2、投标人的资格及资信证明文件</w:t>
      </w:r>
    </w:p>
    <w:p w14:paraId="13114077">
      <w:pPr>
        <w:spacing w:line="218" w:lineRule="auto"/>
        <w:ind w:left="304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2-1</w:t>
      </w:r>
      <w:r>
        <w:rPr>
          <w:rFonts w:hint="eastAsia" w:asciiTheme="minorEastAsia" w:hAnsiTheme="minorEastAsia" w:eastAsiaTheme="minorEastAsia" w:cstheme="minorEastAsia"/>
          <w:color w:val="000000" w:themeColor="text1"/>
          <w:spacing w:val="-40"/>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单位负责人授权书（若有）</w:t>
      </w:r>
    </w:p>
    <w:p w14:paraId="514CB28F">
      <w:pPr>
        <w:spacing w:before="78" w:line="220" w:lineRule="auto"/>
        <w:ind w:left="16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210B4CAD">
      <w:pPr>
        <w:tabs>
          <w:tab w:val="left" w:pos="9215"/>
        </w:tabs>
        <w:spacing w:before="92" w:line="278" w:lineRule="auto"/>
        <w:ind w:left="165" w:firstLine="421"/>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我方的单位负责人</w:t>
      </w:r>
      <w:r>
        <w:rPr>
          <w:rFonts w:hint="eastAsia" w:asciiTheme="minorEastAsia" w:hAnsiTheme="minorEastAsia" w:eastAsiaTheme="minorEastAsia" w:cstheme="minorEastAsia"/>
          <w:color w:val="000000" w:themeColor="text1"/>
          <w:spacing w:val="-6"/>
          <w:sz w:val="24"/>
          <w:szCs w:val="24"/>
          <w:u w:val="single"/>
          <w:lang w:eastAsia="zh-CN"/>
        </w:rPr>
        <w:t>（填写“单位负责人全名</w:t>
      </w:r>
      <w:r>
        <w:rPr>
          <w:rFonts w:hint="eastAsia" w:asciiTheme="minorEastAsia" w:hAnsiTheme="minorEastAsia" w:eastAsiaTheme="minorEastAsia" w:cstheme="minorEastAsia"/>
          <w:color w:val="000000" w:themeColor="text1"/>
          <w:spacing w:val="-85"/>
          <w:sz w:val="24"/>
          <w:szCs w:val="24"/>
          <w:u w:val="single"/>
          <w:lang w:eastAsia="zh-CN"/>
        </w:rPr>
        <w:t xml:space="preserve"> </w:t>
      </w:r>
      <w:r>
        <w:rPr>
          <w:rFonts w:hint="eastAsia" w:asciiTheme="minorEastAsia" w:hAnsiTheme="minorEastAsia" w:eastAsiaTheme="minorEastAsia" w:cstheme="minorEastAsia"/>
          <w:color w:val="000000" w:themeColor="text1"/>
          <w:spacing w:val="-6"/>
          <w:sz w:val="24"/>
          <w:szCs w:val="24"/>
          <w:u w:val="single"/>
          <w:lang w:eastAsia="zh-CN"/>
        </w:rPr>
        <w:t>”）</w:t>
      </w:r>
      <w:r>
        <w:rPr>
          <w:rFonts w:hint="eastAsia" w:asciiTheme="minorEastAsia" w:hAnsiTheme="minorEastAsia" w:eastAsiaTheme="minorEastAsia" w:cstheme="minorEastAsia"/>
          <w:color w:val="000000" w:themeColor="text1"/>
          <w:spacing w:val="-6"/>
          <w:sz w:val="24"/>
          <w:szCs w:val="24"/>
          <w:lang w:eastAsia="zh-CN"/>
        </w:rPr>
        <w:t>授权</w:t>
      </w:r>
      <w:r>
        <w:rPr>
          <w:rFonts w:hint="eastAsia" w:asciiTheme="minorEastAsia" w:hAnsiTheme="minorEastAsia" w:eastAsiaTheme="minorEastAsia" w:cstheme="minorEastAsia"/>
          <w:color w:val="000000" w:themeColor="text1"/>
          <w:spacing w:val="-6"/>
          <w:sz w:val="24"/>
          <w:szCs w:val="24"/>
          <w:u w:val="single"/>
          <w:lang w:eastAsia="zh-CN"/>
        </w:rPr>
        <w:t>（填写“投标人代表全名</w:t>
      </w:r>
      <w:r>
        <w:rPr>
          <w:rFonts w:hint="eastAsia" w:asciiTheme="minorEastAsia" w:hAnsiTheme="minorEastAsia" w:eastAsiaTheme="minorEastAsia" w:cstheme="minorEastAsia"/>
          <w:color w:val="000000" w:themeColor="text1"/>
          <w:spacing w:val="-88"/>
          <w:sz w:val="24"/>
          <w:szCs w:val="24"/>
          <w:u w:val="single"/>
          <w:lang w:eastAsia="zh-CN"/>
        </w:rPr>
        <w:t xml:space="preserve"> </w:t>
      </w:r>
      <w:r>
        <w:rPr>
          <w:rFonts w:hint="eastAsia" w:asciiTheme="minorEastAsia" w:hAnsiTheme="minorEastAsia" w:eastAsiaTheme="minorEastAsia" w:cstheme="minorEastAsia"/>
          <w:color w:val="000000" w:themeColor="text1"/>
          <w:spacing w:val="-6"/>
          <w:sz w:val="24"/>
          <w:szCs w:val="24"/>
          <w:u w:val="single"/>
          <w:lang w:eastAsia="zh-CN"/>
        </w:rPr>
        <w:t>”）</w:t>
      </w: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0"/>
          <w:sz w:val="24"/>
          <w:szCs w:val="24"/>
          <w:lang w:eastAsia="zh-CN"/>
        </w:rPr>
        <w:t>为投标人代表，代表我方参加</w:t>
      </w:r>
      <w:r>
        <w:rPr>
          <w:rFonts w:hint="eastAsia" w:asciiTheme="minorEastAsia" w:hAnsiTheme="minorEastAsia" w:eastAsiaTheme="minorEastAsia" w:cstheme="minorEastAsia"/>
          <w:color w:val="000000" w:themeColor="text1"/>
          <w:spacing w:val="-20"/>
          <w:sz w:val="24"/>
          <w:szCs w:val="24"/>
          <w:u w:val="single"/>
          <w:lang w:eastAsia="zh-CN"/>
        </w:rPr>
        <w:t>（填写“项目名称</w:t>
      </w:r>
      <w:r>
        <w:rPr>
          <w:rFonts w:hint="eastAsia" w:asciiTheme="minorEastAsia" w:hAnsiTheme="minorEastAsia" w:eastAsiaTheme="minorEastAsia" w:cstheme="minorEastAsia"/>
          <w:color w:val="000000" w:themeColor="text1"/>
          <w:spacing w:val="-88"/>
          <w:sz w:val="24"/>
          <w:szCs w:val="24"/>
          <w:u w:val="single"/>
          <w:lang w:eastAsia="zh-CN"/>
        </w:rPr>
        <w:t xml:space="preserve"> </w:t>
      </w:r>
      <w:r>
        <w:rPr>
          <w:rFonts w:hint="eastAsia" w:asciiTheme="minorEastAsia" w:hAnsiTheme="minorEastAsia" w:eastAsiaTheme="minorEastAsia" w:cstheme="minorEastAsia"/>
          <w:color w:val="000000" w:themeColor="text1"/>
          <w:spacing w:val="-20"/>
          <w:sz w:val="24"/>
          <w:szCs w:val="24"/>
          <w:u w:val="single"/>
          <w:lang w:eastAsia="zh-CN"/>
        </w:rPr>
        <w:t>”）</w:t>
      </w:r>
      <w:r>
        <w:rPr>
          <w:rFonts w:hint="eastAsia" w:asciiTheme="minorEastAsia" w:hAnsiTheme="minorEastAsia" w:eastAsiaTheme="minorEastAsia" w:cstheme="minorEastAsia"/>
          <w:color w:val="000000" w:themeColor="text1"/>
          <w:spacing w:val="-20"/>
          <w:sz w:val="24"/>
          <w:szCs w:val="24"/>
          <w:lang w:eastAsia="zh-CN"/>
        </w:rPr>
        <w:t>项目（招标编号</w:t>
      </w:r>
      <w:r>
        <w:rPr>
          <w:rFonts w:hint="eastAsia" w:asciiTheme="minorEastAsia" w:hAnsiTheme="minorEastAsia" w:eastAsiaTheme="minorEastAsia" w:cstheme="minorEastAsia"/>
          <w:color w:val="000000" w:themeColor="text1"/>
          <w:spacing w:val="-56"/>
          <w:sz w:val="24"/>
          <w:szCs w:val="24"/>
          <w:lang w:eastAsia="zh-CN"/>
        </w:rPr>
        <w:t>：</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56"/>
          <w:sz w:val="24"/>
          <w:szCs w:val="24"/>
          <w:lang w:eastAsia="zh-CN"/>
        </w:rPr>
        <w:t>）</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 xml:space="preserve">的投标，全权代表我方处理投标过程的一切事宜，包括但不限于：投标、参加开标、谈 判、澄清、签约等。投标人代表在投标过程中所签署的一切文件和处理与之有关的一切 </w:t>
      </w:r>
      <w:r>
        <w:rPr>
          <w:rFonts w:hint="eastAsia" w:asciiTheme="minorEastAsia" w:hAnsiTheme="minorEastAsia" w:eastAsiaTheme="minorEastAsia" w:cstheme="minorEastAsia"/>
          <w:color w:val="000000" w:themeColor="text1"/>
          <w:spacing w:val="-1"/>
          <w:sz w:val="24"/>
          <w:szCs w:val="24"/>
          <w:lang w:eastAsia="zh-CN"/>
        </w:rPr>
        <w:t>事务，我方均予以认可并对此承担责任。</w:t>
      </w:r>
    </w:p>
    <w:p w14:paraId="3EFB4406">
      <w:pPr>
        <w:spacing w:before="95" w:line="219" w:lineRule="auto"/>
        <w:ind w:left="58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投标人代表无转委权。特此授权。</w:t>
      </w:r>
    </w:p>
    <w:p w14:paraId="0EED3F26">
      <w:pPr>
        <w:pStyle w:val="8"/>
        <w:spacing w:line="395" w:lineRule="auto"/>
        <w:rPr>
          <w:rFonts w:hint="eastAsia" w:asciiTheme="minorEastAsia" w:hAnsiTheme="minorEastAsia" w:eastAsiaTheme="minorEastAsia" w:cstheme="minorEastAsia"/>
          <w:color w:val="000000" w:themeColor="text1"/>
          <w:lang w:eastAsia="zh-CN"/>
        </w:rPr>
      </w:pPr>
    </w:p>
    <w:p w14:paraId="3D73B637">
      <w:pPr>
        <w:spacing w:before="78" w:line="220" w:lineRule="auto"/>
        <w:ind w:left="375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（以下无正文）</w:t>
      </w:r>
    </w:p>
    <w:p w14:paraId="1A226B68">
      <w:pPr>
        <w:spacing w:before="94" w:line="255" w:lineRule="auto"/>
        <w:ind w:left="167" w:right="29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单位负责人：</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4"/>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身份</w:t>
      </w:r>
      <w:r>
        <w:rPr>
          <w:rFonts w:hint="eastAsia" w:asciiTheme="minorEastAsia" w:hAnsiTheme="minorEastAsia" w:eastAsiaTheme="minorEastAsia" w:cstheme="minorEastAsia"/>
          <w:color w:val="000000" w:themeColor="text1"/>
          <w:spacing w:val="-1"/>
          <w:sz w:val="24"/>
          <w:szCs w:val="24"/>
          <w:lang w:eastAsia="zh-CN"/>
        </w:rPr>
        <w:t>证号：</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11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手机：</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投标人代表：</w:t>
      </w:r>
      <w:r>
        <w:rPr>
          <w:rFonts w:hint="eastAsia" w:asciiTheme="minorEastAsia" w:hAnsiTheme="minorEastAsia" w:eastAsiaTheme="minorEastAsia" w:cstheme="minorEastAsia"/>
          <w:color w:val="000000" w:themeColor="text1"/>
          <w:spacing w:val="-3"/>
          <w:sz w:val="24"/>
          <w:szCs w:val="24"/>
          <w:u w:val="single"/>
          <w:lang w:eastAsia="zh-CN"/>
        </w:rPr>
        <w:t xml:space="preserve">              </w:t>
      </w:r>
      <w:r>
        <w:rPr>
          <w:rFonts w:hint="eastAsia" w:asciiTheme="minorEastAsia" w:hAnsiTheme="minorEastAsia" w:eastAsiaTheme="minorEastAsia" w:cstheme="minorEastAsia"/>
          <w:color w:val="000000" w:themeColor="text1"/>
          <w:spacing w:val="-9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身份证号：</w:t>
      </w:r>
      <w:r>
        <w:rPr>
          <w:rFonts w:hint="eastAsia" w:asciiTheme="minorEastAsia" w:hAnsiTheme="minorEastAsia" w:eastAsiaTheme="minorEastAsia" w:cstheme="minorEastAsia"/>
          <w:color w:val="000000" w:themeColor="text1"/>
          <w:spacing w:val="-3"/>
          <w:sz w:val="24"/>
          <w:szCs w:val="24"/>
          <w:u w:val="single"/>
          <w:lang w:eastAsia="zh-CN"/>
        </w:rPr>
        <w:t xml:space="preserve">          </w:t>
      </w:r>
      <w:r>
        <w:rPr>
          <w:rFonts w:hint="eastAsia" w:asciiTheme="minorEastAsia" w:hAnsiTheme="minorEastAsia" w:eastAsiaTheme="minorEastAsia" w:cstheme="minorEastAsia"/>
          <w:color w:val="000000" w:themeColor="text1"/>
          <w:spacing w:val="-11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手机：</w:t>
      </w:r>
      <w:r>
        <w:rPr>
          <w:rFonts w:hint="eastAsia" w:asciiTheme="minorEastAsia" w:hAnsiTheme="minorEastAsia" w:eastAsiaTheme="minorEastAsia" w:cstheme="minorEastAsia"/>
          <w:color w:val="000000" w:themeColor="text1"/>
          <w:spacing w:val="-3"/>
          <w:sz w:val="24"/>
          <w:szCs w:val="24"/>
          <w:u w:val="single"/>
          <w:lang w:eastAsia="zh-CN"/>
        </w:rPr>
        <w:t xml:space="preserve">                   </w:t>
      </w:r>
    </w:p>
    <w:p w14:paraId="547B31E2">
      <w:pPr>
        <w:pStyle w:val="8"/>
        <w:spacing w:line="396" w:lineRule="auto"/>
        <w:rPr>
          <w:rFonts w:hint="eastAsia" w:asciiTheme="minorEastAsia" w:hAnsiTheme="minorEastAsia" w:eastAsiaTheme="minorEastAsia" w:cstheme="minorEastAsia"/>
          <w:color w:val="000000" w:themeColor="text1"/>
          <w:lang w:eastAsia="zh-CN"/>
        </w:rPr>
      </w:pPr>
    </w:p>
    <w:p w14:paraId="7F810D77">
      <w:pPr>
        <w:spacing w:before="78" w:line="219" w:lineRule="auto"/>
        <w:ind w:left="16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授权方</w:t>
      </w:r>
    </w:p>
    <w:p w14:paraId="4217B5DA">
      <w:pPr>
        <w:spacing w:before="94" w:line="219" w:lineRule="auto"/>
        <w:ind w:left="16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7BC9D065">
      <w:pPr>
        <w:spacing w:before="97" w:line="219" w:lineRule="auto"/>
        <w:ind w:left="16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单位负责人签字或盖章：</w:t>
      </w:r>
      <w:r>
        <w:rPr>
          <w:rFonts w:hint="eastAsia" w:asciiTheme="minorEastAsia" w:hAnsiTheme="minorEastAsia" w:eastAsiaTheme="minorEastAsia" w:cstheme="minorEastAsia"/>
          <w:color w:val="000000" w:themeColor="text1"/>
          <w:sz w:val="24"/>
          <w:szCs w:val="24"/>
          <w:u w:val="single"/>
          <w:lang w:eastAsia="zh-CN"/>
        </w:rPr>
        <w:t xml:space="preserve">                                      </w:t>
      </w:r>
    </w:p>
    <w:p w14:paraId="65CB431C">
      <w:pPr>
        <w:pStyle w:val="8"/>
        <w:spacing w:line="394" w:lineRule="auto"/>
        <w:rPr>
          <w:rFonts w:hint="eastAsia" w:asciiTheme="minorEastAsia" w:hAnsiTheme="minorEastAsia" w:eastAsiaTheme="minorEastAsia" w:cstheme="minorEastAsia"/>
          <w:color w:val="000000" w:themeColor="text1"/>
          <w:lang w:eastAsia="zh-CN"/>
        </w:rPr>
      </w:pPr>
    </w:p>
    <w:p w14:paraId="2B211A8B">
      <w:pPr>
        <w:spacing w:before="78" w:line="219" w:lineRule="auto"/>
        <w:ind w:left="16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接受授权方</w:t>
      </w:r>
    </w:p>
    <w:p w14:paraId="551B9071">
      <w:pPr>
        <w:spacing w:before="97" w:line="219" w:lineRule="auto"/>
        <w:ind w:left="16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3DBA2F88">
      <w:pPr>
        <w:pStyle w:val="8"/>
        <w:spacing w:line="393" w:lineRule="auto"/>
        <w:rPr>
          <w:rFonts w:hint="eastAsia" w:asciiTheme="minorEastAsia" w:hAnsiTheme="minorEastAsia" w:eastAsiaTheme="minorEastAsia" w:cstheme="minorEastAsia"/>
          <w:color w:val="000000" w:themeColor="text1"/>
          <w:lang w:eastAsia="zh-CN"/>
        </w:rPr>
      </w:pPr>
    </w:p>
    <w:p w14:paraId="52BA4FDB">
      <w:pPr>
        <w:spacing w:before="78" w:line="219" w:lineRule="auto"/>
        <w:ind w:left="49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签署日期：</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102"/>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年</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日</w:t>
      </w:r>
    </w:p>
    <w:p w14:paraId="2437C015">
      <w:pPr>
        <w:pStyle w:val="8"/>
        <w:spacing w:line="257" w:lineRule="auto"/>
        <w:rPr>
          <w:rFonts w:hint="eastAsia" w:asciiTheme="minorEastAsia" w:hAnsiTheme="minorEastAsia" w:eastAsiaTheme="minorEastAsia" w:cstheme="minorEastAsia"/>
          <w:color w:val="000000" w:themeColor="text1"/>
          <w:lang w:eastAsia="zh-CN"/>
        </w:rPr>
      </w:pPr>
    </w:p>
    <w:p w14:paraId="2C51D79A">
      <w:pPr>
        <w:pStyle w:val="8"/>
        <w:spacing w:line="257" w:lineRule="auto"/>
        <w:rPr>
          <w:rFonts w:hint="eastAsia" w:asciiTheme="minorEastAsia" w:hAnsiTheme="minorEastAsia" w:eastAsiaTheme="minorEastAsia" w:cstheme="minorEastAsia"/>
          <w:color w:val="000000" w:themeColor="text1"/>
          <w:lang w:eastAsia="zh-CN"/>
        </w:rPr>
      </w:pPr>
    </w:p>
    <w:p w14:paraId="745B6612">
      <w:pPr>
        <w:pStyle w:val="8"/>
        <w:spacing w:line="257" w:lineRule="auto"/>
        <w:rPr>
          <w:rFonts w:hint="eastAsia" w:asciiTheme="minorEastAsia" w:hAnsiTheme="minorEastAsia" w:eastAsiaTheme="minorEastAsia" w:cstheme="minorEastAsia"/>
          <w:color w:val="000000" w:themeColor="text1"/>
          <w:lang w:eastAsia="zh-CN"/>
        </w:rPr>
      </w:pPr>
    </w:p>
    <w:p w14:paraId="53400688">
      <w:pPr>
        <w:spacing w:before="79" w:line="217" w:lineRule="auto"/>
        <w:ind w:left="18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附：单位负责人、投标人代表的身份证正反面复印件</w:t>
      </w:r>
    </w:p>
    <w:tbl>
      <w:tblPr>
        <w:tblStyle w:val="24"/>
        <w:tblW w:w="8519" w:type="dxa"/>
        <w:tblInd w:w="7" w:type="dxa"/>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Layout w:type="fixed"/>
        <w:tblCellMar>
          <w:top w:w="0" w:type="dxa"/>
          <w:left w:w="0" w:type="dxa"/>
          <w:bottom w:w="0" w:type="dxa"/>
          <w:right w:w="0" w:type="dxa"/>
        </w:tblCellMar>
      </w:tblPr>
      <w:tblGrid>
        <w:gridCol w:w="8519"/>
      </w:tblGrid>
      <w:tr w14:paraId="29F85ED0">
        <w:tblPrEx>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CellMar>
            <w:top w:w="0" w:type="dxa"/>
            <w:left w:w="0" w:type="dxa"/>
            <w:bottom w:w="0" w:type="dxa"/>
            <w:right w:w="0" w:type="dxa"/>
          </w:tblCellMar>
        </w:tblPrEx>
        <w:trPr>
          <w:trHeight w:val="849" w:hRule="atLeast"/>
        </w:trPr>
        <w:tc>
          <w:tcPr>
            <w:tcW w:w="8519" w:type="dxa"/>
          </w:tcPr>
          <w:p w14:paraId="3A4C95B0">
            <w:pPr>
              <w:spacing w:line="443" w:lineRule="auto"/>
              <w:rPr>
                <w:rFonts w:hint="eastAsia" w:asciiTheme="minorEastAsia" w:hAnsiTheme="minorEastAsia" w:eastAsiaTheme="minorEastAsia" w:cstheme="minorEastAsia"/>
                <w:color w:val="000000" w:themeColor="text1"/>
                <w:lang w:eastAsia="zh-CN"/>
              </w:rPr>
            </w:pPr>
          </w:p>
          <w:p w14:paraId="0A609086">
            <w:pPr>
              <w:pStyle w:val="25"/>
              <w:spacing w:before="78" w:line="219" w:lineRule="auto"/>
              <w:ind w:left="1853"/>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b/>
                <w:bCs/>
                <w:color w:val="000000" w:themeColor="text1"/>
                <w:spacing w:val="-3"/>
                <w:lang w:eastAsia="zh-CN"/>
              </w:rPr>
              <w:t>要求：真实有效且内容完整、清晰、整洁。</w:t>
            </w:r>
          </w:p>
        </w:tc>
      </w:tr>
    </w:tbl>
    <w:p w14:paraId="591BA8D8">
      <w:pPr>
        <w:pStyle w:val="8"/>
        <w:spacing w:line="399" w:lineRule="auto"/>
        <w:rPr>
          <w:rFonts w:hint="eastAsia" w:asciiTheme="minorEastAsia" w:hAnsiTheme="minorEastAsia" w:eastAsiaTheme="minorEastAsia" w:cstheme="minorEastAsia"/>
          <w:color w:val="000000" w:themeColor="text1"/>
          <w:lang w:eastAsia="zh-CN"/>
        </w:rPr>
      </w:pPr>
    </w:p>
    <w:p w14:paraId="2F70FC8D">
      <w:pPr>
        <w:spacing w:before="78" w:line="224" w:lineRule="auto"/>
        <w:ind w:left="16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2657324E">
      <w:pPr>
        <w:spacing w:before="88" w:line="256" w:lineRule="auto"/>
        <w:ind w:left="165" w:right="166" w:firstLine="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1、“单位负责人</w:t>
      </w:r>
      <w:r>
        <w:rPr>
          <w:rFonts w:hint="eastAsia" w:asciiTheme="minorEastAsia" w:hAnsiTheme="minorEastAsia" w:eastAsiaTheme="minorEastAsia" w:cstheme="minorEastAsia"/>
          <w:color w:val="000000" w:themeColor="text1"/>
          <w:spacing w:val="-74"/>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”指</w:t>
      </w:r>
      <w:r>
        <w:rPr>
          <w:rFonts w:hint="eastAsia" w:asciiTheme="minorEastAsia" w:hAnsiTheme="minorEastAsia" w:eastAsiaTheme="minorEastAsia" w:cstheme="minorEastAsia"/>
          <w:b/>
          <w:bCs/>
          <w:color w:val="000000" w:themeColor="text1"/>
          <w:spacing w:val="-3"/>
          <w:sz w:val="24"/>
          <w:szCs w:val="24"/>
          <w:lang w:eastAsia="zh-CN"/>
        </w:rPr>
        <w:t>法定代表人</w:t>
      </w:r>
      <w:r>
        <w:rPr>
          <w:rFonts w:hint="eastAsia" w:asciiTheme="minorEastAsia" w:hAnsiTheme="minorEastAsia" w:eastAsiaTheme="minorEastAsia" w:cstheme="minorEastAsia"/>
          <w:color w:val="000000" w:themeColor="text1"/>
          <w:spacing w:val="-3"/>
          <w:sz w:val="24"/>
          <w:szCs w:val="24"/>
          <w:lang w:eastAsia="zh-CN"/>
        </w:rPr>
        <w:t>，即与实际提交的“营业执照等证明文件</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”载明的一</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致。</w:t>
      </w:r>
    </w:p>
    <w:p w14:paraId="1743731F">
      <w:pPr>
        <w:spacing w:before="96" w:line="255" w:lineRule="auto"/>
        <w:ind w:left="167" w:right="17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2、若投标人代表为单位负责人授权的委托代理人，应</w:t>
      </w:r>
      <w:r>
        <w:rPr>
          <w:rFonts w:hint="eastAsia" w:asciiTheme="minorEastAsia" w:hAnsiTheme="minorEastAsia" w:eastAsiaTheme="minorEastAsia" w:cstheme="minorEastAsia"/>
          <w:color w:val="000000" w:themeColor="text1"/>
          <w:spacing w:val="-1"/>
          <w:sz w:val="24"/>
          <w:szCs w:val="24"/>
          <w:lang w:eastAsia="zh-CN"/>
        </w:rPr>
        <w:t>提供本授权书；若投标人代表为</w:t>
      </w:r>
      <w:r>
        <w:rPr>
          <w:rFonts w:hint="eastAsia" w:asciiTheme="minorEastAsia" w:hAnsiTheme="minorEastAsia" w:eastAsiaTheme="minorEastAsia" w:cstheme="minorEastAsia"/>
          <w:color w:val="000000" w:themeColor="text1"/>
          <w:sz w:val="24"/>
          <w:szCs w:val="24"/>
          <w:lang w:eastAsia="zh-CN"/>
        </w:rPr>
        <w:t xml:space="preserve"> 单位负责人，应在此项下提交其身份证正反面</w:t>
      </w:r>
      <w:r>
        <w:rPr>
          <w:rFonts w:hint="eastAsia" w:asciiTheme="minorEastAsia" w:hAnsiTheme="minorEastAsia" w:eastAsiaTheme="minorEastAsia" w:cstheme="minorEastAsia"/>
          <w:color w:val="000000" w:themeColor="text1"/>
          <w:spacing w:val="-1"/>
          <w:sz w:val="24"/>
          <w:szCs w:val="24"/>
          <w:lang w:eastAsia="zh-CN"/>
        </w:rPr>
        <w:t>复印件，可不提供本授权书。</w:t>
      </w:r>
    </w:p>
    <w:p w14:paraId="43EC8213">
      <w:pPr>
        <w:spacing w:before="95" w:line="219" w:lineRule="auto"/>
        <w:ind w:left="17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3、纸质投标文件正本中的本授权书（若有）应为原件。</w:t>
      </w:r>
    </w:p>
    <w:p w14:paraId="6C123B86">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3" w:type="default"/>
          <w:pgSz w:w="11906" w:h="16839"/>
          <w:pgMar w:top="1431" w:right="1318" w:bottom="1260" w:left="1259" w:header="0" w:footer="1013" w:gutter="0"/>
          <w:pgNumType w:fmt="decimal"/>
          <w:cols w:space="720" w:num="1"/>
        </w:sectPr>
      </w:pPr>
    </w:p>
    <w:p w14:paraId="3632451C">
      <w:pPr>
        <w:spacing w:before="108" w:line="219" w:lineRule="auto"/>
        <w:ind w:left="324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2-2</w:t>
      </w:r>
      <w:r>
        <w:rPr>
          <w:rFonts w:hint="eastAsia" w:asciiTheme="minorEastAsia" w:hAnsiTheme="minorEastAsia" w:eastAsiaTheme="minorEastAsia" w:cstheme="minorEastAsia"/>
          <w:color w:val="000000" w:themeColor="text1"/>
          <w:spacing w:val="-34"/>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营业执照等证明文件</w:t>
      </w:r>
    </w:p>
    <w:p w14:paraId="36E1E42A">
      <w:pPr>
        <w:pStyle w:val="8"/>
        <w:spacing w:line="392" w:lineRule="auto"/>
        <w:rPr>
          <w:rFonts w:hint="eastAsia" w:asciiTheme="minorEastAsia" w:hAnsiTheme="minorEastAsia" w:eastAsiaTheme="minorEastAsia" w:cstheme="minorEastAsia"/>
          <w:color w:val="000000" w:themeColor="text1"/>
          <w:lang w:eastAsia="zh-CN"/>
        </w:rPr>
      </w:pPr>
    </w:p>
    <w:p w14:paraId="5567471B">
      <w:pPr>
        <w:spacing w:before="78"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致：</w:t>
      </w:r>
      <w:r>
        <w:rPr>
          <w:rFonts w:hint="eastAsia" w:asciiTheme="minorEastAsia" w:hAnsiTheme="minorEastAsia" w:eastAsiaTheme="minorEastAsia" w:cstheme="minorEastAsia"/>
          <w:color w:val="000000" w:themeColor="text1"/>
          <w:spacing w:val="-3"/>
          <w:sz w:val="24"/>
          <w:szCs w:val="24"/>
          <w:u w:val="single"/>
          <w:lang w:eastAsia="zh-CN"/>
        </w:rPr>
        <w:t xml:space="preserve">                                           </w:t>
      </w:r>
    </w:p>
    <w:p w14:paraId="340ACF9D">
      <w:pPr>
        <w:spacing w:before="95" w:line="255" w:lineRule="auto"/>
        <w:ind w:left="4" w:firstLine="4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现附上由</w:t>
      </w:r>
      <w:r>
        <w:rPr>
          <w:rFonts w:hint="eastAsia" w:asciiTheme="minorEastAsia" w:hAnsiTheme="minorEastAsia" w:eastAsiaTheme="minorEastAsia" w:cstheme="minorEastAsia"/>
          <w:color w:val="000000" w:themeColor="text1"/>
          <w:spacing w:val="-1"/>
          <w:sz w:val="24"/>
          <w:szCs w:val="24"/>
          <w:u w:val="single"/>
          <w:lang w:eastAsia="zh-CN"/>
        </w:rPr>
        <w:t>（填写“签发机关全称</w:t>
      </w:r>
      <w:r>
        <w:rPr>
          <w:rFonts w:hint="eastAsia" w:asciiTheme="minorEastAsia" w:hAnsiTheme="minorEastAsia" w:eastAsiaTheme="minorEastAsia" w:cstheme="minorEastAsia"/>
          <w:color w:val="000000" w:themeColor="text1"/>
          <w:spacing w:val="-88"/>
          <w:sz w:val="24"/>
          <w:szCs w:val="24"/>
          <w:u w:val="single"/>
          <w:lang w:eastAsia="zh-CN"/>
        </w:rPr>
        <w:t xml:space="preserve"> </w:t>
      </w:r>
      <w:r>
        <w:rPr>
          <w:rFonts w:hint="eastAsia" w:asciiTheme="minorEastAsia" w:hAnsiTheme="minorEastAsia" w:eastAsiaTheme="minorEastAsia" w:cstheme="minorEastAsia"/>
          <w:color w:val="000000" w:themeColor="text1"/>
          <w:spacing w:val="-1"/>
          <w:sz w:val="24"/>
          <w:szCs w:val="24"/>
          <w:u w:val="single"/>
          <w:lang w:eastAsia="zh-CN"/>
        </w:rPr>
        <w:t>”）</w:t>
      </w:r>
      <w:r>
        <w:rPr>
          <w:rFonts w:hint="eastAsia" w:asciiTheme="minorEastAsia" w:hAnsiTheme="minorEastAsia" w:eastAsiaTheme="minorEastAsia" w:cstheme="minorEastAsia"/>
          <w:color w:val="000000" w:themeColor="text1"/>
          <w:spacing w:val="-1"/>
          <w:sz w:val="24"/>
          <w:szCs w:val="24"/>
          <w:lang w:eastAsia="zh-CN"/>
        </w:rPr>
        <w:t>签发的我方统一社会信用</w:t>
      </w:r>
      <w:r>
        <w:rPr>
          <w:rFonts w:hint="eastAsia" w:asciiTheme="minorEastAsia" w:hAnsiTheme="minorEastAsia" w:eastAsiaTheme="minorEastAsia" w:cstheme="minorEastAsia"/>
          <w:color w:val="000000" w:themeColor="text1"/>
          <w:spacing w:val="-2"/>
          <w:sz w:val="24"/>
          <w:szCs w:val="24"/>
          <w:lang w:eastAsia="zh-CN"/>
        </w:rPr>
        <w:t>代码</w:t>
      </w:r>
      <w:r>
        <w:rPr>
          <w:rFonts w:hint="eastAsia" w:asciiTheme="minorEastAsia" w:hAnsiTheme="minorEastAsia" w:eastAsiaTheme="minorEastAsia" w:cstheme="minorEastAsia"/>
          <w:color w:val="000000" w:themeColor="text1"/>
          <w:spacing w:val="-2"/>
          <w:sz w:val="24"/>
          <w:szCs w:val="24"/>
          <w:u w:val="single"/>
          <w:lang w:eastAsia="zh-CN"/>
        </w:rPr>
        <w:t>（请填写法人的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u w:val="single"/>
          <w:lang w:eastAsia="zh-CN"/>
        </w:rPr>
        <w:t>具体证照名称）</w:t>
      </w:r>
      <w:r>
        <w:rPr>
          <w:rFonts w:hint="eastAsia" w:asciiTheme="minorEastAsia" w:hAnsiTheme="minorEastAsia" w:eastAsiaTheme="minorEastAsia" w:cstheme="minorEastAsia"/>
          <w:color w:val="000000" w:themeColor="text1"/>
          <w:spacing w:val="-1"/>
          <w:sz w:val="24"/>
          <w:szCs w:val="24"/>
          <w:lang w:eastAsia="zh-CN"/>
        </w:rPr>
        <w:t>复印件，该证明材料真实有效，否则我方负全部责任。</w:t>
      </w:r>
    </w:p>
    <w:p w14:paraId="38F70469">
      <w:pPr>
        <w:pStyle w:val="8"/>
        <w:spacing w:line="395" w:lineRule="auto"/>
        <w:rPr>
          <w:rFonts w:hint="eastAsia" w:asciiTheme="minorEastAsia" w:hAnsiTheme="minorEastAsia" w:eastAsiaTheme="minorEastAsia" w:cstheme="minorEastAsia"/>
          <w:color w:val="000000" w:themeColor="text1"/>
          <w:lang w:eastAsia="zh-CN"/>
        </w:rPr>
      </w:pPr>
    </w:p>
    <w:p w14:paraId="4CFB9CDC">
      <w:pPr>
        <w:spacing w:before="79" w:line="224"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0A30E73F">
      <w:pPr>
        <w:spacing w:before="88" w:line="219"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1、投标人应提供有效的营业执照复印件。</w:t>
      </w:r>
    </w:p>
    <w:p w14:paraId="66610EE4">
      <w:pPr>
        <w:spacing w:before="95" w:line="256" w:lineRule="auto"/>
        <w:ind w:right="60" w:firstLine="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3、投标人提供的相应证明材料复印件均应符合：</w:t>
      </w:r>
      <w:r>
        <w:rPr>
          <w:rFonts w:hint="eastAsia" w:asciiTheme="minorEastAsia" w:hAnsiTheme="minorEastAsia" w:eastAsiaTheme="minorEastAsia" w:cstheme="minorEastAsia"/>
          <w:color w:val="000000" w:themeColor="text1"/>
          <w:spacing w:val="-1"/>
          <w:sz w:val="24"/>
          <w:szCs w:val="24"/>
          <w:lang w:eastAsia="zh-CN"/>
        </w:rPr>
        <w:t>内容完整、清晰、整洁，并由投标人</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加盖其单位公章。</w:t>
      </w:r>
    </w:p>
    <w:p w14:paraId="6F00244B">
      <w:pPr>
        <w:pStyle w:val="8"/>
        <w:spacing w:line="257" w:lineRule="auto"/>
        <w:rPr>
          <w:rFonts w:hint="eastAsia" w:asciiTheme="minorEastAsia" w:hAnsiTheme="minorEastAsia" w:eastAsiaTheme="minorEastAsia" w:cstheme="minorEastAsia"/>
          <w:color w:val="000000" w:themeColor="text1"/>
          <w:lang w:eastAsia="zh-CN"/>
        </w:rPr>
      </w:pPr>
    </w:p>
    <w:p w14:paraId="11D11FEC">
      <w:pPr>
        <w:pStyle w:val="8"/>
        <w:spacing w:line="257" w:lineRule="auto"/>
        <w:rPr>
          <w:rFonts w:hint="eastAsia" w:asciiTheme="minorEastAsia" w:hAnsiTheme="minorEastAsia" w:eastAsiaTheme="minorEastAsia" w:cstheme="minorEastAsia"/>
          <w:color w:val="000000" w:themeColor="text1"/>
          <w:lang w:eastAsia="zh-CN"/>
        </w:rPr>
      </w:pPr>
    </w:p>
    <w:p w14:paraId="5178B0CD">
      <w:pPr>
        <w:pStyle w:val="8"/>
        <w:spacing w:line="258" w:lineRule="auto"/>
        <w:rPr>
          <w:rFonts w:hint="eastAsia" w:asciiTheme="minorEastAsia" w:hAnsiTheme="minorEastAsia" w:eastAsiaTheme="minorEastAsia" w:cstheme="minorEastAsia"/>
          <w:color w:val="000000" w:themeColor="text1"/>
          <w:lang w:eastAsia="zh-CN"/>
        </w:rPr>
      </w:pPr>
    </w:p>
    <w:p w14:paraId="271B7C65">
      <w:pPr>
        <w:spacing w:before="79"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50F83A64">
      <w:pPr>
        <w:spacing w:before="95"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6AB3D6CF">
      <w:pPr>
        <w:spacing w:before="95" w:line="219" w:lineRule="auto"/>
        <w:ind w:left="4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2B073284">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4" w:type="default"/>
          <w:pgSz w:w="11906" w:h="16839"/>
          <w:pgMar w:top="1431" w:right="1430" w:bottom="1260" w:left="1425" w:header="0" w:footer="1013" w:gutter="0"/>
          <w:pgNumType w:fmt="decimal"/>
          <w:cols w:space="720" w:num="1"/>
        </w:sectPr>
      </w:pPr>
    </w:p>
    <w:p w14:paraId="4C7B3CB3">
      <w:pPr>
        <w:spacing w:before="108" w:line="218" w:lineRule="auto"/>
        <w:ind w:left="21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2-3</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财务状况报告（财务报告、或资信证明）</w:t>
      </w:r>
    </w:p>
    <w:p w14:paraId="7039009B">
      <w:pPr>
        <w:pStyle w:val="8"/>
        <w:spacing w:line="394" w:lineRule="auto"/>
        <w:rPr>
          <w:rFonts w:hint="eastAsia" w:asciiTheme="minorEastAsia" w:hAnsiTheme="minorEastAsia" w:eastAsiaTheme="minorEastAsia" w:cstheme="minorEastAsia"/>
          <w:color w:val="000000" w:themeColor="text1"/>
          <w:lang w:eastAsia="zh-CN"/>
        </w:rPr>
      </w:pPr>
    </w:p>
    <w:p w14:paraId="6E809914">
      <w:pPr>
        <w:spacing w:before="78" w:line="294"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致：</w:t>
      </w:r>
      <w:r>
        <w:rPr>
          <w:rFonts w:hint="eastAsia" w:asciiTheme="minorEastAsia" w:hAnsiTheme="minorEastAsia" w:eastAsiaTheme="minorEastAsia" w:cstheme="minorEastAsia"/>
          <w:color w:val="000000" w:themeColor="text1"/>
          <w:spacing w:val="-3"/>
          <w:sz w:val="24"/>
          <w:szCs w:val="24"/>
          <w:u w:val="single"/>
          <w:lang w:eastAsia="zh-CN"/>
        </w:rPr>
        <w:t xml:space="preserve">                                           </w:t>
      </w:r>
    </w:p>
    <w:p w14:paraId="54136ECC">
      <w:pPr>
        <w:spacing w:before="1" w:line="217" w:lineRule="auto"/>
        <w:ind w:left="54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29"/>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投标人提供财务报告的</w:t>
      </w:r>
    </w:p>
    <w:p w14:paraId="1574F58F">
      <w:pPr>
        <w:spacing w:before="96" w:line="268" w:lineRule="auto"/>
        <w:ind w:left="1" w:right="61" w:firstLine="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现附上我方</w:t>
      </w:r>
      <w:r>
        <w:rPr>
          <w:rFonts w:hint="eastAsia" w:asciiTheme="minorEastAsia" w:hAnsiTheme="minorEastAsia" w:eastAsiaTheme="minorEastAsia" w:cstheme="minorEastAsia"/>
          <w:color w:val="000000" w:themeColor="text1"/>
          <w:spacing w:val="-1"/>
          <w:sz w:val="24"/>
          <w:szCs w:val="24"/>
          <w:u w:val="single"/>
          <w:lang w:eastAsia="zh-CN"/>
        </w:rPr>
        <w:t>（填写“具体的年度、或月份</w:t>
      </w:r>
      <w:r>
        <w:rPr>
          <w:rFonts w:hint="eastAsia" w:asciiTheme="minorEastAsia" w:hAnsiTheme="minorEastAsia" w:eastAsiaTheme="minorEastAsia" w:cstheme="minorEastAsia"/>
          <w:color w:val="000000" w:themeColor="text1"/>
          <w:spacing w:val="-85"/>
          <w:sz w:val="24"/>
          <w:szCs w:val="24"/>
          <w:u w:val="single"/>
          <w:lang w:eastAsia="zh-CN"/>
        </w:rPr>
        <w:t xml:space="preserve"> </w:t>
      </w:r>
      <w:r>
        <w:rPr>
          <w:rFonts w:hint="eastAsia" w:asciiTheme="minorEastAsia" w:hAnsiTheme="minorEastAsia" w:eastAsiaTheme="minorEastAsia" w:cstheme="minorEastAsia"/>
          <w:color w:val="000000" w:themeColor="text1"/>
          <w:spacing w:val="-1"/>
          <w:sz w:val="24"/>
          <w:szCs w:val="24"/>
          <w:u w:val="single"/>
          <w:lang w:eastAsia="zh-CN"/>
        </w:rPr>
        <w:t>”）</w:t>
      </w:r>
      <w:r>
        <w:rPr>
          <w:rFonts w:hint="eastAsia" w:asciiTheme="minorEastAsia" w:hAnsiTheme="minorEastAsia" w:eastAsiaTheme="minorEastAsia" w:cstheme="minorEastAsia"/>
          <w:color w:val="000000" w:themeColor="text1"/>
          <w:spacing w:val="-1"/>
          <w:sz w:val="24"/>
          <w:szCs w:val="24"/>
          <w:lang w:eastAsia="zh-CN"/>
        </w:rPr>
        <w:t>财务报告复印件，包括资产负债表、</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利润表、现金流量表、所有者权益变动表（若有）及其附注（若有</w:t>
      </w:r>
      <w:r>
        <w:rPr>
          <w:rFonts w:hint="eastAsia" w:asciiTheme="minorEastAsia" w:hAnsiTheme="minorEastAsia" w:eastAsiaTheme="minorEastAsia" w:cstheme="minorEastAsia"/>
          <w:color w:val="000000" w:themeColor="text1"/>
          <w:spacing w:val="6"/>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rPr>
        <w:t>上述证明材料真</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实有效，否则我方负全部责任。</w:t>
      </w:r>
    </w:p>
    <w:p w14:paraId="7E08AD23">
      <w:pPr>
        <w:spacing w:before="93" w:line="219" w:lineRule="auto"/>
        <w:ind w:left="54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29"/>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投标人提供资信证明的</w:t>
      </w:r>
    </w:p>
    <w:p w14:paraId="1FF8A59F">
      <w:pPr>
        <w:spacing w:before="94" w:line="268" w:lineRule="auto"/>
        <w:ind w:right="72" w:firstLine="42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现附上我方银行</w:t>
      </w:r>
      <w:r>
        <w:rPr>
          <w:rFonts w:hint="eastAsia" w:asciiTheme="minorEastAsia" w:hAnsiTheme="minorEastAsia" w:eastAsiaTheme="minorEastAsia" w:cstheme="minorEastAsia"/>
          <w:color w:val="000000" w:themeColor="text1"/>
          <w:spacing w:val="-18"/>
          <w:sz w:val="24"/>
          <w:szCs w:val="24"/>
          <w:lang w:eastAsia="zh-CN"/>
        </w:rPr>
        <w:t>：</w:t>
      </w:r>
      <w:r>
        <w:rPr>
          <w:rFonts w:hint="eastAsia" w:asciiTheme="minorEastAsia" w:hAnsiTheme="minorEastAsia" w:eastAsiaTheme="minorEastAsia" w:cstheme="minorEastAsia"/>
          <w:color w:val="000000" w:themeColor="text1"/>
          <w:spacing w:val="-18"/>
          <w:sz w:val="24"/>
          <w:szCs w:val="24"/>
          <w:u w:val="single"/>
          <w:lang w:eastAsia="zh-CN"/>
        </w:rPr>
        <w:t>（</w:t>
      </w:r>
      <w:r>
        <w:rPr>
          <w:rFonts w:hint="eastAsia" w:asciiTheme="minorEastAsia" w:hAnsiTheme="minorEastAsia" w:eastAsiaTheme="minorEastAsia" w:cstheme="minorEastAsia"/>
          <w:color w:val="000000" w:themeColor="text1"/>
          <w:sz w:val="24"/>
          <w:szCs w:val="24"/>
          <w:u w:val="single"/>
          <w:lang w:eastAsia="zh-CN"/>
        </w:rPr>
        <w:t>填写“基本存款账户的开户银行全称</w:t>
      </w:r>
      <w:r>
        <w:rPr>
          <w:rFonts w:hint="eastAsia" w:asciiTheme="minorEastAsia" w:hAnsiTheme="minorEastAsia" w:eastAsiaTheme="minorEastAsia" w:cstheme="minorEastAsia"/>
          <w:color w:val="000000" w:themeColor="text1"/>
          <w:spacing w:val="-87"/>
          <w:sz w:val="24"/>
          <w:szCs w:val="24"/>
          <w:u w:val="single"/>
          <w:lang w:eastAsia="zh-CN"/>
        </w:rPr>
        <w:t xml:space="preserve"> </w:t>
      </w:r>
      <w:r>
        <w:rPr>
          <w:rFonts w:hint="eastAsia" w:asciiTheme="minorEastAsia" w:hAnsiTheme="minorEastAsia" w:eastAsiaTheme="minorEastAsia" w:cstheme="minorEastAsia"/>
          <w:color w:val="000000" w:themeColor="text1"/>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w:t>
      </w:r>
      <w:r>
        <w:rPr>
          <w:rFonts w:hint="eastAsia" w:asciiTheme="minorEastAsia" w:hAnsiTheme="minorEastAsia" w:eastAsiaTheme="minorEastAsia" w:cstheme="minorEastAsia"/>
          <w:color w:val="000000" w:themeColor="text1"/>
          <w:spacing w:val="-1"/>
          <w:sz w:val="24"/>
          <w:szCs w:val="24"/>
          <w:lang w:eastAsia="zh-CN"/>
        </w:rPr>
        <w:t>出具的资信证明复印</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件，并提供基本存款账户开户许可证（或开户银行出具的基本存款账户</w:t>
      </w:r>
      <w:bookmarkStart w:id="10" w:name="_GoBack"/>
      <w:bookmarkEnd w:id="10"/>
      <w:r>
        <w:rPr>
          <w:rFonts w:hint="eastAsia" w:asciiTheme="minorEastAsia" w:hAnsiTheme="minorEastAsia" w:eastAsiaTheme="minorEastAsia" w:cstheme="minorEastAsia"/>
          <w:color w:val="000000" w:themeColor="text1"/>
          <w:spacing w:val="-2"/>
          <w:sz w:val="24"/>
          <w:szCs w:val="24"/>
          <w:lang w:eastAsia="zh-CN"/>
        </w:rPr>
        <w:t>信息）复印件，</w:t>
      </w:r>
      <w:r>
        <w:rPr>
          <w:rFonts w:hint="eastAsia" w:asciiTheme="minorEastAsia" w:hAnsiTheme="minorEastAsia" w:eastAsiaTheme="minorEastAsia" w:cstheme="minorEastAsia"/>
          <w:color w:val="000000" w:themeColor="text1"/>
          <w:spacing w:val="8"/>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上述证明材料真实有效，否则我方负全部责任。</w:t>
      </w:r>
    </w:p>
    <w:p w14:paraId="0B2D42D0">
      <w:pPr>
        <w:pStyle w:val="8"/>
        <w:spacing w:line="371" w:lineRule="auto"/>
        <w:rPr>
          <w:rFonts w:hint="eastAsia" w:asciiTheme="minorEastAsia" w:hAnsiTheme="minorEastAsia" w:eastAsiaTheme="minorEastAsia" w:cstheme="minorEastAsia"/>
          <w:color w:val="000000" w:themeColor="text1"/>
          <w:lang w:eastAsia="zh-CN"/>
        </w:rPr>
      </w:pPr>
    </w:p>
    <w:p w14:paraId="3A5DA748">
      <w:pPr>
        <w:spacing w:before="62" w:line="232" w:lineRule="auto"/>
        <w:ind w:left="496"/>
        <w:rPr>
          <w:rFonts w:hint="eastAsia" w:asciiTheme="minorEastAsia" w:hAnsiTheme="minorEastAsia" w:eastAsiaTheme="minorEastAsia" w:cstheme="minorEastAsia"/>
          <w:color w:val="000000" w:themeColor="text1"/>
          <w:sz w:val="19"/>
          <w:szCs w:val="19"/>
          <w:lang w:eastAsia="zh-CN"/>
        </w:rPr>
      </w:pPr>
      <w:r>
        <w:rPr>
          <w:rFonts w:hint="eastAsia" w:asciiTheme="minorEastAsia" w:hAnsiTheme="minorEastAsia" w:eastAsiaTheme="minorEastAsia" w:cstheme="minorEastAsia"/>
          <w:color w:val="000000" w:themeColor="text1"/>
          <w:spacing w:val="1"/>
          <w:sz w:val="19"/>
          <w:szCs w:val="19"/>
          <w:lang w:eastAsia="zh-CN"/>
        </w:rPr>
        <w:t>※注意：</w:t>
      </w:r>
    </w:p>
    <w:p w14:paraId="4F201A94">
      <w:pPr>
        <w:spacing w:before="115" w:line="255" w:lineRule="auto"/>
        <w:ind w:left="2" w:right="133" w:firstLine="1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1、请投标人按照实际情况编制填写，在相</w:t>
      </w:r>
      <w:r>
        <w:rPr>
          <w:rFonts w:hint="eastAsia" w:asciiTheme="minorEastAsia" w:hAnsiTheme="minorEastAsia" w:eastAsiaTheme="minorEastAsia" w:cstheme="minorEastAsia"/>
          <w:color w:val="000000" w:themeColor="text1"/>
          <w:spacing w:val="-5"/>
          <w:sz w:val="24"/>
          <w:szCs w:val="24"/>
          <w:lang w:eastAsia="zh-CN"/>
        </w:rPr>
        <w:t>应的</w:t>
      </w:r>
      <w:r>
        <w:rPr>
          <w:rFonts w:hint="eastAsia" w:asciiTheme="minorEastAsia" w:hAnsiTheme="minorEastAsia" w:eastAsiaTheme="minorEastAsia" w:cstheme="minorEastAsia"/>
          <w:color w:val="000000" w:themeColor="text1"/>
          <w:spacing w:val="-18"/>
          <w:sz w:val="24"/>
          <w:szCs w:val="24"/>
          <w:lang w:eastAsia="zh-CN"/>
        </w:rPr>
        <w:t>（）</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中打“</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”后，再按照本格式的要</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求提供相应证明材料的复印件。</w:t>
      </w:r>
    </w:p>
    <w:p w14:paraId="0389FB08">
      <w:pPr>
        <w:spacing w:before="95" w:line="256" w:lineRule="auto"/>
        <w:ind w:right="133" w:firstLine="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2、投标人提供的相应证明材料复印件均应符合：内容</w:t>
      </w:r>
      <w:r>
        <w:rPr>
          <w:rFonts w:hint="eastAsia" w:asciiTheme="minorEastAsia" w:hAnsiTheme="minorEastAsia" w:eastAsiaTheme="minorEastAsia" w:cstheme="minorEastAsia"/>
          <w:color w:val="000000" w:themeColor="text1"/>
          <w:spacing w:val="-1"/>
          <w:sz w:val="24"/>
          <w:szCs w:val="24"/>
          <w:lang w:eastAsia="zh-CN"/>
        </w:rPr>
        <w:t>完整、清晰、整洁，并由投标人</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加盖其单位公章。</w:t>
      </w:r>
    </w:p>
    <w:p w14:paraId="4A5FDB01">
      <w:pPr>
        <w:spacing w:before="95" w:line="268" w:lineRule="auto"/>
        <w:ind w:left="5"/>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3、若提供投标人基本账户开户银行出具的资信证明复印件（若资信证明写明</w:t>
      </w:r>
      <w:r>
        <w:rPr>
          <w:rFonts w:hint="eastAsia" w:asciiTheme="minorEastAsia" w:hAnsiTheme="minorEastAsia" w:eastAsiaTheme="minorEastAsia" w:cstheme="minorEastAsia"/>
          <w:color w:val="000000" w:themeColor="text1"/>
          <w:spacing w:val="-4"/>
          <w:sz w:val="24"/>
          <w:szCs w:val="24"/>
          <w:lang w:eastAsia="zh-CN"/>
        </w:rPr>
        <w:t>复印无效，</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需提供原件或者在电子文本中单独提供资信证明原件扫描件或者电子版原件，否则为无</w:t>
      </w:r>
      <w:r>
        <w:rPr>
          <w:rFonts w:hint="eastAsia" w:asciiTheme="minorEastAsia" w:hAnsiTheme="minorEastAsia" w:eastAsiaTheme="minorEastAsia" w:cstheme="minorEastAsia"/>
          <w:color w:val="000000" w:themeColor="text1"/>
          <w:spacing w:val="1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效资信证明）和开户许可证复印件（或提供《基本存款账户信息》复印件）</w:t>
      </w:r>
    </w:p>
    <w:p w14:paraId="20C9FE8C">
      <w:pPr>
        <w:pStyle w:val="8"/>
        <w:spacing w:line="393" w:lineRule="auto"/>
        <w:rPr>
          <w:rFonts w:hint="eastAsia" w:asciiTheme="minorEastAsia" w:hAnsiTheme="minorEastAsia" w:eastAsiaTheme="minorEastAsia" w:cstheme="minorEastAsia"/>
          <w:color w:val="000000" w:themeColor="text1"/>
          <w:lang w:eastAsia="zh-CN"/>
        </w:rPr>
      </w:pPr>
    </w:p>
    <w:p w14:paraId="63B9458E">
      <w:pPr>
        <w:spacing w:before="78"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18A592FE">
      <w:pPr>
        <w:spacing w:before="97" w:line="292"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734BB22F">
      <w:pPr>
        <w:spacing w:before="1" w:line="219" w:lineRule="auto"/>
        <w:ind w:left="4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5301D2A7">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5" w:type="default"/>
          <w:pgSz w:w="11906" w:h="16839"/>
          <w:pgMar w:top="1431" w:right="1356" w:bottom="1260" w:left="1424" w:header="0" w:footer="1013" w:gutter="0"/>
          <w:pgNumType w:fmt="decimal"/>
          <w:cols w:space="720" w:num="1"/>
        </w:sectPr>
      </w:pPr>
    </w:p>
    <w:p w14:paraId="52F47F1E">
      <w:pPr>
        <w:spacing w:before="107" w:line="219" w:lineRule="auto"/>
        <w:ind w:left="312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2-4</w:t>
      </w:r>
      <w:r>
        <w:rPr>
          <w:rFonts w:hint="eastAsia" w:asciiTheme="minorEastAsia" w:hAnsiTheme="minorEastAsia" w:eastAsiaTheme="minorEastAsia" w:cstheme="minorEastAsia"/>
          <w:color w:val="000000" w:themeColor="text1"/>
          <w:spacing w:val="-43"/>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依法缴纳税收证明材料</w:t>
      </w:r>
    </w:p>
    <w:p w14:paraId="6E0F6023">
      <w:pPr>
        <w:pStyle w:val="8"/>
        <w:spacing w:line="393" w:lineRule="auto"/>
        <w:rPr>
          <w:rFonts w:hint="eastAsia" w:asciiTheme="minorEastAsia" w:hAnsiTheme="minorEastAsia" w:eastAsiaTheme="minorEastAsia" w:cstheme="minorEastAsia"/>
          <w:color w:val="000000" w:themeColor="text1"/>
          <w:lang w:eastAsia="zh-CN"/>
        </w:rPr>
      </w:pPr>
    </w:p>
    <w:p w14:paraId="6C3E0563">
      <w:pPr>
        <w:spacing w:before="78" w:line="294"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致：</w:t>
      </w:r>
      <w:r>
        <w:rPr>
          <w:rFonts w:hint="eastAsia" w:asciiTheme="minorEastAsia" w:hAnsiTheme="minorEastAsia" w:eastAsiaTheme="minorEastAsia" w:cstheme="minorEastAsia"/>
          <w:color w:val="000000" w:themeColor="text1"/>
          <w:spacing w:val="-3"/>
          <w:sz w:val="24"/>
          <w:szCs w:val="24"/>
          <w:u w:val="single"/>
          <w:lang w:eastAsia="zh-CN"/>
        </w:rPr>
        <w:t xml:space="preserve">                                           </w:t>
      </w:r>
    </w:p>
    <w:p w14:paraId="006B8960">
      <w:pPr>
        <w:spacing w:line="218" w:lineRule="auto"/>
        <w:ind w:left="54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38"/>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w:t>
      </w:r>
      <w:r>
        <w:rPr>
          <w:rFonts w:hint="eastAsia" w:asciiTheme="minorEastAsia" w:hAnsiTheme="minorEastAsia" w:eastAsiaTheme="minorEastAsia" w:cstheme="minorEastAsia"/>
          <w:color w:val="000000" w:themeColor="text1"/>
          <w:spacing w:val="27"/>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依法缴纳税收的投标人</w:t>
      </w:r>
    </w:p>
    <w:p w14:paraId="22B1CD07">
      <w:pPr>
        <w:spacing w:before="94" w:line="268" w:lineRule="auto"/>
        <w:ind w:left="2" w:firstLine="42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现附上自</w:t>
      </w:r>
      <w:r>
        <w:rPr>
          <w:rFonts w:hint="eastAsia" w:asciiTheme="minorEastAsia" w:hAnsiTheme="minorEastAsia" w:eastAsiaTheme="minorEastAsia" w:cstheme="minorEastAsia"/>
          <w:color w:val="000000" w:themeColor="text1"/>
          <w:spacing w:val="-7"/>
          <w:sz w:val="24"/>
          <w:szCs w:val="24"/>
          <w:u w:val="single"/>
          <w:lang w:eastAsia="zh-CN"/>
        </w:rPr>
        <w:t xml:space="preserve">        </w:t>
      </w:r>
      <w:r>
        <w:rPr>
          <w:rFonts w:hint="eastAsia" w:asciiTheme="minorEastAsia" w:hAnsiTheme="minorEastAsia" w:eastAsiaTheme="minorEastAsia" w:cstheme="minorEastAsia"/>
          <w:color w:val="000000" w:themeColor="text1"/>
          <w:spacing w:val="-107"/>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月</w:t>
      </w:r>
      <w:r>
        <w:rPr>
          <w:rFonts w:hint="eastAsia" w:asciiTheme="minorEastAsia" w:hAnsiTheme="minorEastAsia" w:eastAsiaTheme="minorEastAsia" w:cstheme="minorEastAsia"/>
          <w:color w:val="000000" w:themeColor="text1"/>
          <w:spacing w:val="24"/>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日至</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10"/>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4"/>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日期间我方缴</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纳的</w:t>
      </w:r>
      <w:r>
        <w:rPr>
          <w:rFonts w:hint="eastAsia" w:asciiTheme="minorEastAsia" w:hAnsiTheme="minorEastAsia" w:eastAsiaTheme="minorEastAsia" w:cstheme="minorEastAsia"/>
          <w:color w:val="000000" w:themeColor="text1"/>
          <w:spacing w:val="-6"/>
          <w:sz w:val="24"/>
          <w:szCs w:val="24"/>
          <w:u w:val="single"/>
          <w:lang w:eastAsia="zh-CN"/>
        </w:rPr>
        <w:t>（按照投标人实际缴纳的税种名称填写，如：增值税、所得税等）</w:t>
      </w:r>
      <w:r>
        <w:rPr>
          <w:rFonts w:hint="eastAsia" w:asciiTheme="minorEastAsia" w:hAnsiTheme="minorEastAsia" w:eastAsiaTheme="minorEastAsia" w:cstheme="minorEastAsia"/>
          <w:color w:val="000000" w:themeColor="text1"/>
          <w:spacing w:val="-6"/>
          <w:sz w:val="24"/>
          <w:szCs w:val="24"/>
          <w:lang w:eastAsia="zh-CN"/>
        </w:rPr>
        <w:t>税收凭</w:t>
      </w:r>
      <w:r>
        <w:rPr>
          <w:rFonts w:hint="eastAsia" w:asciiTheme="minorEastAsia" w:hAnsiTheme="minorEastAsia" w:eastAsiaTheme="minorEastAsia" w:cstheme="minorEastAsia"/>
          <w:color w:val="000000" w:themeColor="text1"/>
          <w:spacing w:val="-7"/>
          <w:sz w:val="24"/>
          <w:szCs w:val="24"/>
          <w:lang w:eastAsia="zh-CN"/>
        </w:rPr>
        <w:t>据复印件，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上述证明材料真实有效，否则我方负全部责任。</w:t>
      </w:r>
    </w:p>
    <w:p w14:paraId="0A4F7B66">
      <w:pPr>
        <w:spacing w:before="95" w:line="219" w:lineRule="auto"/>
        <w:ind w:left="54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2"/>
          <w:sz w:val="24"/>
          <w:szCs w:val="24"/>
          <w:lang w:eastAsia="zh-CN"/>
        </w:rPr>
        <w:t>(</w:t>
      </w:r>
      <w:r>
        <w:rPr>
          <w:rFonts w:hint="eastAsia" w:asciiTheme="minorEastAsia" w:hAnsiTheme="minorEastAsia" w:eastAsiaTheme="minorEastAsia" w:cstheme="minorEastAsia"/>
          <w:color w:val="000000" w:themeColor="text1"/>
          <w:spacing w:val="38"/>
          <w:sz w:val="24"/>
          <w:szCs w:val="24"/>
          <w:lang w:eastAsia="zh-CN"/>
        </w:rPr>
        <w:t xml:space="preserve">  </w:t>
      </w:r>
      <w:r>
        <w:rPr>
          <w:rFonts w:hint="eastAsia" w:asciiTheme="minorEastAsia" w:hAnsiTheme="minorEastAsia" w:eastAsiaTheme="minorEastAsia" w:cstheme="minorEastAsia"/>
          <w:color w:val="000000" w:themeColor="text1"/>
          <w:spacing w:val="-12"/>
          <w:sz w:val="24"/>
          <w:szCs w:val="24"/>
          <w:lang w:eastAsia="zh-CN"/>
        </w:rPr>
        <w:t>)</w:t>
      </w:r>
      <w:r>
        <w:rPr>
          <w:rFonts w:hint="eastAsia" w:asciiTheme="minorEastAsia" w:hAnsiTheme="minorEastAsia" w:eastAsiaTheme="minorEastAsia" w:cstheme="minorEastAsia"/>
          <w:color w:val="000000" w:themeColor="text1"/>
          <w:spacing w:val="27"/>
          <w:sz w:val="24"/>
          <w:szCs w:val="24"/>
          <w:lang w:eastAsia="zh-CN"/>
        </w:rPr>
        <w:t xml:space="preserve"> </w:t>
      </w:r>
      <w:r>
        <w:rPr>
          <w:rFonts w:hint="eastAsia" w:asciiTheme="minorEastAsia" w:hAnsiTheme="minorEastAsia" w:eastAsiaTheme="minorEastAsia" w:cstheme="minorEastAsia"/>
          <w:color w:val="000000" w:themeColor="text1"/>
          <w:spacing w:val="-12"/>
          <w:sz w:val="24"/>
          <w:szCs w:val="24"/>
          <w:lang w:eastAsia="zh-CN"/>
        </w:rPr>
        <w:t>依法免税的投标人</w:t>
      </w:r>
    </w:p>
    <w:p w14:paraId="47DCB298">
      <w:pPr>
        <w:spacing w:before="96" w:line="256" w:lineRule="auto"/>
        <w:ind w:right="73" w:firstLine="42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现附上我方依法免税证明材料复印件，上述证明材料</w:t>
      </w:r>
      <w:r>
        <w:rPr>
          <w:rFonts w:hint="eastAsia" w:asciiTheme="minorEastAsia" w:hAnsiTheme="minorEastAsia" w:eastAsiaTheme="minorEastAsia" w:cstheme="minorEastAsia"/>
          <w:color w:val="000000" w:themeColor="text1"/>
          <w:spacing w:val="-1"/>
          <w:sz w:val="24"/>
          <w:szCs w:val="24"/>
          <w:lang w:eastAsia="zh-CN"/>
        </w:rPr>
        <w:t>真实有效，否则我方负全部责</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任。</w:t>
      </w:r>
    </w:p>
    <w:p w14:paraId="3F54A50E">
      <w:pPr>
        <w:pStyle w:val="8"/>
        <w:spacing w:line="392" w:lineRule="auto"/>
        <w:rPr>
          <w:rFonts w:hint="eastAsia" w:asciiTheme="minorEastAsia" w:hAnsiTheme="minorEastAsia" w:eastAsiaTheme="minorEastAsia" w:cstheme="minorEastAsia"/>
          <w:color w:val="000000" w:themeColor="text1"/>
          <w:lang w:eastAsia="zh-CN"/>
        </w:rPr>
      </w:pPr>
    </w:p>
    <w:p w14:paraId="171D842D">
      <w:pPr>
        <w:spacing w:before="78" w:line="224"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4ECA10EA">
      <w:pPr>
        <w:spacing w:before="91" w:line="255" w:lineRule="auto"/>
        <w:ind w:left="1" w:right="133" w:firstLine="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1、请投标人按照实际情况编制填写，在相应的</w:t>
      </w:r>
      <w:r>
        <w:rPr>
          <w:rFonts w:hint="eastAsia" w:asciiTheme="minorEastAsia" w:hAnsiTheme="minorEastAsia" w:eastAsiaTheme="minorEastAsia" w:cstheme="minorEastAsia"/>
          <w:color w:val="000000" w:themeColor="text1"/>
          <w:spacing w:val="-17"/>
          <w:sz w:val="24"/>
          <w:szCs w:val="24"/>
          <w:lang w:eastAsia="zh-CN"/>
        </w:rPr>
        <w:t>（）</w:t>
      </w:r>
      <w:r>
        <w:rPr>
          <w:rFonts w:hint="eastAsia" w:asciiTheme="minorEastAsia" w:hAnsiTheme="minorEastAsia" w:eastAsiaTheme="minorEastAsia" w:cstheme="minorEastAsia"/>
          <w:color w:val="000000" w:themeColor="text1"/>
          <w:spacing w:val="-54"/>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中</w:t>
      </w:r>
      <w:r>
        <w:rPr>
          <w:rFonts w:hint="eastAsia" w:asciiTheme="minorEastAsia" w:hAnsiTheme="minorEastAsia" w:eastAsiaTheme="minorEastAsia" w:cstheme="minorEastAsia"/>
          <w:color w:val="000000" w:themeColor="text1"/>
          <w:spacing w:val="-7"/>
          <w:sz w:val="24"/>
          <w:szCs w:val="24"/>
          <w:lang w:eastAsia="zh-CN"/>
        </w:rPr>
        <w:t>打“</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color w:val="000000" w:themeColor="text1"/>
          <w:spacing w:val="68"/>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并按照本格式的要求</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提供相应证明材料的复印件。</w:t>
      </w:r>
    </w:p>
    <w:p w14:paraId="23D05F3E">
      <w:pPr>
        <w:spacing w:before="96" w:line="256" w:lineRule="auto"/>
        <w:ind w:right="133" w:firstLine="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2、投标人提供的相应证明材料复印件均应符合：内容</w:t>
      </w:r>
      <w:r>
        <w:rPr>
          <w:rFonts w:hint="eastAsia" w:asciiTheme="minorEastAsia" w:hAnsiTheme="minorEastAsia" w:eastAsiaTheme="minorEastAsia" w:cstheme="minorEastAsia"/>
          <w:color w:val="000000" w:themeColor="text1"/>
          <w:spacing w:val="-1"/>
          <w:sz w:val="24"/>
          <w:szCs w:val="24"/>
          <w:lang w:eastAsia="zh-CN"/>
        </w:rPr>
        <w:t>完整、清晰、整洁，并由投标人</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加盖其单位公章。</w:t>
      </w:r>
    </w:p>
    <w:p w14:paraId="260027D2">
      <w:pPr>
        <w:pStyle w:val="8"/>
        <w:spacing w:line="393" w:lineRule="auto"/>
        <w:rPr>
          <w:rFonts w:hint="eastAsia" w:asciiTheme="minorEastAsia" w:hAnsiTheme="minorEastAsia" w:eastAsiaTheme="minorEastAsia" w:cstheme="minorEastAsia"/>
          <w:color w:val="000000" w:themeColor="text1"/>
          <w:lang w:eastAsia="zh-CN"/>
        </w:rPr>
      </w:pPr>
    </w:p>
    <w:p w14:paraId="56BC710B">
      <w:pPr>
        <w:spacing w:before="78"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7471657E">
      <w:pPr>
        <w:spacing w:before="97" w:line="292"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10A1C626">
      <w:pPr>
        <w:spacing w:line="219" w:lineRule="auto"/>
        <w:ind w:left="4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17285C17">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6" w:type="default"/>
          <w:pgSz w:w="11906" w:h="16839"/>
          <w:pgMar w:top="1431" w:right="1356" w:bottom="1260" w:left="1424" w:header="0" w:footer="1013" w:gutter="0"/>
          <w:pgNumType w:fmt="decimal"/>
          <w:cols w:space="720" w:num="1"/>
        </w:sectPr>
      </w:pPr>
    </w:p>
    <w:p w14:paraId="203CF0F7">
      <w:pPr>
        <w:spacing w:before="107" w:line="219" w:lineRule="auto"/>
        <w:ind w:left="264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2-5</w:t>
      </w:r>
      <w:r>
        <w:rPr>
          <w:rFonts w:hint="eastAsia" w:asciiTheme="minorEastAsia" w:hAnsiTheme="minorEastAsia" w:eastAsiaTheme="minorEastAsia" w:cstheme="minorEastAsia"/>
          <w:color w:val="000000" w:themeColor="text1"/>
          <w:spacing w:val="-37"/>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依法缴纳社会保障资金证明材料</w:t>
      </w:r>
    </w:p>
    <w:p w14:paraId="43BBC4DA">
      <w:pPr>
        <w:pStyle w:val="8"/>
        <w:spacing w:line="393" w:lineRule="auto"/>
        <w:rPr>
          <w:rFonts w:hint="eastAsia" w:asciiTheme="minorEastAsia" w:hAnsiTheme="minorEastAsia" w:eastAsiaTheme="minorEastAsia" w:cstheme="minorEastAsia"/>
          <w:color w:val="000000" w:themeColor="text1"/>
          <w:lang w:eastAsia="zh-CN"/>
        </w:rPr>
      </w:pPr>
    </w:p>
    <w:p w14:paraId="17B31213">
      <w:pPr>
        <w:spacing w:before="78"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30201AC5">
      <w:pPr>
        <w:spacing w:before="95" w:line="219" w:lineRule="auto"/>
        <w:ind w:left="60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 依法缴纳社会保障资金的投标人</w:t>
      </w:r>
    </w:p>
    <w:p w14:paraId="36562D61">
      <w:pPr>
        <w:spacing w:before="95" w:line="274" w:lineRule="auto"/>
        <w:ind w:firstLine="42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7"/>
          <w:sz w:val="24"/>
          <w:szCs w:val="24"/>
          <w:lang w:eastAsia="zh-CN"/>
        </w:rPr>
        <w:t>现附上自</w:t>
      </w:r>
      <w:r>
        <w:rPr>
          <w:rFonts w:hint="eastAsia" w:asciiTheme="minorEastAsia" w:hAnsiTheme="minorEastAsia" w:eastAsiaTheme="minorEastAsia" w:cstheme="minorEastAsia"/>
          <w:color w:val="000000" w:themeColor="text1"/>
          <w:spacing w:val="-7"/>
          <w:sz w:val="24"/>
          <w:szCs w:val="24"/>
          <w:u w:val="single"/>
          <w:lang w:eastAsia="zh-CN"/>
        </w:rPr>
        <w:t xml:space="preserve">        </w:t>
      </w:r>
      <w:r>
        <w:rPr>
          <w:rFonts w:hint="eastAsia" w:asciiTheme="minorEastAsia" w:hAnsiTheme="minorEastAsia" w:eastAsiaTheme="minorEastAsia" w:cstheme="minorEastAsia"/>
          <w:color w:val="000000" w:themeColor="text1"/>
          <w:spacing w:val="-107"/>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月</w:t>
      </w:r>
      <w:r>
        <w:rPr>
          <w:rFonts w:hint="eastAsia" w:asciiTheme="minorEastAsia" w:hAnsiTheme="minorEastAsia" w:eastAsiaTheme="minorEastAsia" w:cstheme="minorEastAsia"/>
          <w:color w:val="000000" w:themeColor="text1"/>
          <w:spacing w:val="24"/>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日至</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10"/>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4"/>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日我方缴纳的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社会保险凭据（限：税务机关/社会保障资金管理机关的专用收据或社会保险缴纳清单，</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或社会保险的银行缴款收讫凭证）复印件，上述证明材料真实有效，否则我方负全部责</w:t>
      </w:r>
      <w:r>
        <w:rPr>
          <w:rFonts w:hint="eastAsia" w:asciiTheme="minorEastAsia" w:hAnsiTheme="minorEastAsia" w:eastAsiaTheme="minorEastAsia" w:cstheme="minorEastAsia"/>
          <w:color w:val="000000" w:themeColor="text1"/>
          <w:spacing w:val="1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任。</w:t>
      </w:r>
    </w:p>
    <w:p w14:paraId="4E8E26D6">
      <w:pPr>
        <w:spacing w:before="93" w:line="219" w:lineRule="auto"/>
        <w:ind w:left="60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 依法不需要缴纳社会保障资金的投标人</w:t>
      </w:r>
    </w:p>
    <w:p w14:paraId="42233A32">
      <w:pPr>
        <w:spacing w:before="96" w:line="256" w:lineRule="auto"/>
        <w:ind w:left="5" w:right="73" w:firstLine="4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现附上我方依法免缴纳社会保障资金证明材料复印件</w:t>
      </w:r>
      <w:r>
        <w:rPr>
          <w:rFonts w:hint="eastAsia" w:asciiTheme="minorEastAsia" w:hAnsiTheme="minorEastAsia" w:eastAsiaTheme="minorEastAsia" w:cstheme="minorEastAsia"/>
          <w:color w:val="000000" w:themeColor="text1"/>
          <w:spacing w:val="-1"/>
          <w:sz w:val="24"/>
          <w:szCs w:val="24"/>
          <w:lang w:eastAsia="zh-CN"/>
        </w:rPr>
        <w:t>，上述证明材料真实有效，否</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则我方负全部责任。</w:t>
      </w:r>
    </w:p>
    <w:p w14:paraId="3A55EA2C">
      <w:pPr>
        <w:pStyle w:val="8"/>
        <w:spacing w:line="257" w:lineRule="auto"/>
        <w:rPr>
          <w:rFonts w:hint="eastAsia" w:asciiTheme="minorEastAsia" w:hAnsiTheme="minorEastAsia" w:eastAsiaTheme="minorEastAsia" w:cstheme="minorEastAsia"/>
          <w:color w:val="000000" w:themeColor="text1"/>
          <w:lang w:eastAsia="zh-CN"/>
        </w:rPr>
      </w:pPr>
    </w:p>
    <w:p w14:paraId="3795AAD0">
      <w:pPr>
        <w:pStyle w:val="8"/>
        <w:spacing w:line="257" w:lineRule="auto"/>
        <w:rPr>
          <w:rFonts w:hint="eastAsia" w:asciiTheme="minorEastAsia" w:hAnsiTheme="minorEastAsia" w:eastAsiaTheme="minorEastAsia" w:cstheme="minorEastAsia"/>
          <w:color w:val="000000" w:themeColor="text1"/>
          <w:lang w:eastAsia="zh-CN"/>
        </w:rPr>
      </w:pPr>
    </w:p>
    <w:p w14:paraId="163DCC7E">
      <w:pPr>
        <w:pStyle w:val="8"/>
        <w:spacing w:line="257" w:lineRule="auto"/>
        <w:rPr>
          <w:rFonts w:hint="eastAsia" w:asciiTheme="minorEastAsia" w:hAnsiTheme="minorEastAsia" w:eastAsiaTheme="minorEastAsia" w:cstheme="minorEastAsia"/>
          <w:color w:val="000000" w:themeColor="text1"/>
          <w:lang w:eastAsia="zh-CN"/>
        </w:rPr>
      </w:pPr>
    </w:p>
    <w:p w14:paraId="54804046">
      <w:pPr>
        <w:spacing w:before="79" w:line="224" w:lineRule="auto"/>
        <w:ind w:left="24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7C119812">
      <w:pPr>
        <w:spacing w:before="89" w:line="256" w:lineRule="auto"/>
        <w:ind w:left="1" w:right="133" w:firstLine="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1、请投标人按照实际情况编制填写，在相应的</w:t>
      </w:r>
      <w:r>
        <w:rPr>
          <w:rFonts w:hint="eastAsia" w:asciiTheme="minorEastAsia" w:hAnsiTheme="minorEastAsia" w:eastAsiaTheme="minorEastAsia" w:cstheme="minorEastAsia"/>
          <w:color w:val="000000" w:themeColor="text1"/>
          <w:spacing w:val="-17"/>
          <w:sz w:val="24"/>
          <w:szCs w:val="24"/>
          <w:lang w:eastAsia="zh-CN"/>
        </w:rPr>
        <w:t>（）</w:t>
      </w:r>
      <w:r>
        <w:rPr>
          <w:rFonts w:hint="eastAsia" w:asciiTheme="minorEastAsia" w:hAnsiTheme="minorEastAsia" w:eastAsiaTheme="minorEastAsia" w:cstheme="minorEastAsia"/>
          <w:color w:val="000000" w:themeColor="text1"/>
          <w:spacing w:val="-54"/>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中</w:t>
      </w:r>
      <w:r>
        <w:rPr>
          <w:rFonts w:hint="eastAsia" w:asciiTheme="minorEastAsia" w:hAnsiTheme="minorEastAsia" w:eastAsiaTheme="minorEastAsia" w:cstheme="minorEastAsia"/>
          <w:color w:val="000000" w:themeColor="text1"/>
          <w:spacing w:val="-7"/>
          <w:sz w:val="24"/>
          <w:szCs w:val="24"/>
          <w:lang w:eastAsia="zh-CN"/>
        </w:rPr>
        <w:t>打“</w:t>
      </w:r>
      <w:r>
        <w:rPr>
          <w:rFonts w:hint="eastAsia" w:asciiTheme="minorEastAsia" w:hAnsiTheme="minorEastAsia" w:eastAsiaTheme="minorEastAsia" w:cstheme="minorEastAsia"/>
          <w:color w:val="000000" w:themeColor="text1"/>
          <w:spacing w:val="-5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color w:val="000000" w:themeColor="text1"/>
          <w:spacing w:val="68"/>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并按照本格式的要求</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提供相应证明材料的复印件。</w:t>
      </w:r>
    </w:p>
    <w:p w14:paraId="70AE02F8">
      <w:pPr>
        <w:spacing w:before="95" w:line="255" w:lineRule="auto"/>
        <w:ind w:right="133" w:firstLine="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2、投标人提供的相应证明材料复印件均应符合：内容</w:t>
      </w:r>
      <w:r>
        <w:rPr>
          <w:rFonts w:hint="eastAsia" w:asciiTheme="minorEastAsia" w:hAnsiTheme="minorEastAsia" w:eastAsiaTheme="minorEastAsia" w:cstheme="minorEastAsia"/>
          <w:color w:val="000000" w:themeColor="text1"/>
          <w:spacing w:val="-1"/>
          <w:sz w:val="24"/>
          <w:szCs w:val="24"/>
          <w:lang w:eastAsia="zh-CN"/>
        </w:rPr>
        <w:t>完整、清晰、整洁，并由投标人</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加盖其单位公章。</w:t>
      </w:r>
    </w:p>
    <w:p w14:paraId="403C67B2">
      <w:pPr>
        <w:pStyle w:val="8"/>
        <w:spacing w:line="254" w:lineRule="auto"/>
        <w:rPr>
          <w:rFonts w:hint="eastAsia" w:asciiTheme="minorEastAsia" w:hAnsiTheme="minorEastAsia" w:eastAsiaTheme="minorEastAsia" w:cstheme="minorEastAsia"/>
          <w:color w:val="000000" w:themeColor="text1"/>
          <w:lang w:eastAsia="zh-CN"/>
        </w:rPr>
      </w:pPr>
    </w:p>
    <w:p w14:paraId="44D8D4A4">
      <w:pPr>
        <w:pStyle w:val="8"/>
        <w:spacing w:line="254" w:lineRule="auto"/>
        <w:rPr>
          <w:rFonts w:hint="eastAsia" w:asciiTheme="minorEastAsia" w:hAnsiTheme="minorEastAsia" w:eastAsiaTheme="minorEastAsia" w:cstheme="minorEastAsia"/>
          <w:color w:val="000000" w:themeColor="text1"/>
          <w:lang w:eastAsia="zh-CN"/>
        </w:rPr>
      </w:pPr>
    </w:p>
    <w:p w14:paraId="25842013">
      <w:pPr>
        <w:pStyle w:val="8"/>
        <w:spacing w:line="255" w:lineRule="auto"/>
        <w:rPr>
          <w:rFonts w:hint="eastAsia" w:asciiTheme="minorEastAsia" w:hAnsiTheme="minorEastAsia" w:eastAsiaTheme="minorEastAsia" w:cstheme="minorEastAsia"/>
          <w:color w:val="000000" w:themeColor="text1"/>
          <w:lang w:eastAsia="zh-CN"/>
        </w:rPr>
      </w:pPr>
    </w:p>
    <w:p w14:paraId="55CBD873">
      <w:pPr>
        <w:pStyle w:val="8"/>
        <w:spacing w:line="255" w:lineRule="auto"/>
        <w:rPr>
          <w:rFonts w:hint="eastAsia" w:asciiTheme="minorEastAsia" w:hAnsiTheme="minorEastAsia" w:eastAsiaTheme="minorEastAsia" w:cstheme="minorEastAsia"/>
          <w:color w:val="000000" w:themeColor="text1"/>
          <w:lang w:eastAsia="zh-CN"/>
        </w:rPr>
      </w:pPr>
    </w:p>
    <w:p w14:paraId="42EED861">
      <w:pPr>
        <w:pStyle w:val="8"/>
        <w:spacing w:line="255" w:lineRule="auto"/>
        <w:rPr>
          <w:rFonts w:hint="eastAsia" w:asciiTheme="minorEastAsia" w:hAnsiTheme="minorEastAsia" w:eastAsiaTheme="minorEastAsia" w:cstheme="minorEastAsia"/>
          <w:color w:val="000000" w:themeColor="text1"/>
          <w:lang w:eastAsia="zh-CN"/>
        </w:rPr>
      </w:pPr>
    </w:p>
    <w:p w14:paraId="56600174">
      <w:pPr>
        <w:pStyle w:val="8"/>
        <w:spacing w:line="255" w:lineRule="auto"/>
        <w:rPr>
          <w:rFonts w:hint="eastAsia" w:asciiTheme="minorEastAsia" w:hAnsiTheme="minorEastAsia" w:eastAsiaTheme="minorEastAsia" w:cstheme="minorEastAsia"/>
          <w:color w:val="000000" w:themeColor="text1"/>
          <w:lang w:eastAsia="zh-CN"/>
        </w:rPr>
      </w:pPr>
    </w:p>
    <w:p w14:paraId="37C9912F">
      <w:pPr>
        <w:spacing w:before="79"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3559987E">
      <w:pPr>
        <w:spacing w:before="95"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432C0281">
      <w:pPr>
        <w:spacing w:before="97" w:line="219" w:lineRule="auto"/>
        <w:ind w:left="4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71E789AC">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7" w:type="default"/>
          <w:pgSz w:w="11906" w:h="16839"/>
          <w:pgMar w:top="1431" w:right="1356" w:bottom="1260" w:left="1424" w:header="0" w:footer="1013" w:gutter="0"/>
          <w:pgNumType w:fmt="decimal"/>
          <w:cols w:space="720" w:num="1"/>
        </w:sectPr>
      </w:pPr>
    </w:p>
    <w:p w14:paraId="350EC15E">
      <w:pPr>
        <w:spacing w:before="107" w:line="219" w:lineRule="auto"/>
        <w:ind w:left="9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
          <w:sz w:val="24"/>
          <w:szCs w:val="24"/>
          <w:lang w:eastAsia="zh-CN"/>
        </w:rPr>
        <w:t>2-6</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参加招标活动前三年内在经营活动中</w:t>
      </w:r>
      <w:r>
        <w:rPr>
          <w:rFonts w:hint="eastAsia" w:asciiTheme="minorEastAsia" w:hAnsiTheme="minorEastAsia" w:eastAsiaTheme="minorEastAsia" w:cstheme="minorEastAsia"/>
          <w:b/>
          <w:bCs/>
          <w:color w:val="000000" w:themeColor="text1"/>
          <w:spacing w:val="-3"/>
          <w:sz w:val="24"/>
          <w:szCs w:val="24"/>
          <w:lang w:eastAsia="zh-CN"/>
        </w:rPr>
        <w:t>没有重大违法记录书面声明</w:t>
      </w:r>
    </w:p>
    <w:p w14:paraId="5E9ACE66">
      <w:pPr>
        <w:pStyle w:val="8"/>
        <w:spacing w:line="393" w:lineRule="auto"/>
        <w:rPr>
          <w:rFonts w:hint="eastAsia" w:asciiTheme="minorEastAsia" w:hAnsiTheme="minorEastAsia" w:eastAsiaTheme="minorEastAsia" w:cstheme="minorEastAsia"/>
          <w:color w:val="000000" w:themeColor="text1"/>
          <w:lang w:eastAsia="zh-CN"/>
        </w:rPr>
      </w:pPr>
    </w:p>
    <w:p w14:paraId="44FA7CC2">
      <w:pPr>
        <w:spacing w:before="78"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3078A5A1">
      <w:pPr>
        <w:spacing w:before="93" w:line="268" w:lineRule="auto"/>
        <w:ind w:left="1" w:right="2" w:firstLine="480"/>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参加招标活动前三年内，我方在经营活动中没有重大违法记录，即没有因违法经营</w:t>
      </w:r>
      <w:r>
        <w:rPr>
          <w:rFonts w:hint="eastAsia" w:asciiTheme="minorEastAsia" w:hAnsiTheme="minorEastAsia" w:eastAsiaTheme="minorEastAsia" w:cstheme="minorEastAsia"/>
          <w:color w:val="000000" w:themeColor="text1"/>
          <w:spacing w:val="1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受到刑事处罚或责令停产停业、吊销许可证或执照、较大数额罚款等行政处罚。否则产</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生不利后果由我方承担责任。</w:t>
      </w:r>
    </w:p>
    <w:p w14:paraId="7583D0A9">
      <w:pPr>
        <w:spacing w:before="97" w:line="219" w:lineRule="auto"/>
        <w:ind w:left="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特此声明。</w:t>
      </w:r>
    </w:p>
    <w:p w14:paraId="316E27FC">
      <w:pPr>
        <w:pStyle w:val="8"/>
        <w:spacing w:line="392" w:lineRule="auto"/>
        <w:rPr>
          <w:rFonts w:hint="eastAsia" w:asciiTheme="minorEastAsia" w:hAnsiTheme="minorEastAsia" w:eastAsiaTheme="minorEastAsia" w:cstheme="minorEastAsia"/>
          <w:color w:val="000000" w:themeColor="text1"/>
          <w:lang w:eastAsia="zh-CN"/>
        </w:rPr>
      </w:pPr>
    </w:p>
    <w:p w14:paraId="0E78D0A4">
      <w:pPr>
        <w:spacing w:before="78" w:line="224" w:lineRule="auto"/>
        <w:ind w:left="48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10CEE4D0">
      <w:pPr>
        <w:spacing w:before="92" w:line="274" w:lineRule="auto"/>
        <w:ind w:firstLine="46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“重大违法记录</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”指投标人因违法经营受到刑事处罚或责令停产停</w:t>
      </w:r>
      <w:r>
        <w:rPr>
          <w:rFonts w:hint="eastAsia" w:asciiTheme="minorEastAsia" w:hAnsiTheme="minorEastAsia" w:eastAsiaTheme="minorEastAsia" w:cstheme="minorEastAsia"/>
          <w:color w:val="000000" w:themeColor="text1"/>
          <w:spacing w:val="-3"/>
          <w:sz w:val="24"/>
          <w:szCs w:val="24"/>
          <w:lang w:eastAsia="zh-CN"/>
        </w:rPr>
        <w:t>业、吊销许可证</w:t>
      </w:r>
      <w:r>
        <w:rPr>
          <w:rFonts w:hint="eastAsia" w:asciiTheme="minorEastAsia" w:hAnsiTheme="minorEastAsia" w:eastAsiaTheme="minorEastAsia" w:cstheme="minorEastAsia"/>
          <w:color w:val="000000" w:themeColor="text1"/>
          <w:sz w:val="24"/>
          <w:szCs w:val="24"/>
          <w:lang w:eastAsia="zh-CN"/>
        </w:rPr>
        <w:t xml:space="preserve"> 或执照、较大数额罚款等行政处罚。根据财库〔2022</w:t>
      </w:r>
      <w:r>
        <w:rPr>
          <w:rFonts w:hint="eastAsia" w:asciiTheme="minorEastAsia" w:hAnsiTheme="minorEastAsia" w:eastAsiaTheme="minorEastAsia" w:cstheme="minorEastAsia"/>
          <w:color w:val="000000" w:themeColor="text1"/>
          <w:spacing w:val="-1"/>
          <w:sz w:val="24"/>
          <w:szCs w:val="24"/>
          <w:lang w:eastAsia="zh-CN"/>
        </w:rPr>
        <w:t>〕3</w:t>
      </w:r>
      <w:r>
        <w:rPr>
          <w:rFonts w:hint="eastAsia" w:asciiTheme="minorEastAsia" w:hAnsiTheme="minorEastAsia" w:eastAsiaTheme="minorEastAsia" w:cstheme="minorEastAsia"/>
          <w:color w:val="000000" w:themeColor="text1"/>
          <w:spacing w:val="-42"/>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号文件的规定，“较大数额罚</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款</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”认定为</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200</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万元以上的罚款，法律、行政法规以及国务院有关部门明确规定相</w:t>
      </w:r>
      <w:r>
        <w:rPr>
          <w:rFonts w:hint="eastAsia" w:asciiTheme="minorEastAsia" w:hAnsiTheme="minorEastAsia" w:eastAsiaTheme="minorEastAsia" w:cstheme="minorEastAsia"/>
          <w:color w:val="000000" w:themeColor="text1"/>
          <w:spacing w:val="-4"/>
          <w:sz w:val="24"/>
          <w:szCs w:val="24"/>
          <w:lang w:eastAsia="zh-CN"/>
        </w:rPr>
        <w:t>关领</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域“较大数额罚款</w:t>
      </w:r>
      <w:r>
        <w:rPr>
          <w:rFonts w:hint="eastAsia" w:asciiTheme="minorEastAsia" w:hAnsiTheme="minorEastAsia" w:eastAsiaTheme="minorEastAsia" w:cstheme="minorEastAsia"/>
          <w:color w:val="000000" w:themeColor="text1"/>
          <w:spacing w:val="-84"/>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”标准高于</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200</w:t>
      </w:r>
      <w:r>
        <w:rPr>
          <w:rFonts w:hint="eastAsia" w:asciiTheme="minorEastAsia" w:hAnsiTheme="minorEastAsia" w:eastAsiaTheme="minorEastAsia" w:cstheme="minorEastAsia"/>
          <w:color w:val="000000" w:themeColor="text1"/>
          <w:spacing w:val="-45"/>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万元的，从其规定。</w:t>
      </w:r>
    </w:p>
    <w:p w14:paraId="2CD0E480">
      <w:pPr>
        <w:spacing w:before="93" w:line="219" w:lineRule="auto"/>
        <w:ind w:left="47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请投标人根据实际情况如实声明，否则视为提供虚假材料。</w:t>
      </w:r>
    </w:p>
    <w:p w14:paraId="2646D556">
      <w:pPr>
        <w:pStyle w:val="8"/>
        <w:spacing w:line="287" w:lineRule="auto"/>
        <w:rPr>
          <w:rFonts w:hint="eastAsia" w:asciiTheme="minorEastAsia" w:hAnsiTheme="minorEastAsia" w:eastAsiaTheme="minorEastAsia" w:cstheme="minorEastAsia"/>
          <w:color w:val="000000" w:themeColor="text1"/>
          <w:lang w:eastAsia="zh-CN"/>
        </w:rPr>
      </w:pPr>
    </w:p>
    <w:p w14:paraId="2D77B437">
      <w:pPr>
        <w:pStyle w:val="8"/>
        <w:spacing w:line="287" w:lineRule="auto"/>
        <w:rPr>
          <w:rFonts w:hint="eastAsia" w:asciiTheme="minorEastAsia" w:hAnsiTheme="minorEastAsia" w:eastAsiaTheme="minorEastAsia" w:cstheme="minorEastAsia"/>
          <w:color w:val="000000" w:themeColor="text1"/>
          <w:lang w:eastAsia="zh-CN"/>
        </w:rPr>
      </w:pPr>
    </w:p>
    <w:p w14:paraId="0FE10695">
      <w:pPr>
        <w:pStyle w:val="8"/>
        <w:spacing w:line="287" w:lineRule="auto"/>
        <w:rPr>
          <w:rFonts w:hint="eastAsia" w:asciiTheme="minorEastAsia" w:hAnsiTheme="minorEastAsia" w:eastAsiaTheme="minorEastAsia" w:cstheme="minorEastAsia"/>
          <w:color w:val="000000" w:themeColor="text1"/>
          <w:lang w:eastAsia="zh-CN"/>
        </w:rPr>
      </w:pPr>
    </w:p>
    <w:p w14:paraId="20105363">
      <w:pPr>
        <w:pStyle w:val="8"/>
        <w:spacing w:line="288" w:lineRule="auto"/>
        <w:rPr>
          <w:rFonts w:hint="eastAsia" w:asciiTheme="minorEastAsia" w:hAnsiTheme="minorEastAsia" w:eastAsiaTheme="minorEastAsia" w:cstheme="minorEastAsia"/>
          <w:color w:val="000000" w:themeColor="text1"/>
          <w:lang w:eastAsia="zh-CN"/>
        </w:rPr>
      </w:pPr>
    </w:p>
    <w:p w14:paraId="63DDD896">
      <w:pPr>
        <w:spacing w:before="79"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2A22F137">
      <w:pPr>
        <w:spacing w:before="97"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0D7977F7">
      <w:pPr>
        <w:spacing w:before="95" w:line="219" w:lineRule="auto"/>
        <w:ind w:left="4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02231E97">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8" w:type="default"/>
          <w:pgSz w:w="11906" w:h="16839"/>
          <w:pgMar w:top="1431" w:right="1415" w:bottom="1260" w:left="1425" w:header="0" w:footer="1013" w:gutter="0"/>
          <w:pgNumType w:fmt="decimal"/>
          <w:cols w:space="720" w:num="1"/>
        </w:sectPr>
      </w:pPr>
    </w:p>
    <w:p w14:paraId="604C1393">
      <w:pPr>
        <w:spacing w:before="108" w:line="219" w:lineRule="auto"/>
        <w:ind w:left="336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2-7</w:t>
      </w:r>
      <w:r>
        <w:rPr>
          <w:rFonts w:hint="eastAsia" w:asciiTheme="minorEastAsia" w:hAnsiTheme="minorEastAsia" w:eastAsiaTheme="minorEastAsia" w:cstheme="minorEastAsia"/>
          <w:color w:val="000000" w:themeColor="text1"/>
          <w:spacing w:val="-48"/>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信用记录查询结果</w:t>
      </w:r>
    </w:p>
    <w:p w14:paraId="25F04760">
      <w:pPr>
        <w:pStyle w:val="8"/>
        <w:spacing w:line="392" w:lineRule="auto"/>
        <w:rPr>
          <w:rFonts w:hint="eastAsia" w:asciiTheme="minorEastAsia" w:hAnsiTheme="minorEastAsia" w:eastAsiaTheme="minorEastAsia" w:cstheme="minorEastAsia"/>
          <w:color w:val="000000" w:themeColor="text1"/>
          <w:lang w:eastAsia="zh-CN"/>
        </w:rPr>
      </w:pPr>
    </w:p>
    <w:p w14:paraId="49165BE3">
      <w:pPr>
        <w:spacing w:before="78"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07053FBB">
      <w:pPr>
        <w:spacing w:before="95" w:line="219" w:lineRule="auto"/>
        <w:ind w:left="42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现附上截至</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年</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月</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日</w:t>
      </w:r>
      <w:r>
        <w:rPr>
          <w:rFonts w:hint="eastAsia" w:asciiTheme="minorEastAsia" w:hAnsiTheme="minorEastAsia" w:eastAsiaTheme="minorEastAsia" w:cstheme="minorEastAsia"/>
          <w:color w:val="000000" w:themeColor="text1"/>
          <w:spacing w:val="-3"/>
          <w:sz w:val="24"/>
          <w:szCs w:val="24"/>
          <w:u w:val="single"/>
          <w:lang w:eastAsia="zh-CN"/>
        </w:rPr>
        <w:t xml:space="preserve">      </w:t>
      </w:r>
      <w:r>
        <w:rPr>
          <w:rFonts w:hint="eastAsia" w:asciiTheme="minorEastAsia" w:hAnsiTheme="minorEastAsia" w:eastAsiaTheme="minorEastAsia" w:cstheme="minorEastAsia"/>
          <w:color w:val="000000" w:themeColor="text1"/>
          <w:spacing w:val="-100"/>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时我方通过中国政府采购网</w:t>
      </w:r>
    </w:p>
    <w:p w14:paraId="4697D807">
      <w:pPr>
        <w:spacing w:before="95" w:line="268" w:lineRule="auto"/>
        <w:ind w:left="1" w:firstLine="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（www.ccgp.gov.cn）、</w:t>
      </w:r>
      <w:r>
        <w:rPr>
          <w:rFonts w:hint="eastAsia" w:asciiTheme="minorEastAsia" w:hAnsiTheme="minorEastAsia" w:eastAsiaTheme="minorEastAsia" w:cstheme="minorEastAsia"/>
          <w:kern w:val="0"/>
          <w:sz w:val="24"/>
          <w:szCs w:val="24"/>
        </w:rPr>
        <w:t>信用中国（www.creditchina.gov.cn）</w:t>
      </w:r>
      <w:r>
        <w:rPr>
          <w:rFonts w:hint="eastAsia" w:asciiTheme="minorEastAsia" w:hAnsiTheme="minorEastAsia" w:eastAsiaTheme="minorEastAsia" w:cstheme="minorEastAsia"/>
          <w:color w:val="000000" w:themeColor="text1"/>
          <w:spacing w:val="-2"/>
          <w:sz w:val="24"/>
          <w:szCs w:val="24"/>
          <w:lang w:eastAsia="zh-CN"/>
        </w:rPr>
        <w:t>获取</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的我方信用信息查询结果</w:t>
      </w:r>
      <w:r>
        <w:rPr>
          <w:rFonts w:hint="eastAsia" w:asciiTheme="minorEastAsia" w:hAnsiTheme="minorEastAsia" w:eastAsiaTheme="minorEastAsia" w:cstheme="minorEastAsia"/>
          <w:color w:val="000000" w:themeColor="text1"/>
          <w:spacing w:val="-2"/>
          <w:sz w:val="24"/>
          <w:szCs w:val="24"/>
          <w:u w:val="single"/>
          <w:lang w:eastAsia="zh-CN"/>
        </w:rPr>
        <w:t>（填写具体份数）</w:t>
      </w:r>
      <w:r>
        <w:rPr>
          <w:rFonts w:hint="eastAsia" w:asciiTheme="minorEastAsia" w:hAnsiTheme="minorEastAsia" w:eastAsiaTheme="minorEastAsia" w:cstheme="minorEastAsia"/>
          <w:color w:val="000000" w:themeColor="text1"/>
          <w:spacing w:val="-2"/>
          <w:sz w:val="24"/>
          <w:szCs w:val="24"/>
          <w:lang w:eastAsia="zh-CN"/>
        </w:rPr>
        <w:t>份，上述信用信息查询结果真实有效，否则</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我方负全部责任。</w:t>
      </w:r>
    </w:p>
    <w:p w14:paraId="4BDB004E">
      <w:pPr>
        <w:pStyle w:val="8"/>
        <w:spacing w:line="392" w:lineRule="auto"/>
        <w:rPr>
          <w:rFonts w:hint="eastAsia" w:asciiTheme="minorEastAsia" w:hAnsiTheme="minorEastAsia" w:eastAsiaTheme="minorEastAsia" w:cstheme="minorEastAsia"/>
          <w:color w:val="000000" w:themeColor="text1"/>
          <w:lang w:eastAsia="zh-CN"/>
        </w:rPr>
      </w:pPr>
    </w:p>
    <w:p w14:paraId="37FFFE23">
      <w:pPr>
        <w:spacing w:before="78" w:line="224"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3E922412">
      <w:pPr>
        <w:spacing w:before="91" w:line="268" w:lineRule="auto"/>
        <w:ind w:left="5" w:right="67" w:firstLine="1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1、投标人应</w:t>
      </w:r>
      <w:r>
        <w:rPr>
          <w:rFonts w:hint="eastAsia" w:asciiTheme="minorEastAsia" w:hAnsiTheme="minorEastAsia" w:eastAsiaTheme="minorEastAsia" w:cstheme="minorEastAsia"/>
          <w:b/>
          <w:bCs/>
          <w:color w:val="000000" w:themeColor="text1"/>
          <w:spacing w:val="-1"/>
          <w:sz w:val="24"/>
          <w:szCs w:val="24"/>
          <w:lang w:eastAsia="zh-CN"/>
        </w:rPr>
        <w:t>同时提供</w:t>
      </w:r>
      <w:r>
        <w:rPr>
          <w:rFonts w:hint="eastAsia" w:asciiTheme="minorEastAsia" w:hAnsiTheme="minorEastAsia" w:eastAsiaTheme="minorEastAsia" w:cstheme="minorEastAsia"/>
          <w:color w:val="000000" w:themeColor="text1"/>
          <w:spacing w:val="-1"/>
          <w:sz w:val="24"/>
          <w:szCs w:val="24"/>
          <w:lang w:eastAsia="zh-CN"/>
        </w:rPr>
        <w:t>在招标文件要求的截止时点前通过上述网站获取的信用信息查询</w:t>
      </w:r>
      <w:r>
        <w:rPr>
          <w:rFonts w:hint="eastAsia" w:asciiTheme="minorEastAsia" w:hAnsiTheme="minorEastAsia" w:eastAsiaTheme="minorEastAsia" w:cstheme="minorEastAsia"/>
          <w:color w:val="000000" w:themeColor="text1"/>
          <w:spacing w:val="4"/>
          <w:sz w:val="24"/>
          <w:szCs w:val="24"/>
          <w:lang w:eastAsia="zh-CN"/>
        </w:rPr>
        <w:t xml:space="preserve"> </w:t>
      </w:r>
      <w:r>
        <w:rPr>
          <w:rFonts w:hint="eastAsia" w:asciiTheme="minorEastAsia" w:hAnsiTheme="minorEastAsia" w:eastAsiaTheme="minorEastAsia" w:cstheme="minorEastAsia"/>
          <w:color w:val="000000" w:themeColor="text1"/>
          <w:sz w:val="24"/>
          <w:szCs w:val="24"/>
          <w:lang w:eastAsia="zh-CN"/>
        </w:rPr>
        <w:t>结果，信用信息查询结果应为从上述网站获取</w:t>
      </w:r>
      <w:r>
        <w:rPr>
          <w:rFonts w:hint="eastAsia" w:asciiTheme="minorEastAsia" w:hAnsiTheme="minorEastAsia" w:eastAsiaTheme="minorEastAsia" w:cstheme="minorEastAsia"/>
          <w:color w:val="000000" w:themeColor="text1"/>
          <w:spacing w:val="-1"/>
          <w:sz w:val="24"/>
          <w:szCs w:val="24"/>
          <w:lang w:eastAsia="zh-CN"/>
        </w:rPr>
        <w:t>的查询结果原始页面的打印件或完整截</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图</w:t>
      </w:r>
      <w:r>
        <w:rPr>
          <w:rFonts w:hint="eastAsia" w:asciiTheme="minorEastAsia" w:hAnsiTheme="minorEastAsia" w:eastAsiaTheme="minorEastAsia" w:cstheme="minorEastAsia"/>
          <w:b/>
          <w:bCs/>
          <w:color w:val="000000" w:themeColor="text1"/>
          <w:spacing w:val="-3"/>
          <w:sz w:val="24"/>
          <w:szCs w:val="24"/>
          <w:lang w:eastAsia="zh-CN"/>
        </w:rPr>
        <w:t>。</w:t>
      </w:r>
    </w:p>
    <w:p w14:paraId="178154C4">
      <w:pPr>
        <w:spacing w:before="95" w:line="255" w:lineRule="auto"/>
        <w:ind w:firstLine="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※除上述规定外，信用记录的其他有关规定（包括但不限于：信用信息的查询渠道及截</w:t>
      </w:r>
      <w:r>
        <w:rPr>
          <w:rFonts w:hint="eastAsia" w:asciiTheme="minorEastAsia" w:hAnsiTheme="minorEastAsia" w:eastAsiaTheme="minorEastAsia" w:cstheme="minorEastAsia"/>
          <w:color w:val="000000" w:themeColor="text1"/>
          <w:spacing w:val="15"/>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止时点、查询记录和证据留存的具体方式、使用规则等内容）详见招标文件第一章。</w:t>
      </w:r>
    </w:p>
    <w:p w14:paraId="1E67C7E5">
      <w:pPr>
        <w:pStyle w:val="8"/>
        <w:spacing w:line="257" w:lineRule="auto"/>
        <w:rPr>
          <w:rFonts w:hint="eastAsia" w:asciiTheme="minorEastAsia" w:hAnsiTheme="minorEastAsia" w:eastAsiaTheme="minorEastAsia" w:cstheme="minorEastAsia"/>
          <w:color w:val="000000" w:themeColor="text1"/>
          <w:lang w:eastAsia="zh-CN"/>
        </w:rPr>
      </w:pPr>
    </w:p>
    <w:p w14:paraId="33535320">
      <w:pPr>
        <w:pStyle w:val="8"/>
        <w:spacing w:line="257" w:lineRule="auto"/>
        <w:rPr>
          <w:rFonts w:hint="eastAsia" w:asciiTheme="minorEastAsia" w:hAnsiTheme="minorEastAsia" w:eastAsiaTheme="minorEastAsia" w:cstheme="minorEastAsia"/>
          <w:color w:val="000000" w:themeColor="text1"/>
          <w:lang w:eastAsia="zh-CN"/>
        </w:rPr>
      </w:pPr>
    </w:p>
    <w:p w14:paraId="300BBA34">
      <w:pPr>
        <w:pStyle w:val="8"/>
        <w:spacing w:line="258" w:lineRule="auto"/>
        <w:rPr>
          <w:rFonts w:hint="eastAsia" w:asciiTheme="minorEastAsia" w:hAnsiTheme="minorEastAsia" w:eastAsiaTheme="minorEastAsia" w:cstheme="minorEastAsia"/>
          <w:color w:val="000000" w:themeColor="text1"/>
          <w:lang w:eastAsia="zh-CN"/>
        </w:rPr>
      </w:pPr>
    </w:p>
    <w:p w14:paraId="216B35BD">
      <w:pPr>
        <w:spacing w:before="79"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24EF0CBB">
      <w:pPr>
        <w:spacing w:before="95" w:line="219" w:lineRule="auto"/>
        <w:ind w:left="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7D813CD6">
      <w:pPr>
        <w:spacing w:before="97" w:line="219" w:lineRule="auto"/>
        <w:ind w:left="4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5D193C95">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29" w:type="default"/>
          <w:pgSz w:w="11906" w:h="16839"/>
          <w:pgMar w:top="1431" w:right="1418" w:bottom="1260" w:left="1425" w:header="0" w:footer="1013" w:gutter="0"/>
          <w:pgNumType w:fmt="decimal"/>
          <w:cols w:space="720" w:num="1"/>
        </w:sectPr>
      </w:pPr>
    </w:p>
    <w:p w14:paraId="0D43E016">
      <w:pPr>
        <w:spacing w:before="73" w:line="220" w:lineRule="auto"/>
        <w:ind w:left="3874"/>
        <w:rPr>
          <w:rFonts w:hint="eastAsia"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b/>
          <w:bCs/>
          <w:color w:val="000000" w:themeColor="text1"/>
          <w:spacing w:val="-7"/>
          <w:sz w:val="28"/>
          <w:szCs w:val="28"/>
          <w:lang w:eastAsia="zh-CN"/>
        </w:rPr>
        <w:t>2-8</w:t>
      </w:r>
      <w:r>
        <w:rPr>
          <w:rFonts w:hint="eastAsia" w:asciiTheme="minorEastAsia" w:hAnsiTheme="minorEastAsia" w:eastAsiaTheme="minorEastAsia" w:cstheme="minorEastAsia"/>
          <w:color w:val="000000" w:themeColor="text1"/>
          <w:spacing w:val="-57"/>
          <w:sz w:val="28"/>
          <w:szCs w:val="28"/>
          <w:lang w:eastAsia="zh-CN"/>
        </w:rPr>
        <w:t xml:space="preserve"> </w:t>
      </w:r>
      <w:r>
        <w:rPr>
          <w:rFonts w:hint="eastAsia" w:asciiTheme="minorEastAsia" w:hAnsiTheme="minorEastAsia" w:eastAsiaTheme="minorEastAsia" w:cstheme="minorEastAsia"/>
          <w:b/>
          <w:bCs/>
          <w:color w:val="000000" w:themeColor="text1"/>
          <w:spacing w:val="-7"/>
          <w:sz w:val="28"/>
          <w:szCs w:val="28"/>
          <w:lang w:eastAsia="zh-CN"/>
        </w:rPr>
        <w:t>承诺函</w:t>
      </w:r>
    </w:p>
    <w:p w14:paraId="63E183EB">
      <w:pPr>
        <w:pStyle w:val="8"/>
        <w:spacing w:line="415" w:lineRule="auto"/>
        <w:rPr>
          <w:rFonts w:hint="eastAsia" w:asciiTheme="minorEastAsia" w:hAnsiTheme="minorEastAsia" w:eastAsiaTheme="minorEastAsia" w:cstheme="minorEastAsia"/>
          <w:color w:val="000000" w:themeColor="text1"/>
          <w:lang w:eastAsia="zh-CN"/>
        </w:rPr>
      </w:pPr>
    </w:p>
    <w:p w14:paraId="3127A0D2">
      <w:pPr>
        <w:spacing w:before="78"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致：</w:t>
      </w:r>
      <w:r>
        <w:rPr>
          <w:rFonts w:hint="eastAsia" w:asciiTheme="minorEastAsia" w:hAnsiTheme="minorEastAsia" w:eastAsiaTheme="minorEastAsia" w:cstheme="minorEastAsia"/>
          <w:color w:val="000000" w:themeColor="text1"/>
          <w:sz w:val="24"/>
          <w:szCs w:val="24"/>
          <w:u w:val="single"/>
          <w:lang w:eastAsia="zh-CN"/>
        </w:rPr>
        <w:t xml:space="preserve">                     </w:t>
      </w:r>
    </w:p>
    <w:p w14:paraId="5B883ABB">
      <w:pPr>
        <w:spacing w:before="114" w:line="278" w:lineRule="auto"/>
        <w:ind w:firstLine="4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 xml:space="preserve">1、我方参加贵公司组织的 </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103"/>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项目投标，符合招标文件第二章</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中“合格的投标人</w:t>
      </w:r>
      <w:r>
        <w:rPr>
          <w:rFonts w:hint="eastAsia" w:asciiTheme="minorEastAsia" w:hAnsiTheme="minorEastAsia" w:eastAsiaTheme="minorEastAsia" w:cstheme="minorEastAsia"/>
          <w:color w:val="000000" w:themeColor="text1"/>
          <w:spacing w:val="-84"/>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”条款规定的，若有虚假或不实之处，我方将失去合格的投标人资格，</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且我方的投标保证金将不予以退还。</w:t>
      </w:r>
    </w:p>
    <w:p w14:paraId="529B31D1">
      <w:pPr>
        <w:spacing w:before="115" w:line="401" w:lineRule="exact"/>
        <w:ind w:left="42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1"/>
          <w:sz w:val="24"/>
          <w:szCs w:val="24"/>
          <w:lang w:eastAsia="zh-CN"/>
        </w:rPr>
        <w:t>2、我方具备履行合同所必需的设备和专业技术能力，否则</w:t>
      </w:r>
      <w:r>
        <w:rPr>
          <w:rFonts w:hint="eastAsia" w:asciiTheme="minorEastAsia" w:hAnsiTheme="minorEastAsia" w:eastAsiaTheme="minorEastAsia" w:cstheme="minorEastAsia"/>
          <w:color w:val="000000" w:themeColor="text1"/>
          <w:spacing w:val="-4"/>
          <w:position w:val="11"/>
          <w:sz w:val="24"/>
          <w:szCs w:val="24"/>
          <w:lang w:eastAsia="zh-CN"/>
        </w:rPr>
        <w:t>产生不利后果由我方承担</w:t>
      </w:r>
    </w:p>
    <w:p w14:paraId="2C343523">
      <w:pPr>
        <w:spacing w:line="219" w:lineRule="auto"/>
        <w:ind w:left="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rPr>
        <w:t>责任。</w:t>
      </w:r>
    </w:p>
    <w:p w14:paraId="34B88463">
      <w:pPr>
        <w:spacing w:before="114" w:line="308" w:lineRule="auto"/>
        <w:ind w:left="3" w:right="61" w:firstLine="48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3、我方承诺本项目所投产品均为生产厂家的</w:t>
      </w:r>
      <w:r>
        <w:rPr>
          <w:rFonts w:hint="eastAsia" w:asciiTheme="minorEastAsia" w:hAnsiTheme="minorEastAsia" w:eastAsiaTheme="minorEastAsia" w:cstheme="minorEastAsia"/>
          <w:color w:val="000000" w:themeColor="text1"/>
          <w:spacing w:val="1"/>
          <w:sz w:val="24"/>
          <w:szCs w:val="24"/>
          <w:lang w:eastAsia="zh-CN"/>
        </w:rPr>
        <w:t>正规合格产品，均符合国家相关强制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性规定，若有虚假或不实之处，我方将失去合格的投标人资格，且我方的投标保证金将</w:t>
      </w:r>
    </w:p>
    <w:p w14:paraId="297FA031">
      <w:pPr>
        <w:spacing w:before="1" w:line="221"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不予以退还。</w:t>
      </w:r>
    </w:p>
    <w:p w14:paraId="1695E6EB">
      <w:pPr>
        <w:spacing w:before="108" w:line="286" w:lineRule="auto"/>
        <w:ind w:right="53" w:firstLine="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4、我方承诺参加本项目投标前</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3</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年内在经营活动中没有重大违法记录（重</w:t>
      </w:r>
      <w:r>
        <w:rPr>
          <w:rFonts w:hint="eastAsia" w:asciiTheme="minorEastAsia" w:hAnsiTheme="minorEastAsia" w:eastAsiaTheme="minorEastAsia" w:cstheme="minorEastAsia"/>
          <w:color w:val="000000" w:themeColor="text1"/>
          <w:sz w:val="24"/>
          <w:szCs w:val="24"/>
          <w:lang w:eastAsia="zh-CN"/>
        </w:rPr>
        <w:t xml:space="preserve">大违法 </w:t>
      </w:r>
      <w:r>
        <w:rPr>
          <w:rFonts w:hint="eastAsia" w:asciiTheme="minorEastAsia" w:hAnsiTheme="minorEastAsia" w:eastAsiaTheme="minorEastAsia" w:cstheme="minorEastAsia"/>
          <w:color w:val="000000" w:themeColor="text1"/>
          <w:spacing w:val="-1"/>
          <w:sz w:val="24"/>
          <w:szCs w:val="24"/>
          <w:lang w:eastAsia="zh-CN"/>
        </w:rPr>
        <w:t>记录，是指投标人因违法经营受到刑事处罚或者责令停产停</w:t>
      </w:r>
      <w:r>
        <w:rPr>
          <w:rFonts w:hint="eastAsia" w:asciiTheme="minorEastAsia" w:hAnsiTheme="minorEastAsia" w:eastAsiaTheme="minorEastAsia" w:cstheme="minorEastAsia"/>
          <w:color w:val="000000" w:themeColor="text1"/>
          <w:spacing w:val="-2"/>
          <w:sz w:val="24"/>
          <w:szCs w:val="24"/>
          <w:lang w:eastAsia="zh-CN"/>
        </w:rPr>
        <w:t>业、吊销许可证或者执照、</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较大数额罚款等行政处罚。</w:t>
      </w:r>
      <w:r>
        <w:rPr>
          <w:rFonts w:hint="eastAsia" w:asciiTheme="minorEastAsia" w:hAnsiTheme="minorEastAsia" w:eastAsiaTheme="minorEastAsia" w:cstheme="minorEastAsia"/>
          <w:color w:val="000000" w:themeColor="text1"/>
          <w:spacing w:val="-7"/>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若有虚假或不实之处，我方将失去合格的投标人资格，</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且我方的投标保证金将不予以退还。</w:t>
      </w:r>
    </w:p>
    <w:p w14:paraId="310B81A7">
      <w:pPr>
        <w:spacing w:before="116" w:line="400" w:lineRule="exact"/>
        <w:ind w:left="48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position w:val="11"/>
          <w:sz w:val="24"/>
          <w:szCs w:val="24"/>
          <w:lang w:eastAsia="zh-CN"/>
        </w:rPr>
        <w:t>5、我方承诺参加本项目投标前</w:t>
      </w:r>
      <w:r>
        <w:rPr>
          <w:rFonts w:hint="eastAsia" w:asciiTheme="minorEastAsia" w:hAnsiTheme="minorEastAsia" w:eastAsiaTheme="minorEastAsia" w:cstheme="minorEastAsia"/>
          <w:color w:val="000000" w:themeColor="text1"/>
          <w:spacing w:val="-44"/>
          <w:position w:val="11"/>
          <w:sz w:val="24"/>
          <w:szCs w:val="24"/>
          <w:lang w:eastAsia="zh-CN"/>
        </w:rPr>
        <w:t xml:space="preserve"> </w:t>
      </w:r>
      <w:r>
        <w:rPr>
          <w:rFonts w:hint="eastAsia" w:asciiTheme="minorEastAsia" w:hAnsiTheme="minorEastAsia" w:eastAsiaTheme="minorEastAsia" w:cstheme="minorEastAsia"/>
          <w:color w:val="000000" w:themeColor="text1"/>
          <w:spacing w:val="1"/>
          <w:position w:val="11"/>
          <w:sz w:val="24"/>
          <w:szCs w:val="24"/>
          <w:lang w:eastAsia="zh-CN"/>
        </w:rPr>
        <w:t>3</w:t>
      </w:r>
      <w:r>
        <w:rPr>
          <w:rFonts w:hint="eastAsia" w:asciiTheme="minorEastAsia" w:hAnsiTheme="minorEastAsia" w:eastAsiaTheme="minorEastAsia" w:cstheme="minorEastAsia"/>
          <w:color w:val="000000" w:themeColor="text1"/>
          <w:spacing w:val="-47"/>
          <w:position w:val="11"/>
          <w:sz w:val="24"/>
          <w:szCs w:val="24"/>
          <w:lang w:eastAsia="zh-CN"/>
        </w:rPr>
        <w:t xml:space="preserve"> </w:t>
      </w:r>
      <w:r>
        <w:rPr>
          <w:rFonts w:hint="eastAsia" w:asciiTheme="minorEastAsia" w:hAnsiTheme="minorEastAsia" w:eastAsiaTheme="minorEastAsia" w:cstheme="minorEastAsia"/>
          <w:color w:val="000000" w:themeColor="text1"/>
          <w:spacing w:val="1"/>
          <w:position w:val="11"/>
          <w:sz w:val="24"/>
          <w:szCs w:val="24"/>
          <w:lang w:eastAsia="zh-CN"/>
        </w:rPr>
        <w:t>年内无行贿犯罪记录、无失</w:t>
      </w:r>
      <w:r>
        <w:rPr>
          <w:rFonts w:hint="eastAsia" w:asciiTheme="minorEastAsia" w:hAnsiTheme="minorEastAsia" w:eastAsiaTheme="minorEastAsia" w:cstheme="minorEastAsia"/>
          <w:color w:val="000000" w:themeColor="text1"/>
          <w:position w:val="11"/>
          <w:sz w:val="24"/>
          <w:szCs w:val="24"/>
          <w:lang w:eastAsia="zh-CN"/>
        </w:rPr>
        <w:t>信记录，若有虚假或</w:t>
      </w:r>
    </w:p>
    <w:p w14:paraId="47F04787">
      <w:pPr>
        <w:spacing w:before="1" w:line="219"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不实之处，我方将失去合格的投标人资格，且</w:t>
      </w:r>
      <w:r>
        <w:rPr>
          <w:rFonts w:hint="eastAsia" w:asciiTheme="minorEastAsia" w:hAnsiTheme="minorEastAsia" w:eastAsiaTheme="minorEastAsia" w:cstheme="minorEastAsia"/>
          <w:color w:val="000000" w:themeColor="text1"/>
          <w:spacing w:val="-1"/>
          <w:sz w:val="24"/>
          <w:szCs w:val="24"/>
          <w:lang w:eastAsia="zh-CN"/>
        </w:rPr>
        <w:t>我方的投标保证金将不予以退还。</w:t>
      </w:r>
    </w:p>
    <w:p w14:paraId="7CD74B2F">
      <w:pPr>
        <w:spacing w:before="114" w:line="219" w:lineRule="auto"/>
        <w:ind w:left="48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6、我方没有被列入景弘集团有限公司黑名单。</w:t>
      </w:r>
    </w:p>
    <w:p w14:paraId="321F1BE0">
      <w:pPr>
        <w:pStyle w:val="8"/>
        <w:spacing w:line="288" w:lineRule="auto"/>
        <w:rPr>
          <w:rFonts w:hint="eastAsia" w:asciiTheme="minorEastAsia" w:hAnsiTheme="minorEastAsia" w:eastAsiaTheme="minorEastAsia" w:cstheme="minorEastAsia"/>
          <w:color w:val="000000" w:themeColor="text1"/>
          <w:lang w:eastAsia="zh-CN"/>
        </w:rPr>
      </w:pPr>
    </w:p>
    <w:p w14:paraId="122E2FCD">
      <w:pPr>
        <w:pStyle w:val="8"/>
        <w:spacing w:line="288" w:lineRule="auto"/>
        <w:rPr>
          <w:rFonts w:hint="eastAsia" w:asciiTheme="minorEastAsia" w:hAnsiTheme="minorEastAsia" w:eastAsiaTheme="minorEastAsia" w:cstheme="minorEastAsia"/>
          <w:color w:val="000000" w:themeColor="text1"/>
          <w:lang w:eastAsia="zh-CN"/>
        </w:rPr>
      </w:pPr>
    </w:p>
    <w:p w14:paraId="33602EE8">
      <w:pPr>
        <w:pStyle w:val="8"/>
        <w:spacing w:line="288" w:lineRule="auto"/>
        <w:rPr>
          <w:rFonts w:hint="eastAsia" w:asciiTheme="minorEastAsia" w:hAnsiTheme="minorEastAsia" w:eastAsiaTheme="minorEastAsia" w:cstheme="minorEastAsia"/>
          <w:color w:val="000000" w:themeColor="text1"/>
          <w:lang w:eastAsia="zh-CN"/>
        </w:rPr>
      </w:pPr>
    </w:p>
    <w:p w14:paraId="0B10DC37">
      <w:pPr>
        <w:pStyle w:val="8"/>
        <w:spacing w:line="289" w:lineRule="auto"/>
        <w:rPr>
          <w:rFonts w:hint="eastAsia" w:asciiTheme="minorEastAsia" w:hAnsiTheme="minorEastAsia" w:eastAsiaTheme="minorEastAsia" w:cstheme="minorEastAsia"/>
          <w:color w:val="000000" w:themeColor="text1"/>
          <w:lang w:eastAsia="zh-CN"/>
        </w:rPr>
      </w:pPr>
    </w:p>
    <w:p w14:paraId="068CAF51">
      <w:pPr>
        <w:spacing w:before="78"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2E1D15DE">
      <w:pPr>
        <w:spacing w:before="98"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46DC2603">
      <w:pPr>
        <w:spacing w:before="94" w:line="219" w:lineRule="auto"/>
        <w:ind w:left="4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631DF227">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0" w:type="default"/>
          <w:pgSz w:w="11906" w:h="16839"/>
          <w:pgMar w:top="1431" w:right="1356" w:bottom="1260" w:left="1424" w:header="0" w:footer="1013" w:gutter="0"/>
          <w:pgNumType w:fmt="decimal"/>
          <w:cols w:space="720" w:num="1"/>
        </w:sectPr>
      </w:pPr>
    </w:p>
    <w:p w14:paraId="2F258F2B">
      <w:pPr>
        <w:spacing w:before="108" w:line="220" w:lineRule="auto"/>
        <w:ind w:left="37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3、投标保证金</w:t>
      </w:r>
    </w:p>
    <w:p w14:paraId="48F076B2">
      <w:pPr>
        <w:pStyle w:val="8"/>
        <w:spacing w:line="257" w:lineRule="auto"/>
        <w:rPr>
          <w:rFonts w:hint="eastAsia" w:asciiTheme="minorEastAsia" w:hAnsiTheme="minorEastAsia" w:eastAsiaTheme="minorEastAsia" w:cstheme="minorEastAsia"/>
          <w:color w:val="000000" w:themeColor="text1"/>
          <w:lang w:eastAsia="zh-CN"/>
        </w:rPr>
      </w:pPr>
    </w:p>
    <w:p w14:paraId="5F6C8577">
      <w:pPr>
        <w:pStyle w:val="8"/>
        <w:spacing w:line="257" w:lineRule="auto"/>
        <w:rPr>
          <w:rFonts w:hint="eastAsia" w:asciiTheme="minorEastAsia" w:hAnsiTheme="minorEastAsia" w:eastAsiaTheme="minorEastAsia" w:cstheme="minorEastAsia"/>
          <w:color w:val="000000" w:themeColor="text1"/>
          <w:lang w:eastAsia="zh-CN"/>
        </w:rPr>
      </w:pPr>
    </w:p>
    <w:p w14:paraId="04FC169F">
      <w:pPr>
        <w:pStyle w:val="8"/>
        <w:spacing w:line="257" w:lineRule="auto"/>
        <w:rPr>
          <w:rFonts w:hint="eastAsia" w:asciiTheme="minorEastAsia" w:hAnsiTheme="minorEastAsia" w:eastAsiaTheme="minorEastAsia" w:cstheme="minorEastAsia"/>
          <w:color w:val="000000" w:themeColor="text1"/>
          <w:lang w:eastAsia="zh-CN"/>
        </w:rPr>
      </w:pPr>
    </w:p>
    <w:p w14:paraId="3991E1C2">
      <w:pPr>
        <w:spacing w:before="78" w:line="219" w:lineRule="auto"/>
        <w:ind w:left="40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编制说明</w:t>
      </w:r>
    </w:p>
    <w:p w14:paraId="03A574DC">
      <w:pPr>
        <w:pStyle w:val="8"/>
        <w:spacing w:line="392" w:lineRule="auto"/>
        <w:rPr>
          <w:rFonts w:hint="eastAsia" w:asciiTheme="minorEastAsia" w:hAnsiTheme="minorEastAsia" w:eastAsiaTheme="minorEastAsia" w:cstheme="minorEastAsia"/>
          <w:color w:val="000000" w:themeColor="text1"/>
          <w:lang w:eastAsia="zh-CN"/>
        </w:rPr>
      </w:pPr>
    </w:p>
    <w:p w14:paraId="2E262621">
      <w:pPr>
        <w:spacing w:before="78" w:line="382" w:lineRule="exact"/>
        <w:ind w:left="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position w:val="10"/>
          <w:sz w:val="24"/>
          <w:szCs w:val="24"/>
          <w:lang w:eastAsia="zh-CN"/>
        </w:rPr>
        <w:t>1、在此项下提交的</w:t>
      </w:r>
      <w:r>
        <w:rPr>
          <w:rFonts w:hint="eastAsia" w:asciiTheme="minorEastAsia" w:hAnsiTheme="minorEastAsia" w:eastAsiaTheme="minorEastAsia" w:cstheme="minorEastAsia"/>
          <w:b/>
          <w:bCs/>
          <w:color w:val="000000" w:themeColor="text1"/>
          <w:spacing w:val="-3"/>
          <w:position w:val="10"/>
          <w:sz w:val="24"/>
          <w:szCs w:val="24"/>
          <w:lang w:eastAsia="zh-CN"/>
        </w:rPr>
        <w:t>“投标保证金</w:t>
      </w:r>
      <w:r>
        <w:rPr>
          <w:rFonts w:hint="eastAsia" w:asciiTheme="minorEastAsia" w:hAnsiTheme="minorEastAsia" w:eastAsiaTheme="minorEastAsia" w:cstheme="minorEastAsia"/>
          <w:color w:val="000000" w:themeColor="text1"/>
          <w:spacing w:val="-72"/>
          <w:position w:val="10"/>
          <w:sz w:val="24"/>
          <w:szCs w:val="24"/>
          <w:lang w:eastAsia="zh-CN"/>
        </w:rPr>
        <w:t xml:space="preserve"> </w:t>
      </w:r>
      <w:r>
        <w:rPr>
          <w:rFonts w:hint="eastAsia" w:asciiTheme="minorEastAsia" w:hAnsiTheme="minorEastAsia" w:eastAsiaTheme="minorEastAsia" w:cstheme="minorEastAsia"/>
          <w:b/>
          <w:bCs/>
          <w:color w:val="000000" w:themeColor="text1"/>
          <w:spacing w:val="-3"/>
          <w:position w:val="10"/>
          <w:sz w:val="24"/>
          <w:szCs w:val="24"/>
          <w:lang w:eastAsia="zh-CN"/>
        </w:rPr>
        <w:t>”</w:t>
      </w:r>
      <w:r>
        <w:rPr>
          <w:rFonts w:hint="eastAsia" w:asciiTheme="minorEastAsia" w:hAnsiTheme="minorEastAsia" w:eastAsiaTheme="minorEastAsia" w:cstheme="minorEastAsia"/>
          <w:color w:val="000000" w:themeColor="text1"/>
          <w:spacing w:val="-3"/>
          <w:position w:val="10"/>
          <w:sz w:val="24"/>
          <w:szCs w:val="24"/>
          <w:lang w:eastAsia="zh-CN"/>
        </w:rPr>
        <w:t>材料可使用转账凭证复印件。</w:t>
      </w:r>
    </w:p>
    <w:p w14:paraId="0A0A6FB6">
      <w:pPr>
        <w:spacing w:line="218"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2、投标保证金是否已提交的认定按照招标文件第三章规定执行。</w:t>
      </w:r>
    </w:p>
    <w:p w14:paraId="40B0846A">
      <w:pPr>
        <w:pStyle w:val="8"/>
        <w:spacing w:line="241" w:lineRule="auto"/>
        <w:rPr>
          <w:rFonts w:hint="eastAsia" w:asciiTheme="minorEastAsia" w:hAnsiTheme="minorEastAsia" w:eastAsiaTheme="minorEastAsia" w:cstheme="minorEastAsia"/>
          <w:color w:val="000000" w:themeColor="text1"/>
          <w:lang w:eastAsia="zh-CN"/>
        </w:rPr>
      </w:pPr>
    </w:p>
    <w:p w14:paraId="5591AA39">
      <w:pPr>
        <w:pStyle w:val="8"/>
        <w:spacing w:line="241" w:lineRule="auto"/>
        <w:rPr>
          <w:rFonts w:hint="eastAsia" w:asciiTheme="minorEastAsia" w:hAnsiTheme="minorEastAsia" w:eastAsiaTheme="minorEastAsia" w:cstheme="minorEastAsia"/>
          <w:color w:val="000000" w:themeColor="text1"/>
          <w:lang w:eastAsia="zh-CN"/>
        </w:rPr>
      </w:pPr>
    </w:p>
    <w:p w14:paraId="3DDDE4EB">
      <w:pPr>
        <w:pStyle w:val="8"/>
        <w:spacing w:line="241" w:lineRule="auto"/>
        <w:rPr>
          <w:rFonts w:hint="eastAsia" w:asciiTheme="minorEastAsia" w:hAnsiTheme="minorEastAsia" w:eastAsiaTheme="minorEastAsia" w:cstheme="minorEastAsia"/>
          <w:color w:val="000000" w:themeColor="text1"/>
          <w:lang w:eastAsia="zh-CN"/>
        </w:rPr>
      </w:pPr>
    </w:p>
    <w:p w14:paraId="378CFF58">
      <w:pPr>
        <w:pStyle w:val="8"/>
        <w:spacing w:line="241" w:lineRule="auto"/>
        <w:rPr>
          <w:rFonts w:hint="eastAsia" w:asciiTheme="minorEastAsia" w:hAnsiTheme="minorEastAsia" w:eastAsiaTheme="minorEastAsia" w:cstheme="minorEastAsia"/>
          <w:color w:val="000000" w:themeColor="text1"/>
          <w:lang w:eastAsia="zh-CN"/>
        </w:rPr>
      </w:pPr>
    </w:p>
    <w:p w14:paraId="675B591F">
      <w:pPr>
        <w:pStyle w:val="8"/>
        <w:spacing w:line="241" w:lineRule="auto"/>
        <w:rPr>
          <w:rFonts w:hint="eastAsia" w:asciiTheme="minorEastAsia" w:hAnsiTheme="minorEastAsia" w:eastAsiaTheme="minorEastAsia" w:cstheme="minorEastAsia"/>
          <w:color w:val="000000" w:themeColor="text1"/>
          <w:lang w:eastAsia="zh-CN"/>
        </w:rPr>
      </w:pPr>
    </w:p>
    <w:p w14:paraId="23362E23">
      <w:pPr>
        <w:pStyle w:val="8"/>
        <w:spacing w:line="241" w:lineRule="auto"/>
        <w:rPr>
          <w:rFonts w:hint="eastAsia" w:asciiTheme="minorEastAsia" w:hAnsiTheme="minorEastAsia" w:eastAsiaTheme="minorEastAsia" w:cstheme="minorEastAsia"/>
          <w:color w:val="000000" w:themeColor="text1"/>
          <w:lang w:eastAsia="zh-CN"/>
        </w:rPr>
      </w:pPr>
    </w:p>
    <w:p w14:paraId="291BA1F9">
      <w:pPr>
        <w:pStyle w:val="8"/>
        <w:spacing w:line="241" w:lineRule="auto"/>
        <w:rPr>
          <w:rFonts w:hint="eastAsia" w:asciiTheme="minorEastAsia" w:hAnsiTheme="minorEastAsia" w:eastAsiaTheme="minorEastAsia" w:cstheme="minorEastAsia"/>
          <w:color w:val="000000" w:themeColor="text1"/>
          <w:lang w:eastAsia="zh-CN"/>
        </w:rPr>
      </w:pPr>
    </w:p>
    <w:p w14:paraId="2F47DA12">
      <w:pPr>
        <w:pStyle w:val="8"/>
        <w:spacing w:line="241" w:lineRule="auto"/>
        <w:rPr>
          <w:rFonts w:hint="eastAsia" w:asciiTheme="minorEastAsia" w:hAnsiTheme="minorEastAsia" w:eastAsiaTheme="minorEastAsia" w:cstheme="minorEastAsia"/>
          <w:color w:val="000000" w:themeColor="text1"/>
          <w:lang w:eastAsia="zh-CN"/>
        </w:rPr>
      </w:pPr>
    </w:p>
    <w:p w14:paraId="68FA449D">
      <w:pPr>
        <w:pStyle w:val="8"/>
        <w:spacing w:line="241" w:lineRule="auto"/>
        <w:rPr>
          <w:rFonts w:hint="eastAsia" w:asciiTheme="minorEastAsia" w:hAnsiTheme="minorEastAsia" w:eastAsiaTheme="minorEastAsia" w:cstheme="minorEastAsia"/>
          <w:color w:val="000000" w:themeColor="text1"/>
          <w:lang w:eastAsia="zh-CN"/>
        </w:rPr>
      </w:pPr>
    </w:p>
    <w:p w14:paraId="34BB495F">
      <w:pPr>
        <w:pStyle w:val="8"/>
        <w:spacing w:line="241" w:lineRule="auto"/>
        <w:rPr>
          <w:rFonts w:hint="eastAsia" w:asciiTheme="minorEastAsia" w:hAnsiTheme="minorEastAsia" w:eastAsiaTheme="minorEastAsia" w:cstheme="minorEastAsia"/>
          <w:color w:val="000000" w:themeColor="text1"/>
          <w:lang w:eastAsia="zh-CN"/>
        </w:rPr>
      </w:pPr>
    </w:p>
    <w:p w14:paraId="5AFD930F">
      <w:pPr>
        <w:pStyle w:val="8"/>
        <w:spacing w:line="241" w:lineRule="auto"/>
        <w:rPr>
          <w:rFonts w:hint="eastAsia" w:asciiTheme="minorEastAsia" w:hAnsiTheme="minorEastAsia" w:eastAsiaTheme="minorEastAsia" w:cstheme="minorEastAsia"/>
          <w:color w:val="000000" w:themeColor="text1"/>
          <w:lang w:eastAsia="zh-CN"/>
        </w:rPr>
      </w:pPr>
    </w:p>
    <w:p w14:paraId="0FB0B147">
      <w:pPr>
        <w:pStyle w:val="8"/>
        <w:spacing w:line="241" w:lineRule="auto"/>
        <w:rPr>
          <w:rFonts w:hint="eastAsia" w:asciiTheme="minorEastAsia" w:hAnsiTheme="minorEastAsia" w:eastAsiaTheme="minorEastAsia" w:cstheme="minorEastAsia"/>
          <w:color w:val="000000" w:themeColor="text1"/>
          <w:lang w:eastAsia="zh-CN"/>
        </w:rPr>
      </w:pPr>
    </w:p>
    <w:p w14:paraId="71C6A6D2">
      <w:pPr>
        <w:pStyle w:val="8"/>
        <w:spacing w:line="241" w:lineRule="auto"/>
        <w:rPr>
          <w:rFonts w:hint="eastAsia" w:asciiTheme="minorEastAsia" w:hAnsiTheme="minorEastAsia" w:eastAsiaTheme="minorEastAsia" w:cstheme="minorEastAsia"/>
          <w:color w:val="000000" w:themeColor="text1"/>
          <w:lang w:eastAsia="zh-CN"/>
        </w:rPr>
      </w:pPr>
    </w:p>
    <w:p w14:paraId="0F9C4749">
      <w:pPr>
        <w:pStyle w:val="8"/>
        <w:spacing w:line="241" w:lineRule="auto"/>
        <w:rPr>
          <w:rFonts w:hint="eastAsia" w:asciiTheme="minorEastAsia" w:hAnsiTheme="minorEastAsia" w:eastAsiaTheme="minorEastAsia" w:cstheme="minorEastAsia"/>
          <w:color w:val="000000" w:themeColor="text1"/>
          <w:lang w:eastAsia="zh-CN"/>
        </w:rPr>
      </w:pPr>
    </w:p>
    <w:p w14:paraId="5450D597">
      <w:pPr>
        <w:pStyle w:val="8"/>
        <w:spacing w:line="241" w:lineRule="auto"/>
        <w:rPr>
          <w:rFonts w:hint="eastAsia" w:asciiTheme="minorEastAsia" w:hAnsiTheme="minorEastAsia" w:eastAsiaTheme="minorEastAsia" w:cstheme="minorEastAsia"/>
          <w:color w:val="000000" w:themeColor="text1"/>
          <w:lang w:eastAsia="zh-CN"/>
        </w:rPr>
      </w:pPr>
    </w:p>
    <w:p w14:paraId="63DA8F96">
      <w:pPr>
        <w:pStyle w:val="8"/>
        <w:spacing w:line="241" w:lineRule="auto"/>
        <w:rPr>
          <w:rFonts w:hint="eastAsia" w:asciiTheme="minorEastAsia" w:hAnsiTheme="minorEastAsia" w:eastAsiaTheme="minorEastAsia" w:cstheme="minorEastAsia"/>
          <w:color w:val="000000" w:themeColor="text1"/>
          <w:lang w:eastAsia="zh-CN"/>
        </w:rPr>
      </w:pPr>
    </w:p>
    <w:p w14:paraId="55BDF61A">
      <w:pPr>
        <w:pStyle w:val="8"/>
        <w:spacing w:line="241" w:lineRule="auto"/>
        <w:rPr>
          <w:rFonts w:hint="eastAsia" w:asciiTheme="minorEastAsia" w:hAnsiTheme="minorEastAsia" w:eastAsiaTheme="minorEastAsia" w:cstheme="minorEastAsia"/>
          <w:color w:val="000000" w:themeColor="text1"/>
          <w:lang w:eastAsia="zh-CN"/>
        </w:rPr>
      </w:pPr>
    </w:p>
    <w:p w14:paraId="7CF55DCE">
      <w:pPr>
        <w:pStyle w:val="8"/>
        <w:spacing w:line="241" w:lineRule="auto"/>
        <w:rPr>
          <w:rFonts w:hint="eastAsia" w:asciiTheme="minorEastAsia" w:hAnsiTheme="minorEastAsia" w:eastAsiaTheme="minorEastAsia" w:cstheme="minorEastAsia"/>
          <w:color w:val="000000" w:themeColor="text1"/>
          <w:lang w:eastAsia="zh-CN"/>
        </w:rPr>
      </w:pPr>
    </w:p>
    <w:p w14:paraId="207695CA">
      <w:pPr>
        <w:pStyle w:val="8"/>
        <w:spacing w:line="241" w:lineRule="auto"/>
        <w:rPr>
          <w:rFonts w:hint="eastAsia" w:asciiTheme="minorEastAsia" w:hAnsiTheme="minorEastAsia" w:eastAsiaTheme="minorEastAsia" w:cstheme="minorEastAsia"/>
          <w:color w:val="000000" w:themeColor="text1"/>
          <w:lang w:eastAsia="zh-CN"/>
        </w:rPr>
      </w:pPr>
    </w:p>
    <w:p w14:paraId="5BDCFA65">
      <w:pPr>
        <w:pStyle w:val="8"/>
        <w:spacing w:line="241" w:lineRule="auto"/>
        <w:rPr>
          <w:rFonts w:hint="eastAsia" w:asciiTheme="minorEastAsia" w:hAnsiTheme="minorEastAsia" w:eastAsiaTheme="minorEastAsia" w:cstheme="minorEastAsia"/>
          <w:color w:val="000000" w:themeColor="text1"/>
          <w:lang w:eastAsia="zh-CN"/>
        </w:rPr>
      </w:pPr>
    </w:p>
    <w:p w14:paraId="07BEA77A">
      <w:pPr>
        <w:pStyle w:val="8"/>
        <w:spacing w:line="241" w:lineRule="auto"/>
        <w:rPr>
          <w:rFonts w:hint="eastAsia" w:asciiTheme="minorEastAsia" w:hAnsiTheme="minorEastAsia" w:eastAsiaTheme="minorEastAsia" w:cstheme="minorEastAsia"/>
          <w:color w:val="000000" w:themeColor="text1"/>
          <w:lang w:eastAsia="zh-CN"/>
        </w:rPr>
      </w:pPr>
    </w:p>
    <w:p w14:paraId="7C47C5FE">
      <w:pPr>
        <w:pStyle w:val="8"/>
        <w:spacing w:line="241" w:lineRule="auto"/>
        <w:rPr>
          <w:rFonts w:hint="eastAsia" w:asciiTheme="minorEastAsia" w:hAnsiTheme="minorEastAsia" w:eastAsiaTheme="minorEastAsia" w:cstheme="minorEastAsia"/>
          <w:color w:val="000000" w:themeColor="text1"/>
          <w:lang w:eastAsia="zh-CN"/>
        </w:rPr>
      </w:pPr>
    </w:p>
    <w:p w14:paraId="66A71C38">
      <w:pPr>
        <w:pStyle w:val="8"/>
        <w:spacing w:line="241" w:lineRule="auto"/>
        <w:rPr>
          <w:rFonts w:hint="eastAsia" w:asciiTheme="minorEastAsia" w:hAnsiTheme="minorEastAsia" w:eastAsiaTheme="minorEastAsia" w:cstheme="minorEastAsia"/>
          <w:color w:val="000000" w:themeColor="text1"/>
          <w:lang w:eastAsia="zh-CN"/>
        </w:rPr>
      </w:pPr>
    </w:p>
    <w:p w14:paraId="2AA7A5B6">
      <w:pPr>
        <w:pStyle w:val="8"/>
        <w:spacing w:line="241" w:lineRule="auto"/>
        <w:rPr>
          <w:rFonts w:hint="eastAsia" w:asciiTheme="minorEastAsia" w:hAnsiTheme="minorEastAsia" w:eastAsiaTheme="minorEastAsia" w:cstheme="minorEastAsia"/>
          <w:color w:val="000000" w:themeColor="text1"/>
          <w:lang w:eastAsia="zh-CN"/>
        </w:rPr>
      </w:pPr>
    </w:p>
    <w:p w14:paraId="33E60B97">
      <w:pPr>
        <w:pStyle w:val="8"/>
        <w:spacing w:line="241" w:lineRule="auto"/>
        <w:rPr>
          <w:rFonts w:hint="eastAsia" w:asciiTheme="minorEastAsia" w:hAnsiTheme="minorEastAsia" w:eastAsiaTheme="minorEastAsia" w:cstheme="minorEastAsia"/>
          <w:color w:val="000000" w:themeColor="text1"/>
          <w:lang w:eastAsia="zh-CN"/>
        </w:rPr>
      </w:pPr>
    </w:p>
    <w:p w14:paraId="7B3044E4">
      <w:pPr>
        <w:pStyle w:val="8"/>
        <w:spacing w:line="241" w:lineRule="auto"/>
        <w:rPr>
          <w:rFonts w:hint="eastAsia" w:asciiTheme="minorEastAsia" w:hAnsiTheme="minorEastAsia" w:eastAsiaTheme="minorEastAsia" w:cstheme="minorEastAsia"/>
          <w:color w:val="000000" w:themeColor="text1"/>
          <w:lang w:eastAsia="zh-CN"/>
        </w:rPr>
      </w:pPr>
    </w:p>
    <w:p w14:paraId="73C67BB4">
      <w:pPr>
        <w:pStyle w:val="8"/>
        <w:spacing w:line="241" w:lineRule="auto"/>
        <w:rPr>
          <w:rFonts w:hint="eastAsia" w:asciiTheme="minorEastAsia" w:hAnsiTheme="minorEastAsia" w:eastAsiaTheme="minorEastAsia" w:cstheme="minorEastAsia"/>
          <w:color w:val="000000" w:themeColor="text1"/>
          <w:lang w:eastAsia="zh-CN"/>
        </w:rPr>
      </w:pPr>
    </w:p>
    <w:p w14:paraId="66F920CC">
      <w:pPr>
        <w:pStyle w:val="8"/>
        <w:spacing w:line="241" w:lineRule="auto"/>
        <w:rPr>
          <w:rFonts w:hint="eastAsia" w:asciiTheme="minorEastAsia" w:hAnsiTheme="minorEastAsia" w:eastAsiaTheme="minorEastAsia" w:cstheme="minorEastAsia"/>
          <w:color w:val="000000" w:themeColor="text1"/>
          <w:lang w:eastAsia="zh-CN"/>
        </w:rPr>
      </w:pPr>
    </w:p>
    <w:p w14:paraId="3131935E">
      <w:pPr>
        <w:pStyle w:val="8"/>
        <w:spacing w:line="241" w:lineRule="auto"/>
        <w:rPr>
          <w:rFonts w:hint="eastAsia" w:asciiTheme="minorEastAsia" w:hAnsiTheme="minorEastAsia" w:eastAsiaTheme="minorEastAsia" w:cstheme="minorEastAsia"/>
          <w:color w:val="000000" w:themeColor="text1"/>
          <w:lang w:eastAsia="zh-CN"/>
        </w:rPr>
      </w:pPr>
    </w:p>
    <w:p w14:paraId="3F76B4F5">
      <w:pPr>
        <w:pStyle w:val="8"/>
        <w:spacing w:line="241" w:lineRule="auto"/>
        <w:rPr>
          <w:rFonts w:hint="eastAsia" w:asciiTheme="minorEastAsia" w:hAnsiTheme="minorEastAsia" w:eastAsiaTheme="minorEastAsia" w:cstheme="minorEastAsia"/>
          <w:color w:val="000000" w:themeColor="text1"/>
          <w:lang w:eastAsia="zh-CN"/>
        </w:rPr>
      </w:pPr>
    </w:p>
    <w:p w14:paraId="11A4CA56">
      <w:pPr>
        <w:pStyle w:val="8"/>
        <w:spacing w:line="241" w:lineRule="auto"/>
        <w:rPr>
          <w:rFonts w:hint="eastAsia" w:asciiTheme="minorEastAsia" w:hAnsiTheme="minorEastAsia" w:eastAsiaTheme="minorEastAsia" w:cstheme="minorEastAsia"/>
          <w:color w:val="000000" w:themeColor="text1"/>
          <w:lang w:eastAsia="zh-CN"/>
        </w:rPr>
      </w:pPr>
    </w:p>
    <w:p w14:paraId="21D88AE7">
      <w:pPr>
        <w:pStyle w:val="8"/>
        <w:spacing w:line="241" w:lineRule="auto"/>
        <w:rPr>
          <w:rFonts w:hint="eastAsia" w:asciiTheme="minorEastAsia" w:hAnsiTheme="minorEastAsia" w:eastAsiaTheme="minorEastAsia" w:cstheme="minorEastAsia"/>
          <w:color w:val="000000" w:themeColor="text1"/>
          <w:lang w:eastAsia="zh-CN"/>
        </w:rPr>
      </w:pPr>
    </w:p>
    <w:p w14:paraId="3BBC5619">
      <w:pPr>
        <w:pStyle w:val="8"/>
        <w:spacing w:line="241" w:lineRule="auto"/>
        <w:rPr>
          <w:rFonts w:hint="eastAsia" w:asciiTheme="minorEastAsia" w:hAnsiTheme="minorEastAsia" w:eastAsiaTheme="minorEastAsia" w:cstheme="minorEastAsia"/>
          <w:color w:val="000000" w:themeColor="text1"/>
          <w:lang w:eastAsia="zh-CN"/>
        </w:rPr>
      </w:pPr>
    </w:p>
    <w:p w14:paraId="65D7DC91">
      <w:pPr>
        <w:pStyle w:val="8"/>
        <w:spacing w:line="241" w:lineRule="auto"/>
        <w:rPr>
          <w:rFonts w:hint="eastAsia" w:asciiTheme="minorEastAsia" w:hAnsiTheme="minorEastAsia" w:eastAsiaTheme="minorEastAsia" w:cstheme="minorEastAsia"/>
          <w:color w:val="000000" w:themeColor="text1"/>
          <w:lang w:eastAsia="zh-CN"/>
        </w:rPr>
      </w:pPr>
    </w:p>
    <w:p w14:paraId="4D0E624D">
      <w:pPr>
        <w:pStyle w:val="8"/>
        <w:spacing w:line="241" w:lineRule="auto"/>
        <w:rPr>
          <w:rFonts w:hint="eastAsia" w:asciiTheme="minorEastAsia" w:hAnsiTheme="minorEastAsia" w:eastAsiaTheme="minorEastAsia" w:cstheme="minorEastAsia"/>
          <w:color w:val="000000" w:themeColor="text1"/>
          <w:lang w:eastAsia="zh-CN"/>
        </w:rPr>
      </w:pPr>
    </w:p>
    <w:p w14:paraId="1EE881A4">
      <w:pPr>
        <w:pStyle w:val="8"/>
        <w:spacing w:line="241" w:lineRule="auto"/>
        <w:rPr>
          <w:rFonts w:hint="eastAsia" w:asciiTheme="minorEastAsia" w:hAnsiTheme="minorEastAsia" w:eastAsiaTheme="minorEastAsia" w:cstheme="minorEastAsia"/>
          <w:color w:val="000000" w:themeColor="text1"/>
          <w:lang w:eastAsia="zh-CN"/>
        </w:rPr>
      </w:pPr>
    </w:p>
    <w:p w14:paraId="4E7AC0DB">
      <w:pPr>
        <w:pStyle w:val="8"/>
        <w:spacing w:line="242" w:lineRule="auto"/>
        <w:rPr>
          <w:rFonts w:hint="eastAsia" w:asciiTheme="minorEastAsia" w:hAnsiTheme="minorEastAsia" w:eastAsiaTheme="minorEastAsia" w:cstheme="minorEastAsia"/>
          <w:color w:val="000000" w:themeColor="text1"/>
          <w:lang w:eastAsia="zh-CN"/>
        </w:rPr>
      </w:pPr>
    </w:p>
    <w:p w14:paraId="6A91DE45">
      <w:pPr>
        <w:pStyle w:val="8"/>
        <w:spacing w:line="242" w:lineRule="auto"/>
        <w:rPr>
          <w:rFonts w:hint="eastAsia" w:asciiTheme="minorEastAsia" w:hAnsiTheme="minorEastAsia" w:eastAsiaTheme="minorEastAsia" w:cstheme="minorEastAsia"/>
          <w:color w:val="000000" w:themeColor="text1"/>
          <w:lang w:eastAsia="zh-CN"/>
        </w:rPr>
      </w:pPr>
    </w:p>
    <w:p w14:paraId="640B770B">
      <w:pPr>
        <w:pStyle w:val="8"/>
        <w:spacing w:line="242" w:lineRule="auto"/>
        <w:rPr>
          <w:rFonts w:hint="eastAsia" w:asciiTheme="minorEastAsia" w:hAnsiTheme="minorEastAsia" w:eastAsiaTheme="minorEastAsia" w:cstheme="minorEastAsia"/>
          <w:color w:val="000000" w:themeColor="text1"/>
          <w:lang w:eastAsia="zh-CN"/>
        </w:rPr>
      </w:pPr>
    </w:p>
    <w:p w14:paraId="6FA699B7">
      <w:pPr>
        <w:pStyle w:val="8"/>
        <w:spacing w:line="242" w:lineRule="auto"/>
        <w:rPr>
          <w:rFonts w:hint="eastAsia" w:asciiTheme="minorEastAsia" w:hAnsiTheme="minorEastAsia" w:eastAsiaTheme="minorEastAsia" w:cstheme="minorEastAsia"/>
          <w:color w:val="000000" w:themeColor="text1"/>
          <w:lang w:eastAsia="zh-CN"/>
        </w:rPr>
      </w:pPr>
    </w:p>
    <w:p w14:paraId="176604BD">
      <w:pPr>
        <w:pStyle w:val="8"/>
        <w:spacing w:line="242" w:lineRule="auto"/>
        <w:rPr>
          <w:rFonts w:hint="eastAsia" w:asciiTheme="minorEastAsia" w:hAnsiTheme="minorEastAsia" w:eastAsiaTheme="minorEastAsia" w:cstheme="minorEastAsia"/>
          <w:color w:val="000000" w:themeColor="text1"/>
          <w:lang w:eastAsia="zh-CN"/>
        </w:rPr>
      </w:pPr>
    </w:p>
    <w:p w14:paraId="1118A07D">
      <w:pPr>
        <w:pStyle w:val="8"/>
        <w:spacing w:line="242" w:lineRule="auto"/>
        <w:rPr>
          <w:rFonts w:hint="eastAsia" w:asciiTheme="minorEastAsia" w:hAnsiTheme="minorEastAsia" w:eastAsiaTheme="minorEastAsia" w:cstheme="minorEastAsia"/>
          <w:color w:val="000000" w:themeColor="text1"/>
          <w:lang w:eastAsia="zh-CN"/>
        </w:rPr>
      </w:pPr>
    </w:p>
    <w:p w14:paraId="4CFDA080">
      <w:pPr>
        <w:pStyle w:val="8"/>
        <w:spacing w:line="242" w:lineRule="auto"/>
        <w:rPr>
          <w:rFonts w:hint="eastAsia" w:asciiTheme="minorEastAsia" w:hAnsiTheme="minorEastAsia" w:eastAsiaTheme="minorEastAsia" w:cstheme="minorEastAsia"/>
          <w:color w:val="000000" w:themeColor="text1"/>
          <w:lang w:eastAsia="zh-CN"/>
        </w:rPr>
      </w:pPr>
    </w:p>
    <w:p w14:paraId="42A447E2">
      <w:pPr>
        <w:pStyle w:val="8"/>
        <w:spacing w:line="242" w:lineRule="auto"/>
        <w:rPr>
          <w:rFonts w:hint="eastAsia" w:asciiTheme="minorEastAsia" w:hAnsiTheme="minorEastAsia" w:eastAsiaTheme="minorEastAsia" w:cstheme="minorEastAsia"/>
          <w:color w:val="000000" w:themeColor="text1"/>
          <w:lang w:eastAsia="zh-CN"/>
        </w:rPr>
      </w:pPr>
    </w:p>
    <w:p w14:paraId="083A7CDD">
      <w:pPr>
        <w:pStyle w:val="8"/>
        <w:spacing w:line="406" w:lineRule="auto"/>
        <w:rPr>
          <w:rFonts w:hint="eastAsia" w:asciiTheme="minorEastAsia" w:hAnsiTheme="minorEastAsia" w:eastAsiaTheme="minorEastAsia" w:cstheme="minorEastAsia"/>
          <w:color w:val="000000" w:themeColor="text1"/>
          <w:lang w:eastAsia="zh-CN"/>
        </w:rPr>
      </w:pPr>
    </w:p>
    <w:p w14:paraId="52FC437C">
      <w:pPr>
        <w:spacing w:before="78" w:line="219" w:lineRule="auto"/>
        <w:ind w:left="339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4、招标服务费承诺书</w:t>
      </w:r>
    </w:p>
    <w:p w14:paraId="5A2E767C">
      <w:pPr>
        <w:pStyle w:val="8"/>
        <w:spacing w:line="396" w:lineRule="auto"/>
        <w:rPr>
          <w:rFonts w:hint="eastAsia" w:asciiTheme="minorEastAsia" w:hAnsiTheme="minorEastAsia" w:eastAsiaTheme="minorEastAsia" w:cstheme="minorEastAsia"/>
          <w:color w:val="000000" w:themeColor="text1"/>
          <w:lang w:eastAsia="zh-CN"/>
        </w:rPr>
      </w:pPr>
    </w:p>
    <w:p w14:paraId="04C1514F">
      <w:pPr>
        <w:spacing w:before="78"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福建三仟招标有限公司：</w:t>
      </w:r>
    </w:p>
    <w:p w14:paraId="7DE791EF">
      <w:pPr>
        <w:spacing w:before="94" w:line="268" w:lineRule="auto"/>
        <w:ind w:left="1" w:firstLine="481"/>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我们在贵公司组织的项目招标中投标（招标编号</w:t>
      </w:r>
      <w:r>
        <w:rPr>
          <w:rFonts w:hint="eastAsia" w:asciiTheme="minorEastAsia" w:hAnsiTheme="minorEastAsia" w:eastAsiaTheme="minorEastAsia" w:cstheme="minorEastAsia"/>
          <w:color w:val="000000" w:themeColor="text1"/>
          <w:spacing w:val="-1"/>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rPr>
        <w:t>如获中标，我们保证</w:t>
      </w:r>
      <w:r>
        <w:rPr>
          <w:rFonts w:hint="eastAsia" w:asciiTheme="minorEastAsia" w:hAnsiTheme="minorEastAsia" w:eastAsiaTheme="minorEastAsia" w:cstheme="minorEastAsia"/>
          <w:b/>
          <w:bCs/>
          <w:color w:val="000000" w:themeColor="text1"/>
          <w:spacing w:val="-2"/>
          <w:sz w:val="24"/>
          <w:szCs w:val="24"/>
          <w:lang w:eastAsia="zh-CN"/>
        </w:rPr>
        <w:t>在接到</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通知之日起</w:t>
      </w:r>
      <w:r>
        <w:rPr>
          <w:rFonts w:hint="eastAsia" w:asciiTheme="minorEastAsia" w:hAnsiTheme="minorEastAsia" w:eastAsiaTheme="minorEastAsia" w:cstheme="minorEastAsia"/>
          <w:color w:val="000000" w:themeColor="text1"/>
          <w:spacing w:val="-46"/>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3</w:t>
      </w:r>
      <w:r>
        <w:rPr>
          <w:rFonts w:hint="eastAsia" w:asciiTheme="minorEastAsia" w:hAnsiTheme="minorEastAsia" w:eastAsiaTheme="minorEastAsia" w:cstheme="minorEastAsia"/>
          <w:color w:val="000000" w:themeColor="text1"/>
          <w:spacing w:val="-50"/>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个工作日内领取《中标通知书</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，并按招标文件的规定，以电汇、转帐形</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式或经贵公司认可的其他付款方式，向贵公司缴交招标服务费。</w:t>
      </w:r>
    </w:p>
    <w:p w14:paraId="7816A8EB">
      <w:pPr>
        <w:spacing w:before="92" w:line="256" w:lineRule="auto"/>
        <w:ind w:left="3" w:firstLine="4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我方如违反上述承诺，所提交的上述项目的投标保证金将不予退还我方，我方对此</w:t>
      </w:r>
      <w:r>
        <w:rPr>
          <w:rFonts w:hint="eastAsia" w:asciiTheme="minorEastAsia" w:hAnsiTheme="minorEastAsia" w:eastAsiaTheme="minorEastAsia" w:cstheme="minorEastAsia"/>
          <w:color w:val="000000" w:themeColor="text1"/>
          <w:spacing w:val="1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无异议。</w:t>
      </w:r>
    </w:p>
    <w:p w14:paraId="7FCAE7AB">
      <w:pPr>
        <w:pStyle w:val="8"/>
        <w:spacing w:line="395" w:lineRule="auto"/>
        <w:rPr>
          <w:rFonts w:hint="eastAsia" w:asciiTheme="minorEastAsia" w:hAnsiTheme="minorEastAsia" w:eastAsiaTheme="minorEastAsia" w:cstheme="minorEastAsia"/>
          <w:color w:val="000000" w:themeColor="text1"/>
          <w:lang w:eastAsia="zh-CN"/>
        </w:rPr>
      </w:pPr>
    </w:p>
    <w:p w14:paraId="2C82055D">
      <w:pPr>
        <w:spacing w:before="79" w:line="219" w:lineRule="auto"/>
        <w:ind w:left="48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特此承诺！</w:t>
      </w:r>
    </w:p>
    <w:p w14:paraId="267EF7CE">
      <w:pPr>
        <w:pStyle w:val="8"/>
        <w:spacing w:line="395" w:lineRule="auto"/>
        <w:rPr>
          <w:rFonts w:hint="eastAsia" w:asciiTheme="minorEastAsia" w:hAnsiTheme="minorEastAsia" w:eastAsiaTheme="minorEastAsia" w:cstheme="minorEastAsia"/>
          <w:color w:val="000000" w:themeColor="text1"/>
          <w:lang w:eastAsia="zh-CN"/>
        </w:rPr>
      </w:pPr>
    </w:p>
    <w:p w14:paraId="4D9D9225">
      <w:pPr>
        <w:spacing w:before="78" w:line="379" w:lineRule="exact"/>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投标人（全称并加盖公章</w:t>
      </w:r>
      <w:r>
        <w:rPr>
          <w:rFonts w:hint="eastAsia" w:asciiTheme="minorEastAsia" w:hAnsiTheme="minorEastAsia" w:eastAsiaTheme="minorEastAsia" w:cstheme="minorEastAsia"/>
          <w:color w:val="000000" w:themeColor="text1"/>
          <w:spacing w:val="4"/>
          <w:position w:val="10"/>
          <w:sz w:val="24"/>
          <w:szCs w:val="24"/>
          <w:lang w:eastAsia="zh-CN"/>
        </w:rPr>
        <w:t>）：</w:t>
      </w:r>
    </w:p>
    <w:p w14:paraId="0AF4617B">
      <w:pPr>
        <w:spacing w:before="1" w:line="219" w:lineRule="auto"/>
        <w:ind w:left="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p>
    <w:p w14:paraId="79805E88">
      <w:pPr>
        <w:spacing w:before="94" w:line="219" w:lineRule="auto"/>
        <w:ind w:left="337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邮编：电话：</w:t>
      </w:r>
    </w:p>
    <w:p w14:paraId="2671C249">
      <w:pPr>
        <w:spacing w:before="96"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0"/>
          <w:sz w:val="24"/>
          <w:szCs w:val="24"/>
          <w:lang w:eastAsia="zh-CN"/>
        </w:rPr>
        <w:t>传真：</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0"/>
          <w:sz w:val="24"/>
          <w:szCs w:val="24"/>
          <w:lang w:eastAsia="zh-CN"/>
        </w:rPr>
        <w:t>日期：</w:t>
      </w:r>
    </w:p>
    <w:p w14:paraId="17408D6D">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1" w:type="default"/>
          <w:pgSz w:w="11906" w:h="16839"/>
          <w:pgMar w:top="1431" w:right="1418" w:bottom="1260" w:left="1423" w:header="0" w:footer="1013" w:gutter="0"/>
          <w:pgNumType w:fmt="decimal"/>
          <w:cols w:space="720" w:num="1"/>
        </w:sectPr>
      </w:pPr>
    </w:p>
    <w:p w14:paraId="6A02AC93">
      <w:pPr>
        <w:spacing w:before="107" w:line="219" w:lineRule="auto"/>
        <w:ind w:left="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附</w:t>
      </w:r>
    </w:p>
    <w:p w14:paraId="615113DE">
      <w:pPr>
        <w:spacing w:before="95" w:line="220" w:lineRule="auto"/>
        <w:ind w:left="34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退还投标保证金的函</w:t>
      </w:r>
    </w:p>
    <w:p w14:paraId="46F3F653">
      <w:pPr>
        <w:pStyle w:val="8"/>
        <w:spacing w:line="394" w:lineRule="auto"/>
        <w:rPr>
          <w:rFonts w:hint="eastAsia" w:asciiTheme="minorEastAsia" w:hAnsiTheme="minorEastAsia" w:eastAsiaTheme="minorEastAsia" w:cstheme="minorEastAsia"/>
          <w:color w:val="000000" w:themeColor="text1"/>
          <w:lang w:eastAsia="zh-CN"/>
        </w:rPr>
      </w:pPr>
    </w:p>
    <w:p w14:paraId="0BB3F31E">
      <w:pPr>
        <w:spacing w:before="78"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福建三仟招标有限公司：</w:t>
      </w:r>
    </w:p>
    <w:p w14:paraId="04ED0730">
      <w:pPr>
        <w:spacing w:before="92" w:line="278" w:lineRule="auto"/>
        <w:ind w:firstLine="489"/>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兹有我公司参加贵公司</w:t>
      </w:r>
      <w:r>
        <w:rPr>
          <w:rFonts w:hint="eastAsia" w:asciiTheme="minorEastAsia" w:hAnsiTheme="minorEastAsia" w:eastAsiaTheme="minorEastAsia" w:cstheme="minorEastAsia"/>
          <w:color w:val="000000" w:themeColor="text1"/>
          <w:sz w:val="24"/>
          <w:szCs w:val="24"/>
          <w:u w:val="single"/>
          <w:lang w:eastAsia="zh-CN"/>
        </w:rPr>
        <w:t xml:space="preserve">       年     月</w:t>
      </w:r>
      <w:r>
        <w:rPr>
          <w:rFonts w:hint="eastAsia" w:asciiTheme="minorEastAsia" w:hAnsiTheme="minorEastAsia" w:eastAsiaTheme="minorEastAsia" w:cstheme="minorEastAsia"/>
          <w:color w:val="000000" w:themeColor="text1"/>
          <w:spacing w:val="18"/>
          <w:sz w:val="24"/>
          <w:szCs w:val="24"/>
          <w:u w:val="single"/>
          <w:lang w:eastAsia="zh-CN"/>
        </w:rPr>
        <w:t xml:space="preserve">   </w:t>
      </w:r>
      <w:r>
        <w:rPr>
          <w:rFonts w:hint="eastAsia" w:asciiTheme="minorEastAsia" w:hAnsiTheme="minorEastAsia" w:eastAsiaTheme="minorEastAsia" w:cstheme="minorEastAsia"/>
          <w:color w:val="000000" w:themeColor="text1"/>
          <w:sz w:val="24"/>
          <w:szCs w:val="24"/>
          <w:u w:val="single"/>
          <w:lang w:eastAsia="zh-CN"/>
        </w:rPr>
        <w:t>日</w:t>
      </w:r>
      <w:r>
        <w:rPr>
          <w:rFonts w:hint="eastAsia" w:asciiTheme="minorEastAsia" w:hAnsiTheme="minorEastAsia" w:eastAsiaTheme="minorEastAsia" w:cstheme="minorEastAsia"/>
          <w:color w:val="000000" w:themeColor="text1"/>
          <w:sz w:val="24"/>
          <w:szCs w:val="24"/>
          <w:lang w:eastAsia="zh-CN"/>
        </w:rPr>
        <w:t>（开标时间）组织招标的（</w:t>
      </w:r>
      <w:r>
        <w:rPr>
          <w:rFonts w:hint="eastAsia" w:asciiTheme="minorEastAsia" w:hAnsiTheme="minorEastAsia" w:eastAsiaTheme="minorEastAsia" w:cstheme="minorEastAsia"/>
          <w:color w:val="000000" w:themeColor="text1"/>
          <w:spacing w:val="-1"/>
          <w:sz w:val="24"/>
          <w:szCs w:val="24"/>
          <w:lang w:eastAsia="zh-CN"/>
        </w:rPr>
        <w:t>项目名</w:t>
      </w:r>
      <w:r>
        <w:rPr>
          <w:rFonts w:hint="eastAsia" w:asciiTheme="minorEastAsia" w:hAnsiTheme="minorEastAsia" w:eastAsiaTheme="minorEastAsia" w:cstheme="minorEastAsia"/>
          <w:color w:val="000000" w:themeColor="text1"/>
          <w:spacing w:val="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称</w:t>
      </w:r>
      <w:r>
        <w:rPr>
          <w:rFonts w:hint="eastAsia" w:asciiTheme="minorEastAsia" w:hAnsiTheme="minorEastAsia" w:eastAsiaTheme="minorEastAsia" w:cstheme="minorEastAsia"/>
          <w:color w:val="000000" w:themeColor="text1"/>
          <w:spacing w:val="-15"/>
          <w:sz w:val="24"/>
          <w:szCs w:val="24"/>
          <w:lang w:eastAsia="zh-CN"/>
        </w:rPr>
        <w:t>）</w:t>
      </w:r>
      <w:r>
        <w:rPr>
          <w:rFonts w:hint="eastAsia" w:asciiTheme="minorEastAsia" w:hAnsiTheme="minorEastAsia" w:eastAsiaTheme="minorEastAsia" w:cstheme="minorEastAsia"/>
          <w:color w:val="000000" w:themeColor="text1"/>
          <w:spacing w:val="7"/>
          <w:sz w:val="24"/>
          <w:szCs w:val="24"/>
          <w:u w:val="single"/>
          <w:lang w:eastAsia="zh-CN"/>
        </w:rPr>
        <w:t xml:space="preserve">                </w:t>
      </w:r>
      <w:r>
        <w:rPr>
          <w:rFonts w:hint="eastAsia" w:asciiTheme="minorEastAsia" w:hAnsiTheme="minorEastAsia" w:eastAsiaTheme="minorEastAsia" w:cstheme="minorEastAsia"/>
          <w:color w:val="000000" w:themeColor="text1"/>
          <w:spacing w:val="-15"/>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招标编号</w:t>
      </w:r>
      <w:r>
        <w:rPr>
          <w:rFonts w:hint="eastAsia" w:asciiTheme="minorEastAsia" w:hAnsiTheme="minorEastAsia" w:eastAsiaTheme="minorEastAsia" w:cstheme="minorEastAsia"/>
          <w:color w:val="000000" w:themeColor="text1"/>
          <w:spacing w:val="-15"/>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合同包</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79"/>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的项目投标，本公司以（同</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城转帐、异地电汇）形式缴纳投标保证金人民币大写</w:t>
      </w:r>
      <w:r>
        <w:rPr>
          <w:rFonts w:hint="eastAsia" w:asciiTheme="minorEastAsia" w:hAnsiTheme="minorEastAsia" w:eastAsiaTheme="minorEastAsia" w:cstheme="minorEastAsia"/>
          <w:color w:val="000000" w:themeColor="text1"/>
          <w:spacing w:val="-15"/>
          <w:sz w:val="24"/>
          <w:szCs w:val="24"/>
          <w:lang w:eastAsia="zh-CN"/>
        </w:rPr>
        <w:t>：</w:t>
      </w:r>
      <w:r>
        <w:rPr>
          <w:rFonts w:hint="eastAsia" w:asciiTheme="minorEastAsia" w:hAnsiTheme="minorEastAsia" w:eastAsiaTheme="minorEastAsia" w:cstheme="minorEastAsia"/>
          <w:color w:val="000000" w:themeColor="text1"/>
          <w:spacing w:val="1"/>
          <w:sz w:val="24"/>
          <w:szCs w:val="24"/>
          <w:u w:val="single"/>
          <w:lang w:eastAsia="zh-CN"/>
        </w:rPr>
        <w:t xml:space="preserve">     </w:t>
      </w:r>
      <w:r>
        <w:rPr>
          <w:rFonts w:hint="eastAsia" w:asciiTheme="minorEastAsia" w:hAnsiTheme="minorEastAsia" w:eastAsiaTheme="minorEastAsia" w:cstheme="minorEastAsia"/>
          <w:color w:val="000000" w:themeColor="text1"/>
          <w:spacing w:val="-15"/>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rPr>
        <w:t>小写：¥</w:t>
      </w:r>
      <w:r>
        <w:rPr>
          <w:rFonts w:hint="eastAsia" w:asciiTheme="minorEastAsia" w:hAnsiTheme="minorEastAsia" w:eastAsiaTheme="minorEastAsia" w:cstheme="minorEastAsia"/>
          <w:color w:val="000000" w:themeColor="text1"/>
          <w:spacing w:val="-2"/>
          <w:sz w:val="24"/>
          <w:szCs w:val="24"/>
          <w:u w:val="single"/>
          <w:lang w:eastAsia="zh-CN"/>
        </w:rPr>
        <w:t xml:space="preserve">  </w:t>
      </w:r>
      <w:r>
        <w:rPr>
          <w:rFonts w:hint="eastAsia" w:asciiTheme="minorEastAsia" w:hAnsiTheme="minorEastAsia" w:eastAsiaTheme="minorEastAsia" w:cstheme="minorEastAsia"/>
          <w:color w:val="000000" w:themeColor="text1"/>
          <w:spacing w:val="-3"/>
          <w:sz w:val="24"/>
          <w:szCs w:val="24"/>
          <w:u w:val="single"/>
          <w:lang w:eastAsia="zh-CN"/>
        </w:rPr>
        <w:t xml:space="preserve">   </w:t>
      </w:r>
      <w:r>
        <w:rPr>
          <w:rFonts w:hint="eastAsia" w:asciiTheme="minorEastAsia" w:hAnsiTheme="minorEastAsia" w:eastAsiaTheme="minorEastAsia" w:cstheme="minorEastAsia"/>
          <w:color w:val="000000" w:themeColor="text1"/>
          <w:spacing w:val="-83"/>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w:t>
      </w:r>
      <w:r>
        <w:rPr>
          <w:rFonts w:hint="eastAsia" w:asciiTheme="minorEastAsia" w:hAnsiTheme="minorEastAsia" w:eastAsiaTheme="minorEastAsia" w:cstheme="minorEastAsia"/>
          <w:color w:val="000000" w:themeColor="text1"/>
          <w:spacing w:val="47"/>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w:t>
      </w:r>
      <w:r>
        <w:rPr>
          <w:rFonts w:hint="eastAsia" w:asciiTheme="minorEastAsia" w:hAnsiTheme="minorEastAsia" w:eastAsiaTheme="minorEastAsia" w:cstheme="minorEastAsia"/>
          <w:color w:val="000000" w:themeColor="text1"/>
          <w:spacing w:val="82"/>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因未</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中标（中标，现采购合同已签定</w:t>
      </w:r>
      <w:r>
        <w:rPr>
          <w:rFonts w:hint="eastAsia" w:asciiTheme="minorEastAsia" w:hAnsiTheme="minorEastAsia" w:eastAsiaTheme="minorEastAsia" w:cstheme="minorEastAsia"/>
          <w:color w:val="000000" w:themeColor="text1"/>
          <w:spacing w:val="-6"/>
          <w:sz w:val="24"/>
          <w:szCs w:val="24"/>
          <w:lang w:eastAsia="zh-CN"/>
        </w:rPr>
        <w:t>），</w:t>
      </w:r>
      <w:r>
        <w:rPr>
          <w:rFonts w:hint="eastAsia" w:asciiTheme="minorEastAsia" w:hAnsiTheme="minorEastAsia" w:eastAsiaTheme="minorEastAsia" w:cstheme="minorEastAsia"/>
          <w:color w:val="000000" w:themeColor="text1"/>
          <w:spacing w:val="-1"/>
          <w:sz w:val="24"/>
          <w:szCs w:val="24"/>
          <w:lang w:eastAsia="zh-CN"/>
        </w:rPr>
        <w:t>请贵公司将该款项给予办理</w:t>
      </w:r>
      <w:r>
        <w:rPr>
          <w:rFonts w:hint="eastAsia" w:asciiTheme="minorEastAsia" w:hAnsiTheme="minorEastAsia" w:eastAsiaTheme="minorEastAsia" w:cstheme="minorEastAsia"/>
          <w:color w:val="000000" w:themeColor="text1"/>
          <w:spacing w:val="-2"/>
          <w:sz w:val="24"/>
          <w:szCs w:val="24"/>
          <w:lang w:eastAsia="zh-CN"/>
        </w:rPr>
        <w:t>退还，并退还到我公司</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以下帐户中：</w:t>
      </w:r>
    </w:p>
    <w:p w14:paraId="2BD3FD3D">
      <w:pPr>
        <w:pStyle w:val="8"/>
        <w:spacing w:line="393" w:lineRule="auto"/>
        <w:rPr>
          <w:rFonts w:hint="eastAsia" w:asciiTheme="minorEastAsia" w:hAnsiTheme="minorEastAsia" w:eastAsiaTheme="minorEastAsia" w:cstheme="minorEastAsia"/>
          <w:color w:val="000000" w:themeColor="text1"/>
          <w:lang w:eastAsia="zh-CN"/>
        </w:rPr>
      </w:pPr>
    </w:p>
    <w:p w14:paraId="60E1F246">
      <w:pPr>
        <w:spacing w:before="78" w:line="292"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投标公司全称：</w:t>
      </w:r>
      <w:r>
        <w:rPr>
          <w:rFonts w:hint="eastAsia" w:asciiTheme="minorEastAsia" w:hAnsiTheme="minorEastAsia" w:eastAsiaTheme="minorEastAsia" w:cstheme="minorEastAsia"/>
          <w:color w:val="000000" w:themeColor="text1"/>
          <w:sz w:val="24"/>
          <w:szCs w:val="24"/>
          <w:u w:val="single"/>
          <w:lang w:eastAsia="zh-CN"/>
        </w:rPr>
        <w:t xml:space="preserve">                          </w:t>
      </w:r>
    </w:p>
    <w:p w14:paraId="629D05CD">
      <w:pPr>
        <w:spacing w:before="1" w:line="220" w:lineRule="auto"/>
        <w:ind w:left="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开户行：</w:t>
      </w:r>
      <w:r>
        <w:rPr>
          <w:rFonts w:hint="eastAsia" w:asciiTheme="minorEastAsia" w:hAnsiTheme="minorEastAsia" w:eastAsiaTheme="minorEastAsia" w:cstheme="minorEastAsia"/>
          <w:color w:val="000000" w:themeColor="text1"/>
          <w:sz w:val="24"/>
          <w:szCs w:val="24"/>
          <w:u w:val="single"/>
          <w:lang w:eastAsia="zh-CN"/>
        </w:rPr>
        <w:t xml:space="preserve">                                 </w:t>
      </w:r>
    </w:p>
    <w:p w14:paraId="77FE488E">
      <w:pPr>
        <w:spacing w:before="95" w:line="220" w:lineRule="auto"/>
        <w:ind w:left="1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2"/>
          <w:sz w:val="24"/>
          <w:szCs w:val="24"/>
          <w:lang w:eastAsia="zh-CN"/>
        </w:rPr>
        <w:t>帐</w:t>
      </w:r>
      <w:r>
        <w:rPr>
          <w:rFonts w:hint="eastAsia" w:asciiTheme="minorEastAsia" w:hAnsiTheme="minorEastAsia" w:eastAsiaTheme="minorEastAsia" w:cstheme="minorEastAsia"/>
          <w:color w:val="000000" w:themeColor="text1"/>
          <w:spacing w:val="2"/>
          <w:sz w:val="24"/>
          <w:szCs w:val="24"/>
          <w:lang w:eastAsia="zh-CN"/>
        </w:rPr>
        <w:t xml:space="preserve">       </w:t>
      </w:r>
      <w:r>
        <w:rPr>
          <w:rFonts w:hint="eastAsia" w:asciiTheme="minorEastAsia" w:hAnsiTheme="minorEastAsia" w:eastAsiaTheme="minorEastAsia" w:cstheme="minorEastAsia"/>
          <w:color w:val="000000" w:themeColor="text1"/>
          <w:spacing w:val="-12"/>
          <w:sz w:val="24"/>
          <w:szCs w:val="24"/>
          <w:lang w:eastAsia="zh-CN"/>
        </w:rPr>
        <w:t>号：</w:t>
      </w:r>
      <w:r>
        <w:rPr>
          <w:rFonts w:hint="eastAsia" w:asciiTheme="minorEastAsia" w:hAnsiTheme="minorEastAsia" w:eastAsiaTheme="minorEastAsia" w:cstheme="minorEastAsia"/>
          <w:color w:val="000000" w:themeColor="text1"/>
          <w:sz w:val="24"/>
          <w:szCs w:val="24"/>
          <w:u w:val="single"/>
          <w:lang w:eastAsia="zh-CN"/>
        </w:rPr>
        <w:t xml:space="preserve">                             </w:t>
      </w:r>
    </w:p>
    <w:p w14:paraId="740E3BCF">
      <w:pPr>
        <w:spacing w:before="93" w:line="292" w:lineRule="auto"/>
        <w:ind w:left="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公司所属省份、市县：</w:t>
      </w:r>
      <w:r>
        <w:rPr>
          <w:rFonts w:hint="eastAsia" w:asciiTheme="minorEastAsia" w:hAnsiTheme="minorEastAsia" w:eastAsiaTheme="minorEastAsia" w:cstheme="minorEastAsia"/>
          <w:color w:val="000000" w:themeColor="text1"/>
          <w:sz w:val="24"/>
          <w:szCs w:val="24"/>
          <w:u w:val="single"/>
          <w:lang w:eastAsia="zh-CN"/>
        </w:rPr>
        <w:t xml:space="preserve">                      </w:t>
      </w:r>
    </w:p>
    <w:p w14:paraId="24FA02A9">
      <w:pPr>
        <w:spacing w:before="1" w:line="218" w:lineRule="auto"/>
        <w:ind w:left="1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（以上内容应详细填写，不可简化）</w:t>
      </w:r>
    </w:p>
    <w:p w14:paraId="66126113">
      <w:pPr>
        <w:spacing w:before="97" w:line="219"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574D8B91">
      <w:pPr>
        <w:spacing w:before="95" w:line="220" w:lineRule="auto"/>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投标人联系电话</w:t>
      </w:r>
      <w:r>
        <w:rPr>
          <w:rFonts w:hint="eastAsia" w:asciiTheme="minorEastAsia" w:hAnsiTheme="minorEastAsia" w:eastAsiaTheme="minorEastAsia" w:cstheme="minorEastAsia"/>
          <w:color w:val="000000" w:themeColor="text1"/>
          <w:spacing w:val="-2"/>
          <w:sz w:val="24"/>
          <w:szCs w:val="24"/>
          <w:u w:val="single"/>
          <w:lang w:eastAsia="zh-CN"/>
        </w:rPr>
        <w:t>：</w:t>
      </w:r>
      <w:r>
        <w:rPr>
          <w:rFonts w:hint="eastAsia" w:asciiTheme="minorEastAsia" w:hAnsiTheme="minorEastAsia" w:eastAsiaTheme="minorEastAsia" w:cstheme="minorEastAsia"/>
          <w:color w:val="000000" w:themeColor="text1"/>
          <w:sz w:val="24"/>
          <w:szCs w:val="24"/>
          <w:u w:val="single"/>
          <w:lang w:eastAsia="zh-CN"/>
        </w:rPr>
        <w:t xml:space="preserve">                             </w:t>
      </w:r>
    </w:p>
    <w:p w14:paraId="667A9F70">
      <w:pPr>
        <w:spacing w:before="94" w:line="256" w:lineRule="auto"/>
        <w:ind w:left="5028" w:right="912" w:firstLine="1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w:t>
      </w:r>
      <w:r>
        <w:rPr>
          <w:rFonts w:hint="eastAsia" w:asciiTheme="minorEastAsia" w:hAnsiTheme="minorEastAsia" w:eastAsiaTheme="minorEastAsia" w:cstheme="minorEastAsia"/>
          <w:color w:val="000000" w:themeColor="text1"/>
          <w:spacing w:val="-18"/>
          <w:sz w:val="24"/>
          <w:szCs w:val="24"/>
          <w:lang w:eastAsia="zh-CN"/>
        </w:rPr>
        <w:t>：</w:t>
      </w:r>
      <w:r>
        <w:rPr>
          <w:rFonts w:hint="eastAsia" w:asciiTheme="minorEastAsia" w:hAnsiTheme="minorEastAsia" w:eastAsiaTheme="minorEastAsia" w:cstheme="minorEastAsia"/>
          <w:color w:val="000000" w:themeColor="text1"/>
          <w:spacing w:val="-18"/>
          <w:sz w:val="24"/>
          <w:szCs w:val="24"/>
          <w:u w:val="single"/>
          <w:lang w:eastAsia="zh-CN"/>
        </w:rPr>
        <w:t>（</w:t>
      </w:r>
      <w:r>
        <w:rPr>
          <w:rFonts w:hint="eastAsia" w:asciiTheme="minorEastAsia" w:hAnsiTheme="minorEastAsia" w:eastAsiaTheme="minorEastAsia" w:cstheme="minorEastAsia"/>
          <w:color w:val="000000" w:themeColor="text1"/>
          <w:spacing w:val="2"/>
          <w:sz w:val="24"/>
          <w:szCs w:val="24"/>
          <w:u w:val="single"/>
          <w:lang w:eastAsia="zh-CN"/>
        </w:rPr>
        <w:t>全称并加盖公章）</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时间：</w:t>
      </w:r>
      <w:r>
        <w:rPr>
          <w:rFonts w:hint="eastAsia" w:asciiTheme="minorEastAsia" w:hAnsiTheme="minorEastAsia" w:eastAsiaTheme="minorEastAsia" w:cstheme="minorEastAsia"/>
          <w:color w:val="000000" w:themeColor="text1"/>
          <w:spacing w:val="-6"/>
          <w:sz w:val="24"/>
          <w:szCs w:val="24"/>
          <w:u w:val="single"/>
          <w:lang w:eastAsia="zh-CN"/>
        </w:rPr>
        <w:t>年</w:t>
      </w:r>
      <w:r>
        <w:rPr>
          <w:rFonts w:hint="eastAsia" w:asciiTheme="minorEastAsia" w:hAnsiTheme="minorEastAsia" w:eastAsiaTheme="minorEastAsia" w:cstheme="minorEastAsia"/>
          <w:color w:val="000000" w:themeColor="text1"/>
          <w:spacing w:val="5"/>
          <w:sz w:val="24"/>
          <w:szCs w:val="24"/>
          <w:u w:val="single"/>
          <w:lang w:eastAsia="zh-CN"/>
        </w:rPr>
        <w:t xml:space="preserve">   </w:t>
      </w:r>
      <w:r>
        <w:rPr>
          <w:rFonts w:hint="eastAsia" w:asciiTheme="minorEastAsia" w:hAnsiTheme="minorEastAsia" w:eastAsiaTheme="minorEastAsia" w:cstheme="minorEastAsia"/>
          <w:color w:val="000000" w:themeColor="text1"/>
          <w:spacing w:val="-6"/>
          <w:sz w:val="24"/>
          <w:szCs w:val="24"/>
          <w:u w:val="single"/>
          <w:lang w:eastAsia="zh-CN"/>
        </w:rPr>
        <w:t>月</w:t>
      </w:r>
      <w:r>
        <w:rPr>
          <w:rFonts w:hint="eastAsia" w:asciiTheme="minorEastAsia" w:hAnsiTheme="minorEastAsia" w:eastAsiaTheme="minorEastAsia" w:cstheme="minorEastAsia"/>
          <w:color w:val="000000" w:themeColor="text1"/>
          <w:spacing w:val="16"/>
          <w:sz w:val="24"/>
          <w:szCs w:val="24"/>
          <w:u w:val="single"/>
          <w:lang w:eastAsia="zh-CN"/>
        </w:rPr>
        <w:t xml:space="preserve">   </w:t>
      </w:r>
      <w:r>
        <w:rPr>
          <w:rFonts w:hint="eastAsia" w:asciiTheme="minorEastAsia" w:hAnsiTheme="minorEastAsia" w:eastAsiaTheme="minorEastAsia" w:cstheme="minorEastAsia"/>
          <w:color w:val="000000" w:themeColor="text1"/>
          <w:spacing w:val="-6"/>
          <w:sz w:val="24"/>
          <w:szCs w:val="24"/>
          <w:u w:val="single"/>
          <w:lang w:eastAsia="zh-CN"/>
        </w:rPr>
        <w:t>日</w:t>
      </w:r>
    </w:p>
    <w:p w14:paraId="1C6D96EB">
      <w:pPr>
        <w:pStyle w:val="8"/>
        <w:spacing w:line="257" w:lineRule="auto"/>
        <w:rPr>
          <w:rFonts w:hint="eastAsia" w:asciiTheme="minorEastAsia" w:hAnsiTheme="minorEastAsia" w:eastAsiaTheme="minorEastAsia" w:cstheme="minorEastAsia"/>
          <w:color w:val="000000" w:themeColor="text1"/>
          <w:lang w:eastAsia="zh-CN"/>
        </w:rPr>
      </w:pPr>
    </w:p>
    <w:p w14:paraId="671A3FBB">
      <w:pPr>
        <w:pStyle w:val="8"/>
        <w:spacing w:line="257" w:lineRule="auto"/>
        <w:rPr>
          <w:rFonts w:hint="eastAsia" w:asciiTheme="minorEastAsia" w:hAnsiTheme="minorEastAsia" w:eastAsiaTheme="minorEastAsia" w:cstheme="minorEastAsia"/>
          <w:color w:val="000000" w:themeColor="text1"/>
          <w:lang w:eastAsia="zh-CN"/>
        </w:rPr>
      </w:pPr>
    </w:p>
    <w:p w14:paraId="0B49C506">
      <w:pPr>
        <w:pStyle w:val="8"/>
        <w:spacing w:line="258" w:lineRule="auto"/>
        <w:rPr>
          <w:rFonts w:hint="eastAsia" w:asciiTheme="minorEastAsia" w:hAnsiTheme="minorEastAsia" w:eastAsiaTheme="minorEastAsia" w:cstheme="minorEastAsia"/>
          <w:color w:val="000000" w:themeColor="text1"/>
          <w:lang w:eastAsia="zh-CN"/>
        </w:rPr>
      </w:pPr>
    </w:p>
    <w:p w14:paraId="4CDF21EC">
      <w:pPr>
        <w:spacing w:before="78" w:line="220" w:lineRule="auto"/>
        <w:ind w:left="3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20"/>
          <w:sz w:val="24"/>
          <w:szCs w:val="24"/>
          <w:lang w:eastAsia="zh-CN"/>
        </w:rPr>
        <w:t>注意事项：</w:t>
      </w:r>
    </w:p>
    <w:p w14:paraId="45F99CD2">
      <w:pPr>
        <w:spacing w:before="93" w:line="219" w:lineRule="auto"/>
        <w:ind w:left="85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6"/>
          <w:sz w:val="24"/>
          <w:szCs w:val="24"/>
          <w:lang w:eastAsia="zh-CN"/>
        </w:rPr>
        <w:t>1、</w:t>
      </w:r>
      <w:r>
        <w:rPr>
          <w:rFonts w:hint="eastAsia" w:asciiTheme="minorEastAsia" w:hAnsiTheme="minorEastAsia" w:eastAsiaTheme="minorEastAsia" w:cstheme="minorEastAsia"/>
          <w:color w:val="000000" w:themeColor="text1"/>
          <w:spacing w:val="-44"/>
          <w:sz w:val="24"/>
          <w:szCs w:val="24"/>
          <w:lang w:eastAsia="zh-CN"/>
        </w:rPr>
        <w:t xml:space="preserve"> </w:t>
      </w:r>
      <w:r>
        <w:rPr>
          <w:rFonts w:hint="eastAsia" w:asciiTheme="minorEastAsia" w:hAnsiTheme="minorEastAsia" w:eastAsiaTheme="minorEastAsia" w:cstheme="minorEastAsia"/>
          <w:color w:val="000000" w:themeColor="text1"/>
          <w:spacing w:val="16"/>
          <w:sz w:val="24"/>
          <w:szCs w:val="24"/>
          <w:lang w:eastAsia="zh-CN"/>
        </w:rPr>
        <w:t>以上内容应详细填写</w:t>
      </w:r>
      <w:r>
        <w:rPr>
          <w:rFonts w:hint="eastAsia" w:asciiTheme="minorEastAsia" w:hAnsiTheme="minorEastAsia" w:eastAsiaTheme="minorEastAsia" w:cstheme="minorEastAsia"/>
          <w:color w:val="000000" w:themeColor="text1"/>
          <w:spacing w:val="-60"/>
          <w:sz w:val="24"/>
          <w:szCs w:val="24"/>
          <w:lang w:eastAsia="zh-CN"/>
        </w:rPr>
        <w:t xml:space="preserve"> </w:t>
      </w:r>
      <w:r>
        <w:rPr>
          <w:rFonts w:hint="eastAsia" w:asciiTheme="minorEastAsia" w:hAnsiTheme="minorEastAsia" w:eastAsiaTheme="minorEastAsia" w:cstheme="minorEastAsia"/>
          <w:color w:val="000000" w:themeColor="text1"/>
          <w:spacing w:val="16"/>
          <w:sz w:val="24"/>
          <w:szCs w:val="24"/>
          <w:lang w:eastAsia="zh-CN"/>
        </w:rPr>
        <w:t>，不可简化；</w:t>
      </w:r>
    </w:p>
    <w:p w14:paraId="67A4B1A4">
      <w:pPr>
        <w:spacing w:before="96" w:line="256" w:lineRule="auto"/>
        <w:ind w:left="840" w:firstLine="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0"/>
          <w:sz w:val="24"/>
          <w:szCs w:val="24"/>
          <w:lang w:eastAsia="zh-CN"/>
        </w:rPr>
        <w:t>2、此表无须装订在投标文件</w:t>
      </w:r>
      <w:r>
        <w:rPr>
          <w:rFonts w:hint="eastAsia" w:asciiTheme="minorEastAsia" w:hAnsiTheme="minorEastAsia" w:eastAsiaTheme="minorEastAsia" w:cstheme="minorEastAsia"/>
          <w:color w:val="000000" w:themeColor="text1"/>
          <w:spacing w:val="-39"/>
          <w:sz w:val="24"/>
          <w:szCs w:val="24"/>
          <w:lang w:eastAsia="zh-CN"/>
        </w:rPr>
        <w:t xml:space="preserve"> </w:t>
      </w:r>
      <w:r>
        <w:rPr>
          <w:rFonts w:hint="eastAsia" w:asciiTheme="minorEastAsia" w:hAnsiTheme="minorEastAsia" w:eastAsiaTheme="minorEastAsia" w:cstheme="minorEastAsia"/>
          <w:b/>
          <w:bCs/>
          <w:color w:val="000000" w:themeColor="text1"/>
          <w:spacing w:val="10"/>
          <w:sz w:val="24"/>
          <w:szCs w:val="24"/>
          <w:lang w:eastAsia="zh-CN"/>
        </w:rPr>
        <w:t>中</w:t>
      </w:r>
      <w:r>
        <w:rPr>
          <w:rFonts w:hint="eastAsia" w:asciiTheme="minorEastAsia" w:hAnsiTheme="minorEastAsia" w:eastAsiaTheme="minorEastAsia" w:cstheme="minorEastAsia"/>
          <w:color w:val="000000" w:themeColor="text1"/>
          <w:spacing w:val="-59"/>
          <w:sz w:val="24"/>
          <w:szCs w:val="24"/>
          <w:lang w:eastAsia="zh-CN"/>
        </w:rPr>
        <w:t xml:space="preserve"> </w:t>
      </w:r>
      <w:r>
        <w:rPr>
          <w:rFonts w:hint="eastAsia" w:asciiTheme="minorEastAsia" w:hAnsiTheme="minorEastAsia" w:eastAsiaTheme="minorEastAsia" w:cstheme="minorEastAsia"/>
          <w:b/>
          <w:bCs/>
          <w:color w:val="000000" w:themeColor="text1"/>
          <w:spacing w:val="10"/>
          <w:sz w:val="24"/>
          <w:szCs w:val="24"/>
          <w:lang w:eastAsia="zh-CN"/>
        </w:rPr>
        <w:t>，请在开标</w:t>
      </w:r>
      <w:r>
        <w:rPr>
          <w:rFonts w:hint="eastAsia" w:asciiTheme="minorEastAsia" w:hAnsiTheme="minorEastAsia" w:eastAsiaTheme="minorEastAsia" w:cstheme="minorEastAsia"/>
          <w:color w:val="000000" w:themeColor="text1"/>
          <w:spacing w:val="-65"/>
          <w:sz w:val="24"/>
          <w:szCs w:val="24"/>
          <w:lang w:eastAsia="zh-CN"/>
        </w:rPr>
        <w:t xml:space="preserve"> </w:t>
      </w:r>
      <w:r>
        <w:rPr>
          <w:rFonts w:hint="eastAsia" w:asciiTheme="minorEastAsia" w:hAnsiTheme="minorEastAsia" w:eastAsiaTheme="minorEastAsia" w:cstheme="minorEastAsia"/>
          <w:b/>
          <w:bCs/>
          <w:color w:val="000000" w:themeColor="text1"/>
          <w:spacing w:val="10"/>
          <w:sz w:val="24"/>
          <w:szCs w:val="24"/>
          <w:lang w:eastAsia="zh-CN"/>
        </w:rPr>
        <w:t>当天</w:t>
      </w:r>
      <w:r>
        <w:rPr>
          <w:rFonts w:hint="eastAsia" w:asciiTheme="minorEastAsia" w:hAnsiTheme="minorEastAsia" w:eastAsiaTheme="minorEastAsia" w:cstheme="minorEastAsia"/>
          <w:color w:val="000000" w:themeColor="text1"/>
          <w:spacing w:val="-59"/>
          <w:sz w:val="24"/>
          <w:szCs w:val="24"/>
          <w:lang w:eastAsia="zh-CN"/>
        </w:rPr>
        <w:t xml:space="preserve"> </w:t>
      </w:r>
      <w:r>
        <w:rPr>
          <w:rFonts w:hint="eastAsia" w:asciiTheme="minorEastAsia" w:hAnsiTheme="minorEastAsia" w:eastAsiaTheme="minorEastAsia" w:cstheme="minorEastAsia"/>
          <w:b/>
          <w:bCs/>
          <w:color w:val="000000" w:themeColor="text1"/>
          <w:spacing w:val="10"/>
          <w:sz w:val="24"/>
          <w:szCs w:val="24"/>
          <w:lang w:eastAsia="zh-CN"/>
        </w:rPr>
        <w:t>，将此表和保证金缴交凭</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证复印件一同另制一份装在一单独的信封内递交给收</w:t>
      </w:r>
      <w:r>
        <w:rPr>
          <w:rFonts w:hint="eastAsia" w:asciiTheme="minorEastAsia" w:hAnsiTheme="minorEastAsia" w:eastAsiaTheme="minorEastAsia" w:cstheme="minorEastAsia"/>
          <w:b/>
          <w:bCs/>
          <w:color w:val="000000" w:themeColor="text1"/>
          <w:spacing w:val="-3"/>
          <w:sz w:val="24"/>
          <w:szCs w:val="24"/>
          <w:lang w:eastAsia="zh-CN"/>
        </w:rPr>
        <w:t>件人。</w:t>
      </w:r>
    </w:p>
    <w:p w14:paraId="7C4F9EE6">
      <w:pPr>
        <w:spacing w:before="93" w:line="256" w:lineRule="auto"/>
        <w:ind w:left="859" w:right="31" w:hanging="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5"/>
          <w:sz w:val="24"/>
          <w:szCs w:val="24"/>
          <w:lang w:eastAsia="zh-CN"/>
        </w:rPr>
        <w:t>3、未</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能及</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时缴交本表</w:t>
      </w:r>
      <w:r>
        <w:rPr>
          <w:rFonts w:hint="eastAsia" w:asciiTheme="minorEastAsia" w:hAnsiTheme="minorEastAsia" w:eastAsiaTheme="minorEastAsia" w:cstheme="minorEastAsia"/>
          <w:color w:val="000000" w:themeColor="text1"/>
          <w:spacing w:val="-52"/>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以及填写相关信</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息而致未</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能及</w:t>
      </w:r>
      <w:r>
        <w:rPr>
          <w:rFonts w:hint="eastAsia" w:asciiTheme="minorEastAsia" w:hAnsiTheme="minorEastAsia" w:eastAsiaTheme="minorEastAsia" w:cstheme="minorEastAsia"/>
          <w:color w:val="000000" w:themeColor="text1"/>
          <w:spacing w:val="-68"/>
          <w:sz w:val="24"/>
          <w:szCs w:val="24"/>
          <w:lang w:eastAsia="zh-CN"/>
        </w:rPr>
        <w:t xml:space="preserve"> </w:t>
      </w:r>
      <w:r>
        <w:rPr>
          <w:rFonts w:hint="eastAsia" w:asciiTheme="minorEastAsia" w:hAnsiTheme="minorEastAsia" w:eastAsiaTheme="minorEastAsia" w:cstheme="minorEastAsia"/>
          <w:b/>
          <w:bCs/>
          <w:color w:val="000000" w:themeColor="text1"/>
          <w:spacing w:val="15"/>
          <w:sz w:val="24"/>
          <w:szCs w:val="24"/>
          <w:lang w:eastAsia="zh-CN"/>
        </w:rPr>
        <w:t>时退还投标保证金</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12"/>
          <w:sz w:val="24"/>
          <w:szCs w:val="24"/>
          <w:lang w:eastAsia="zh-CN"/>
        </w:rPr>
        <w:t>的</w:t>
      </w:r>
      <w:r>
        <w:rPr>
          <w:rFonts w:hint="eastAsia" w:asciiTheme="minorEastAsia" w:hAnsiTheme="minorEastAsia" w:eastAsiaTheme="minorEastAsia" w:cstheme="minorEastAsia"/>
          <w:color w:val="000000" w:themeColor="text1"/>
          <w:spacing w:val="-60"/>
          <w:sz w:val="24"/>
          <w:szCs w:val="24"/>
          <w:lang w:eastAsia="zh-CN"/>
        </w:rPr>
        <w:t xml:space="preserve"> </w:t>
      </w:r>
      <w:r>
        <w:rPr>
          <w:rFonts w:hint="eastAsia" w:asciiTheme="minorEastAsia" w:hAnsiTheme="minorEastAsia" w:eastAsiaTheme="minorEastAsia" w:cstheme="minorEastAsia"/>
          <w:b/>
          <w:bCs/>
          <w:color w:val="000000" w:themeColor="text1"/>
          <w:spacing w:val="12"/>
          <w:sz w:val="24"/>
          <w:szCs w:val="24"/>
          <w:lang w:eastAsia="zh-CN"/>
        </w:rPr>
        <w:t>，福建三仟招标有限公司将不</w:t>
      </w:r>
      <w:r>
        <w:rPr>
          <w:rFonts w:hint="eastAsia" w:asciiTheme="minorEastAsia" w:hAnsiTheme="minorEastAsia" w:eastAsiaTheme="minorEastAsia" w:cstheme="minorEastAsia"/>
          <w:color w:val="000000" w:themeColor="text1"/>
          <w:spacing w:val="-70"/>
          <w:sz w:val="24"/>
          <w:szCs w:val="24"/>
          <w:lang w:eastAsia="zh-CN"/>
        </w:rPr>
        <w:t xml:space="preserve"> </w:t>
      </w:r>
      <w:r>
        <w:rPr>
          <w:rFonts w:hint="eastAsia" w:asciiTheme="minorEastAsia" w:hAnsiTheme="minorEastAsia" w:eastAsiaTheme="minorEastAsia" w:cstheme="minorEastAsia"/>
          <w:b/>
          <w:bCs/>
          <w:color w:val="000000" w:themeColor="text1"/>
          <w:spacing w:val="12"/>
          <w:sz w:val="24"/>
          <w:szCs w:val="24"/>
          <w:lang w:eastAsia="zh-CN"/>
        </w:rPr>
        <w:t>负法律与经济</w:t>
      </w:r>
      <w:r>
        <w:rPr>
          <w:rFonts w:hint="eastAsia" w:asciiTheme="minorEastAsia" w:hAnsiTheme="minorEastAsia" w:eastAsiaTheme="minorEastAsia" w:cstheme="minorEastAsia"/>
          <w:color w:val="000000" w:themeColor="text1"/>
          <w:spacing w:val="-71"/>
          <w:sz w:val="24"/>
          <w:szCs w:val="24"/>
          <w:lang w:eastAsia="zh-CN"/>
        </w:rPr>
        <w:t xml:space="preserve"> </w:t>
      </w:r>
      <w:r>
        <w:rPr>
          <w:rFonts w:hint="eastAsia" w:asciiTheme="minorEastAsia" w:hAnsiTheme="minorEastAsia" w:eastAsiaTheme="minorEastAsia" w:cstheme="minorEastAsia"/>
          <w:b/>
          <w:bCs/>
          <w:color w:val="000000" w:themeColor="text1"/>
          <w:spacing w:val="12"/>
          <w:sz w:val="24"/>
          <w:szCs w:val="24"/>
          <w:lang w:eastAsia="zh-CN"/>
        </w:rPr>
        <w:t>责任。</w:t>
      </w:r>
    </w:p>
    <w:p w14:paraId="53D9A39D">
      <w:pPr>
        <w:spacing w:line="256" w:lineRule="auto"/>
        <w:rPr>
          <w:rFonts w:hint="eastAsia" w:asciiTheme="minorEastAsia" w:hAnsiTheme="minorEastAsia" w:eastAsiaTheme="minorEastAsia" w:cstheme="minorEastAsia"/>
          <w:color w:val="000000" w:themeColor="text1"/>
          <w:sz w:val="24"/>
          <w:szCs w:val="24"/>
          <w:lang w:eastAsia="zh-CN"/>
        </w:rPr>
        <w:sectPr>
          <w:footerReference r:id="rId32" w:type="default"/>
          <w:pgSz w:w="11906" w:h="16839"/>
          <w:pgMar w:top="1431" w:right="1417" w:bottom="1260" w:left="1424" w:header="0" w:footer="1013" w:gutter="0"/>
          <w:pgNumType w:fmt="decimal"/>
          <w:cols w:space="720" w:num="1"/>
        </w:sectPr>
      </w:pPr>
    </w:p>
    <w:p w14:paraId="7513E71E">
      <w:pPr>
        <w:pStyle w:val="8"/>
        <w:spacing w:line="407" w:lineRule="auto"/>
        <w:rPr>
          <w:rFonts w:hint="eastAsia" w:asciiTheme="minorEastAsia" w:hAnsiTheme="minorEastAsia" w:eastAsiaTheme="minorEastAsia" w:cstheme="minorEastAsia"/>
          <w:color w:val="000000" w:themeColor="text1"/>
          <w:lang w:eastAsia="zh-CN"/>
        </w:rPr>
      </w:pPr>
    </w:p>
    <w:p w14:paraId="7BF95D81">
      <w:pPr>
        <w:spacing w:before="78" w:line="219" w:lineRule="auto"/>
        <w:ind w:left="369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封面格式</w:t>
      </w:r>
    </w:p>
    <w:p w14:paraId="6C75A8D9">
      <w:pPr>
        <w:pStyle w:val="8"/>
        <w:spacing w:line="287" w:lineRule="auto"/>
        <w:rPr>
          <w:rFonts w:hint="eastAsia" w:asciiTheme="minorEastAsia" w:hAnsiTheme="minorEastAsia" w:eastAsiaTheme="minorEastAsia" w:cstheme="minorEastAsia"/>
          <w:color w:val="000000" w:themeColor="text1"/>
          <w:lang w:eastAsia="zh-CN"/>
        </w:rPr>
      </w:pPr>
    </w:p>
    <w:p w14:paraId="1C4F2881">
      <w:pPr>
        <w:pStyle w:val="8"/>
        <w:spacing w:line="287" w:lineRule="auto"/>
        <w:rPr>
          <w:rFonts w:hint="eastAsia" w:asciiTheme="minorEastAsia" w:hAnsiTheme="minorEastAsia" w:eastAsiaTheme="minorEastAsia" w:cstheme="minorEastAsia"/>
          <w:color w:val="000000" w:themeColor="text1"/>
          <w:lang w:eastAsia="zh-CN"/>
        </w:rPr>
      </w:pPr>
    </w:p>
    <w:p w14:paraId="791814D7">
      <w:pPr>
        <w:pStyle w:val="8"/>
        <w:spacing w:line="287" w:lineRule="auto"/>
        <w:rPr>
          <w:rFonts w:hint="eastAsia" w:asciiTheme="minorEastAsia" w:hAnsiTheme="minorEastAsia" w:eastAsiaTheme="minorEastAsia" w:cstheme="minorEastAsia"/>
          <w:color w:val="000000" w:themeColor="text1"/>
          <w:lang w:eastAsia="zh-CN"/>
        </w:rPr>
      </w:pPr>
    </w:p>
    <w:p w14:paraId="2009216F">
      <w:pPr>
        <w:pStyle w:val="8"/>
        <w:spacing w:line="287" w:lineRule="auto"/>
        <w:rPr>
          <w:rFonts w:hint="eastAsia" w:asciiTheme="minorEastAsia" w:hAnsiTheme="minorEastAsia" w:eastAsiaTheme="minorEastAsia" w:cstheme="minorEastAsia"/>
          <w:color w:val="000000" w:themeColor="text1"/>
          <w:lang w:eastAsia="zh-CN"/>
        </w:rPr>
      </w:pPr>
    </w:p>
    <w:p w14:paraId="72A73045">
      <w:pPr>
        <w:spacing w:before="78" w:line="382" w:lineRule="exact"/>
        <w:ind w:left="36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position w:val="10"/>
          <w:sz w:val="24"/>
          <w:szCs w:val="24"/>
          <w:lang w:eastAsia="zh-CN"/>
        </w:rPr>
        <w:t>投标文件</w:t>
      </w:r>
    </w:p>
    <w:p w14:paraId="258C9464">
      <w:pPr>
        <w:spacing w:before="1" w:line="217" w:lineRule="auto"/>
        <w:ind w:left="346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6"/>
          <w:sz w:val="24"/>
          <w:szCs w:val="24"/>
          <w:lang w:eastAsia="zh-CN"/>
        </w:rPr>
        <w:t>（报价部分）</w:t>
      </w:r>
    </w:p>
    <w:p w14:paraId="2009DAA6">
      <w:pPr>
        <w:pStyle w:val="8"/>
        <w:spacing w:line="394" w:lineRule="auto"/>
        <w:rPr>
          <w:rFonts w:hint="eastAsia" w:asciiTheme="minorEastAsia" w:hAnsiTheme="minorEastAsia" w:eastAsiaTheme="minorEastAsia" w:cstheme="minorEastAsia"/>
          <w:color w:val="000000" w:themeColor="text1"/>
          <w:lang w:eastAsia="zh-CN"/>
        </w:rPr>
      </w:pPr>
    </w:p>
    <w:p w14:paraId="6C98AE52">
      <w:pPr>
        <w:tabs>
          <w:tab w:val="left" w:pos="3218"/>
        </w:tabs>
        <w:spacing w:before="78" w:line="219" w:lineRule="auto"/>
        <w:ind w:left="308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17"/>
          <w:sz w:val="24"/>
          <w:szCs w:val="24"/>
          <w:u w:val="single"/>
          <w:lang w:eastAsia="zh-CN"/>
        </w:rPr>
        <w:t>（填写正本或副本）</w:t>
      </w:r>
    </w:p>
    <w:p w14:paraId="2EDAE075">
      <w:pPr>
        <w:pStyle w:val="8"/>
        <w:spacing w:line="396" w:lineRule="auto"/>
        <w:rPr>
          <w:rFonts w:hint="eastAsia" w:asciiTheme="minorEastAsia" w:hAnsiTheme="minorEastAsia" w:eastAsiaTheme="minorEastAsia" w:cstheme="minorEastAsia"/>
          <w:color w:val="000000" w:themeColor="text1"/>
          <w:lang w:eastAsia="zh-CN"/>
        </w:rPr>
      </w:pPr>
    </w:p>
    <w:p w14:paraId="107E5F05">
      <w:pPr>
        <w:spacing w:before="78" w:line="220" w:lineRule="auto"/>
        <w:ind w:left="156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项目名称</w:t>
      </w:r>
      <w:r>
        <w:rPr>
          <w:rFonts w:hint="eastAsia" w:asciiTheme="minorEastAsia" w:hAnsiTheme="minorEastAsia" w:eastAsiaTheme="minorEastAsia" w:cstheme="minorEastAsia"/>
          <w:b/>
          <w:bCs/>
          <w:color w:val="000000" w:themeColor="text1"/>
          <w:spacing w:val="-18"/>
          <w:sz w:val="24"/>
          <w:szCs w:val="24"/>
          <w:lang w:eastAsia="zh-CN"/>
        </w:rPr>
        <w:t>：</w:t>
      </w:r>
      <w:r>
        <w:rPr>
          <w:rFonts w:hint="eastAsia" w:asciiTheme="minorEastAsia" w:hAnsiTheme="minorEastAsia" w:eastAsiaTheme="minorEastAsia" w:cstheme="minorEastAsia"/>
          <w:b/>
          <w:bCs/>
          <w:color w:val="000000" w:themeColor="text1"/>
          <w:spacing w:val="-18"/>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31161DDD">
      <w:pPr>
        <w:spacing w:before="93" w:line="219" w:lineRule="auto"/>
        <w:ind w:left="156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招标编号</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2745FD4F">
      <w:pPr>
        <w:spacing w:before="96" w:line="219" w:lineRule="auto"/>
        <w:ind w:left="155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所投合同包</w:t>
      </w:r>
      <w:r>
        <w:rPr>
          <w:rFonts w:hint="eastAsia" w:asciiTheme="minorEastAsia" w:hAnsiTheme="minorEastAsia" w:eastAsiaTheme="minorEastAsia" w:cstheme="minorEastAsia"/>
          <w:b/>
          <w:bCs/>
          <w:color w:val="000000" w:themeColor="text1"/>
          <w:spacing w:val="-16"/>
          <w:sz w:val="24"/>
          <w:szCs w:val="24"/>
          <w:lang w:eastAsia="zh-CN"/>
        </w:rPr>
        <w:t>：</w:t>
      </w:r>
      <w:r>
        <w:rPr>
          <w:rFonts w:hint="eastAsia" w:asciiTheme="minorEastAsia" w:hAnsiTheme="minorEastAsia" w:eastAsiaTheme="minorEastAsia" w:cstheme="minorEastAsia"/>
          <w:b/>
          <w:bCs/>
          <w:color w:val="000000" w:themeColor="text1"/>
          <w:spacing w:val="-16"/>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16B0B4C3">
      <w:pPr>
        <w:pStyle w:val="8"/>
        <w:spacing w:line="254" w:lineRule="auto"/>
        <w:rPr>
          <w:rFonts w:hint="eastAsia" w:asciiTheme="minorEastAsia" w:hAnsiTheme="minorEastAsia" w:eastAsiaTheme="minorEastAsia" w:cstheme="minorEastAsia"/>
          <w:color w:val="000000" w:themeColor="text1"/>
          <w:lang w:eastAsia="zh-CN"/>
        </w:rPr>
      </w:pPr>
    </w:p>
    <w:p w14:paraId="48F6AC99">
      <w:pPr>
        <w:pStyle w:val="8"/>
        <w:spacing w:line="254" w:lineRule="auto"/>
        <w:rPr>
          <w:rFonts w:hint="eastAsia" w:asciiTheme="minorEastAsia" w:hAnsiTheme="minorEastAsia" w:eastAsiaTheme="minorEastAsia" w:cstheme="minorEastAsia"/>
          <w:color w:val="000000" w:themeColor="text1"/>
          <w:lang w:eastAsia="zh-CN"/>
        </w:rPr>
      </w:pPr>
    </w:p>
    <w:p w14:paraId="2A2CA4CD">
      <w:pPr>
        <w:pStyle w:val="8"/>
        <w:spacing w:line="254" w:lineRule="auto"/>
        <w:rPr>
          <w:rFonts w:hint="eastAsia" w:asciiTheme="minorEastAsia" w:hAnsiTheme="minorEastAsia" w:eastAsiaTheme="minorEastAsia" w:cstheme="minorEastAsia"/>
          <w:color w:val="000000" w:themeColor="text1"/>
          <w:lang w:eastAsia="zh-CN"/>
        </w:rPr>
      </w:pPr>
    </w:p>
    <w:p w14:paraId="69EB2879">
      <w:pPr>
        <w:pStyle w:val="8"/>
        <w:spacing w:line="254" w:lineRule="auto"/>
        <w:rPr>
          <w:rFonts w:hint="eastAsia" w:asciiTheme="minorEastAsia" w:hAnsiTheme="minorEastAsia" w:eastAsiaTheme="minorEastAsia" w:cstheme="minorEastAsia"/>
          <w:color w:val="000000" w:themeColor="text1"/>
          <w:lang w:eastAsia="zh-CN"/>
        </w:rPr>
      </w:pPr>
    </w:p>
    <w:p w14:paraId="1785AC62">
      <w:pPr>
        <w:pStyle w:val="8"/>
        <w:spacing w:line="255" w:lineRule="auto"/>
        <w:rPr>
          <w:rFonts w:hint="eastAsia" w:asciiTheme="minorEastAsia" w:hAnsiTheme="minorEastAsia" w:eastAsiaTheme="minorEastAsia" w:cstheme="minorEastAsia"/>
          <w:color w:val="000000" w:themeColor="text1"/>
          <w:lang w:eastAsia="zh-CN"/>
        </w:rPr>
      </w:pPr>
    </w:p>
    <w:p w14:paraId="485EF5DD">
      <w:pPr>
        <w:pStyle w:val="8"/>
        <w:spacing w:line="255" w:lineRule="auto"/>
        <w:rPr>
          <w:rFonts w:hint="eastAsia" w:asciiTheme="minorEastAsia" w:hAnsiTheme="minorEastAsia" w:eastAsiaTheme="minorEastAsia" w:cstheme="minorEastAsia"/>
          <w:color w:val="000000" w:themeColor="text1"/>
          <w:lang w:eastAsia="zh-CN"/>
        </w:rPr>
      </w:pPr>
    </w:p>
    <w:p w14:paraId="4808B31B">
      <w:pPr>
        <w:spacing w:before="79" w:line="220" w:lineRule="auto"/>
        <w:ind w:left="273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投标人</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填写“全称</w:t>
      </w:r>
      <w:r>
        <w:rPr>
          <w:rFonts w:hint="eastAsia" w:asciiTheme="minorEastAsia" w:hAnsiTheme="minorEastAsia" w:eastAsiaTheme="minorEastAsia" w:cstheme="minorEastAsia"/>
          <w:color w:val="000000" w:themeColor="text1"/>
          <w:spacing w:val="-86"/>
          <w:sz w:val="24"/>
          <w:szCs w:val="24"/>
          <w:u w:val="single"/>
          <w:lang w:eastAsia="zh-CN"/>
        </w:rPr>
        <w:t xml:space="preserve"> </w:t>
      </w:r>
      <w:r>
        <w:rPr>
          <w:rFonts w:hint="eastAsia" w:asciiTheme="minorEastAsia" w:hAnsiTheme="minorEastAsia" w:eastAsiaTheme="minorEastAsia" w:cstheme="minorEastAsia"/>
          <w:b/>
          <w:bCs/>
          <w:color w:val="000000" w:themeColor="text1"/>
          <w:sz w:val="24"/>
          <w:szCs w:val="24"/>
          <w:u w:val="single"/>
          <w:lang w:eastAsia="zh-CN"/>
        </w:rPr>
        <w:t>”）</w:t>
      </w:r>
    </w:p>
    <w:p w14:paraId="218F9DA3">
      <w:pPr>
        <w:tabs>
          <w:tab w:val="left" w:pos="2133"/>
        </w:tabs>
        <w:spacing w:before="96" w:line="219" w:lineRule="auto"/>
        <w:ind w:left="19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年</w:t>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月</w:t>
      </w:r>
    </w:p>
    <w:p w14:paraId="2415966D">
      <w:pPr>
        <w:pStyle w:val="8"/>
        <w:spacing w:line="243" w:lineRule="auto"/>
        <w:rPr>
          <w:rFonts w:hint="eastAsia" w:asciiTheme="minorEastAsia" w:hAnsiTheme="minorEastAsia" w:eastAsiaTheme="minorEastAsia" w:cstheme="minorEastAsia"/>
          <w:color w:val="000000" w:themeColor="text1"/>
          <w:lang w:eastAsia="zh-CN"/>
        </w:rPr>
      </w:pPr>
    </w:p>
    <w:p w14:paraId="3D811F0F">
      <w:pPr>
        <w:pStyle w:val="8"/>
        <w:spacing w:line="243" w:lineRule="auto"/>
        <w:rPr>
          <w:rFonts w:hint="eastAsia" w:asciiTheme="minorEastAsia" w:hAnsiTheme="minorEastAsia" w:eastAsiaTheme="minorEastAsia" w:cstheme="minorEastAsia"/>
          <w:color w:val="000000" w:themeColor="text1"/>
          <w:lang w:eastAsia="zh-CN"/>
        </w:rPr>
      </w:pPr>
    </w:p>
    <w:p w14:paraId="79B260A5">
      <w:pPr>
        <w:pStyle w:val="8"/>
        <w:spacing w:line="243" w:lineRule="auto"/>
        <w:rPr>
          <w:rFonts w:hint="eastAsia" w:asciiTheme="minorEastAsia" w:hAnsiTheme="minorEastAsia" w:eastAsiaTheme="minorEastAsia" w:cstheme="minorEastAsia"/>
          <w:color w:val="000000" w:themeColor="text1"/>
          <w:lang w:eastAsia="zh-CN"/>
        </w:rPr>
      </w:pPr>
    </w:p>
    <w:p w14:paraId="7530D95D">
      <w:pPr>
        <w:pStyle w:val="8"/>
        <w:spacing w:line="243" w:lineRule="auto"/>
        <w:rPr>
          <w:rFonts w:hint="eastAsia" w:asciiTheme="minorEastAsia" w:hAnsiTheme="minorEastAsia" w:eastAsiaTheme="minorEastAsia" w:cstheme="minorEastAsia"/>
          <w:color w:val="000000" w:themeColor="text1"/>
          <w:lang w:eastAsia="zh-CN"/>
        </w:rPr>
      </w:pPr>
    </w:p>
    <w:p w14:paraId="32AD7F14">
      <w:pPr>
        <w:pStyle w:val="8"/>
        <w:spacing w:line="243" w:lineRule="auto"/>
        <w:rPr>
          <w:rFonts w:hint="eastAsia" w:asciiTheme="minorEastAsia" w:hAnsiTheme="minorEastAsia" w:eastAsiaTheme="minorEastAsia" w:cstheme="minorEastAsia"/>
          <w:color w:val="000000" w:themeColor="text1"/>
          <w:lang w:eastAsia="zh-CN"/>
        </w:rPr>
      </w:pPr>
    </w:p>
    <w:p w14:paraId="697B6018">
      <w:pPr>
        <w:pStyle w:val="8"/>
        <w:spacing w:line="243" w:lineRule="auto"/>
        <w:rPr>
          <w:rFonts w:hint="eastAsia" w:asciiTheme="minorEastAsia" w:hAnsiTheme="minorEastAsia" w:eastAsiaTheme="minorEastAsia" w:cstheme="minorEastAsia"/>
          <w:color w:val="000000" w:themeColor="text1"/>
          <w:lang w:eastAsia="zh-CN"/>
        </w:rPr>
      </w:pPr>
    </w:p>
    <w:p w14:paraId="458EDD31">
      <w:pPr>
        <w:pStyle w:val="8"/>
        <w:spacing w:line="243" w:lineRule="auto"/>
        <w:rPr>
          <w:rFonts w:hint="eastAsia" w:asciiTheme="minorEastAsia" w:hAnsiTheme="minorEastAsia" w:eastAsiaTheme="minorEastAsia" w:cstheme="minorEastAsia"/>
          <w:color w:val="000000" w:themeColor="text1"/>
          <w:lang w:eastAsia="zh-CN"/>
        </w:rPr>
      </w:pPr>
    </w:p>
    <w:p w14:paraId="5315FF23">
      <w:pPr>
        <w:pStyle w:val="8"/>
        <w:spacing w:line="243" w:lineRule="auto"/>
        <w:rPr>
          <w:rFonts w:hint="eastAsia" w:asciiTheme="minorEastAsia" w:hAnsiTheme="minorEastAsia" w:eastAsiaTheme="minorEastAsia" w:cstheme="minorEastAsia"/>
          <w:color w:val="000000" w:themeColor="text1"/>
          <w:lang w:eastAsia="zh-CN"/>
        </w:rPr>
      </w:pPr>
    </w:p>
    <w:p w14:paraId="2E0C0AC0">
      <w:pPr>
        <w:pStyle w:val="8"/>
        <w:spacing w:line="243" w:lineRule="auto"/>
        <w:rPr>
          <w:rFonts w:hint="eastAsia" w:asciiTheme="minorEastAsia" w:hAnsiTheme="minorEastAsia" w:eastAsiaTheme="minorEastAsia" w:cstheme="minorEastAsia"/>
          <w:color w:val="000000" w:themeColor="text1"/>
          <w:lang w:eastAsia="zh-CN"/>
        </w:rPr>
      </w:pPr>
    </w:p>
    <w:p w14:paraId="0E126C2F">
      <w:pPr>
        <w:pStyle w:val="8"/>
        <w:spacing w:line="243" w:lineRule="auto"/>
        <w:rPr>
          <w:rFonts w:hint="eastAsia" w:asciiTheme="minorEastAsia" w:hAnsiTheme="minorEastAsia" w:eastAsiaTheme="minorEastAsia" w:cstheme="minorEastAsia"/>
          <w:color w:val="000000" w:themeColor="text1"/>
          <w:lang w:eastAsia="zh-CN"/>
        </w:rPr>
      </w:pPr>
    </w:p>
    <w:p w14:paraId="4199306A">
      <w:pPr>
        <w:pStyle w:val="8"/>
        <w:spacing w:line="243" w:lineRule="auto"/>
        <w:rPr>
          <w:rFonts w:hint="eastAsia" w:asciiTheme="minorEastAsia" w:hAnsiTheme="minorEastAsia" w:eastAsiaTheme="minorEastAsia" w:cstheme="minorEastAsia"/>
          <w:color w:val="000000" w:themeColor="text1"/>
          <w:lang w:eastAsia="zh-CN"/>
        </w:rPr>
      </w:pPr>
    </w:p>
    <w:p w14:paraId="7871542E">
      <w:pPr>
        <w:pStyle w:val="8"/>
        <w:spacing w:line="243" w:lineRule="auto"/>
        <w:rPr>
          <w:rFonts w:hint="eastAsia" w:asciiTheme="minorEastAsia" w:hAnsiTheme="minorEastAsia" w:eastAsiaTheme="minorEastAsia" w:cstheme="minorEastAsia"/>
          <w:color w:val="000000" w:themeColor="text1"/>
          <w:lang w:eastAsia="zh-CN"/>
        </w:rPr>
      </w:pPr>
    </w:p>
    <w:p w14:paraId="5A124004">
      <w:pPr>
        <w:pStyle w:val="8"/>
        <w:spacing w:line="243" w:lineRule="auto"/>
        <w:rPr>
          <w:rFonts w:hint="eastAsia" w:asciiTheme="minorEastAsia" w:hAnsiTheme="minorEastAsia" w:eastAsiaTheme="minorEastAsia" w:cstheme="minorEastAsia"/>
          <w:color w:val="000000" w:themeColor="text1"/>
          <w:lang w:eastAsia="zh-CN"/>
        </w:rPr>
      </w:pPr>
    </w:p>
    <w:p w14:paraId="32775172">
      <w:pPr>
        <w:pStyle w:val="8"/>
        <w:spacing w:line="243" w:lineRule="auto"/>
        <w:rPr>
          <w:rFonts w:hint="eastAsia" w:asciiTheme="minorEastAsia" w:hAnsiTheme="minorEastAsia" w:eastAsiaTheme="minorEastAsia" w:cstheme="minorEastAsia"/>
          <w:color w:val="000000" w:themeColor="text1"/>
          <w:lang w:eastAsia="zh-CN"/>
        </w:rPr>
      </w:pPr>
    </w:p>
    <w:p w14:paraId="61E2EB59">
      <w:pPr>
        <w:pStyle w:val="8"/>
        <w:spacing w:line="243" w:lineRule="auto"/>
        <w:rPr>
          <w:rFonts w:hint="eastAsia" w:asciiTheme="minorEastAsia" w:hAnsiTheme="minorEastAsia" w:eastAsiaTheme="minorEastAsia" w:cstheme="minorEastAsia"/>
          <w:color w:val="000000" w:themeColor="text1"/>
          <w:lang w:eastAsia="zh-CN"/>
        </w:rPr>
      </w:pPr>
    </w:p>
    <w:p w14:paraId="6921BDE0">
      <w:pPr>
        <w:pStyle w:val="8"/>
        <w:spacing w:line="243" w:lineRule="auto"/>
        <w:rPr>
          <w:rFonts w:hint="eastAsia" w:asciiTheme="minorEastAsia" w:hAnsiTheme="minorEastAsia" w:eastAsiaTheme="minorEastAsia" w:cstheme="minorEastAsia"/>
          <w:color w:val="000000" w:themeColor="text1"/>
          <w:lang w:eastAsia="zh-CN"/>
        </w:rPr>
      </w:pPr>
    </w:p>
    <w:p w14:paraId="6465861B">
      <w:pPr>
        <w:pStyle w:val="8"/>
        <w:spacing w:line="243" w:lineRule="auto"/>
        <w:rPr>
          <w:rFonts w:hint="eastAsia" w:asciiTheme="minorEastAsia" w:hAnsiTheme="minorEastAsia" w:eastAsiaTheme="minorEastAsia" w:cstheme="minorEastAsia"/>
          <w:color w:val="000000" w:themeColor="text1"/>
          <w:lang w:eastAsia="zh-CN"/>
        </w:rPr>
      </w:pPr>
    </w:p>
    <w:p w14:paraId="3E7D6750">
      <w:pPr>
        <w:pStyle w:val="8"/>
        <w:spacing w:line="243" w:lineRule="auto"/>
        <w:rPr>
          <w:rFonts w:hint="eastAsia" w:asciiTheme="minorEastAsia" w:hAnsiTheme="minorEastAsia" w:eastAsiaTheme="minorEastAsia" w:cstheme="minorEastAsia"/>
          <w:color w:val="000000" w:themeColor="text1"/>
          <w:lang w:eastAsia="zh-CN"/>
        </w:rPr>
      </w:pPr>
    </w:p>
    <w:p w14:paraId="25E3A57D">
      <w:pPr>
        <w:pStyle w:val="8"/>
        <w:spacing w:line="243" w:lineRule="auto"/>
        <w:rPr>
          <w:rFonts w:hint="eastAsia" w:asciiTheme="minorEastAsia" w:hAnsiTheme="minorEastAsia" w:eastAsiaTheme="minorEastAsia" w:cstheme="minorEastAsia"/>
          <w:color w:val="000000" w:themeColor="text1"/>
          <w:lang w:eastAsia="zh-CN"/>
        </w:rPr>
      </w:pPr>
    </w:p>
    <w:p w14:paraId="2EC4F5E8">
      <w:pPr>
        <w:pStyle w:val="8"/>
        <w:spacing w:line="243" w:lineRule="auto"/>
        <w:rPr>
          <w:rFonts w:hint="eastAsia" w:asciiTheme="minorEastAsia" w:hAnsiTheme="minorEastAsia" w:eastAsiaTheme="minorEastAsia" w:cstheme="minorEastAsia"/>
          <w:color w:val="000000" w:themeColor="text1"/>
          <w:lang w:eastAsia="zh-CN"/>
        </w:rPr>
      </w:pPr>
    </w:p>
    <w:p w14:paraId="7CCAAC8B">
      <w:pPr>
        <w:pStyle w:val="8"/>
        <w:spacing w:line="243" w:lineRule="auto"/>
        <w:rPr>
          <w:rFonts w:hint="eastAsia" w:asciiTheme="minorEastAsia" w:hAnsiTheme="minorEastAsia" w:eastAsiaTheme="minorEastAsia" w:cstheme="minorEastAsia"/>
          <w:color w:val="000000" w:themeColor="text1"/>
          <w:lang w:eastAsia="zh-CN"/>
        </w:rPr>
      </w:pPr>
    </w:p>
    <w:p w14:paraId="7328166A">
      <w:pPr>
        <w:pStyle w:val="8"/>
        <w:spacing w:line="243" w:lineRule="auto"/>
        <w:rPr>
          <w:rFonts w:hint="eastAsia" w:asciiTheme="minorEastAsia" w:hAnsiTheme="minorEastAsia" w:eastAsiaTheme="minorEastAsia" w:cstheme="minorEastAsia"/>
          <w:color w:val="000000" w:themeColor="text1"/>
          <w:lang w:eastAsia="zh-CN"/>
        </w:rPr>
      </w:pPr>
    </w:p>
    <w:p w14:paraId="6ACA388A">
      <w:pPr>
        <w:pStyle w:val="8"/>
        <w:spacing w:line="243" w:lineRule="auto"/>
        <w:rPr>
          <w:rFonts w:hint="eastAsia" w:asciiTheme="minorEastAsia" w:hAnsiTheme="minorEastAsia" w:eastAsiaTheme="minorEastAsia" w:cstheme="minorEastAsia"/>
          <w:color w:val="000000" w:themeColor="text1"/>
          <w:lang w:eastAsia="zh-CN"/>
        </w:rPr>
      </w:pPr>
    </w:p>
    <w:p w14:paraId="2E1829F0">
      <w:pPr>
        <w:pStyle w:val="8"/>
        <w:spacing w:line="243" w:lineRule="auto"/>
        <w:rPr>
          <w:rFonts w:hint="eastAsia" w:asciiTheme="minorEastAsia" w:hAnsiTheme="minorEastAsia" w:eastAsiaTheme="minorEastAsia" w:cstheme="minorEastAsia"/>
          <w:color w:val="000000" w:themeColor="text1"/>
          <w:lang w:eastAsia="zh-CN"/>
        </w:rPr>
      </w:pPr>
    </w:p>
    <w:p w14:paraId="3DC45528">
      <w:pPr>
        <w:pStyle w:val="8"/>
        <w:spacing w:line="243" w:lineRule="auto"/>
        <w:rPr>
          <w:rFonts w:hint="eastAsia" w:asciiTheme="minorEastAsia" w:hAnsiTheme="minorEastAsia" w:eastAsiaTheme="minorEastAsia" w:cstheme="minorEastAsia"/>
          <w:color w:val="000000" w:themeColor="text1"/>
          <w:lang w:eastAsia="zh-CN"/>
        </w:rPr>
      </w:pPr>
    </w:p>
    <w:p w14:paraId="1C548BCF">
      <w:pPr>
        <w:pStyle w:val="8"/>
        <w:spacing w:line="243" w:lineRule="auto"/>
        <w:rPr>
          <w:rFonts w:hint="eastAsia" w:asciiTheme="minorEastAsia" w:hAnsiTheme="minorEastAsia" w:eastAsiaTheme="minorEastAsia" w:cstheme="minorEastAsia"/>
          <w:color w:val="000000" w:themeColor="text1"/>
          <w:lang w:eastAsia="zh-CN"/>
        </w:rPr>
      </w:pPr>
    </w:p>
    <w:p w14:paraId="668FD354">
      <w:pPr>
        <w:spacing w:before="108" w:line="220" w:lineRule="auto"/>
        <w:ind w:left="429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0"/>
          <w:sz w:val="24"/>
          <w:szCs w:val="24"/>
          <w:lang w:eastAsia="zh-CN"/>
        </w:rPr>
        <w:t>索引</w:t>
      </w:r>
    </w:p>
    <w:p w14:paraId="7798CE12">
      <w:pPr>
        <w:spacing w:before="93" w:line="220" w:lineRule="auto"/>
        <w:ind w:left="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1、开标一览表</w:t>
      </w:r>
    </w:p>
    <w:p w14:paraId="2EC98FBF">
      <w:pPr>
        <w:spacing w:before="92" w:line="218"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2、投标分项报价表</w:t>
      </w:r>
    </w:p>
    <w:p w14:paraId="7EB25505">
      <w:pPr>
        <w:spacing w:line="218" w:lineRule="auto"/>
        <w:rPr>
          <w:rFonts w:hint="eastAsia" w:asciiTheme="minorEastAsia" w:hAnsiTheme="minorEastAsia" w:eastAsiaTheme="minorEastAsia" w:cstheme="minorEastAsia"/>
          <w:color w:val="000000" w:themeColor="text1"/>
          <w:sz w:val="24"/>
          <w:szCs w:val="24"/>
          <w:lang w:eastAsia="zh-CN"/>
        </w:rPr>
        <w:sectPr>
          <w:footerReference r:id="rId33" w:type="default"/>
          <w:pgSz w:w="11906" w:h="16839"/>
          <w:pgMar w:top="1431" w:right="1785" w:bottom="1260" w:left="1428" w:header="0" w:footer="1013" w:gutter="0"/>
          <w:pgNumType w:fmt="decimal"/>
          <w:cols w:space="720" w:num="1"/>
        </w:sectPr>
      </w:pPr>
    </w:p>
    <w:p w14:paraId="53F61D40">
      <w:pPr>
        <w:spacing w:before="108" w:line="220" w:lineRule="auto"/>
        <w:ind w:left="371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一、开标一览表</w:t>
      </w:r>
    </w:p>
    <w:p w14:paraId="7D2E098B">
      <w:pPr>
        <w:pStyle w:val="8"/>
        <w:spacing w:line="392" w:lineRule="auto"/>
        <w:rPr>
          <w:rFonts w:hint="eastAsia" w:asciiTheme="minorEastAsia" w:hAnsiTheme="minorEastAsia" w:eastAsiaTheme="minorEastAsia" w:cstheme="minorEastAsia"/>
          <w:color w:val="000000" w:themeColor="text1"/>
          <w:lang w:eastAsia="zh-CN"/>
        </w:rPr>
      </w:pPr>
    </w:p>
    <w:p w14:paraId="6828409D">
      <w:pPr>
        <w:spacing w:before="78" w:line="219" w:lineRule="auto"/>
        <w:ind w:left="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招标编号：</w:t>
      </w:r>
      <w:r>
        <w:rPr>
          <w:rFonts w:hint="eastAsia" w:asciiTheme="minorEastAsia" w:hAnsiTheme="minorEastAsia" w:eastAsiaTheme="minorEastAsia" w:cstheme="minorEastAsia"/>
          <w:color w:val="000000" w:themeColor="text1"/>
          <w:sz w:val="24"/>
          <w:szCs w:val="24"/>
          <w:u w:val="single"/>
          <w:lang w:eastAsia="zh-CN"/>
        </w:rPr>
        <w:t xml:space="preserve">                                      </w:t>
      </w:r>
    </w:p>
    <w:p w14:paraId="32F3DE36">
      <w:pPr>
        <w:spacing w:before="96" w:line="216" w:lineRule="auto"/>
        <w:ind w:left="669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2"/>
          <w:sz w:val="24"/>
          <w:szCs w:val="24"/>
        </w:rPr>
        <w:t>货币及单位：人民币元</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9"/>
        <w:gridCol w:w="3213"/>
        <w:gridCol w:w="2375"/>
        <w:gridCol w:w="1565"/>
        <w:gridCol w:w="1276"/>
      </w:tblGrid>
      <w:tr w14:paraId="72A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5" w:hRule="atLeast"/>
        </w:trPr>
        <w:tc>
          <w:tcPr>
            <w:tcW w:w="1129" w:type="dxa"/>
            <w:shd w:val="clear" w:color="auto" w:fill="FFFFFF"/>
            <w:tcMar>
              <w:top w:w="0" w:type="dxa"/>
              <w:left w:w="105" w:type="dxa"/>
              <w:bottom w:w="0" w:type="dxa"/>
              <w:right w:w="105" w:type="dxa"/>
            </w:tcMar>
            <w:vAlign w:val="center"/>
          </w:tcPr>
          <w:p w14:paraId="64926AD1">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rPr>
              <w:t>合同包</w:t>
            </w:r>
          </w:p>
        </w:tc>
        <w:tc>
          <w:tcPr>
            <w:tcW w:w="3213" w:type="dxa"/>
            <w:shd w:val="clear" w:color="auto" w:fill="FFFFFF"/>
            <w:tcMar>
              <w:top w:w="0" w:type="dxa"/>
              <w:left w:w="105" w:type="dxa"/>
              <w:bottom w:w="0" w:type="dxa"/>
              <w:right w:w="105" w:type="dxa"/>
            </w:tcMar>
            <w:vAlign w:val="center"/>
          </w:tcPr>
          <w:p w14:paraId="00FE3014">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szCs w:val="24"/>
                <w:lang w:eastAsia="zh-CN"/>
              </w:rPr>
            </w:pPr>
            <w:r>
              <w:rPr>
                <w:rFonts w:hint="eastAsia" w:asciiTheme="minorEastAsia" w:hAnsiTheme="minorEastAsia" w:eastAsiaTheme="minorEastAsia" w:cstheme="minorEastAsia"/>
                <w:color w:val="000000" w:themeColor="text1"/>
                <w:szCs w:val="24"/>
                <w:lang w:eastAsia="zh-CN"/>
              </w:rPr>
              <w:t>投标</w:t>
            </w:r>
            <w:r>
              <w:rPr>
                <w:rFonts w:hint="eastAsia" w:asciiTheme="minorEastAsia" w:hAnsiTheme="minorEastAsia" w:eastAsiaTheme="minorEastAsia" w:cstheme="minorEastAsia"/>
                <w:color w:val="000000" w:themeColor="text1"/>
                <w:szCs w:val="24"/>
              </w:rPr>
              <w:t>报价</w:t>
            </w:r>
            <w:r>
              <w:rPr>
                <w:rFonts w:hint="eastAsia" w:asciiTheme="minorEastAsia" w:hAnsiTheme="minorEastAsia" w:eastAsiaTheme="minorEastAsia" w:cstheme="minorEastAsia"/>
                <w:color w:val="000000" w:themeColor="text1"/>
                <w:szCs w:val="24"/>
                <w:lang w:eastAsia="zh-CN"/>
              </w:rPr>
              <w:t>总价（元）</w:t>
            </w:r>
          </w:p>
        </w:tc>
        <w:tc>
          <w:tcPr>
            <w:tcW w:w="2375" w:type="dxa"/>
            <w:shd w:val="clear" w:color="auto" w:fill="FFFFFF"/>
            <w:tcMar>
              <w:top w:w="0" w:type="dxa"/>
              <w:left w:w="105" w:type="dxa"/>
              <w:bottom w:w="0" w:type="dxa"/>
              <w:right w:w="105" w:type="dxa"/>
            </w:tcMar>
            <w:vAlign w:val="center"/>
          </w:tcPr>
          <w:p w14:paraId="5C8559CB">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lang w:eastAsia="zh-CN"/>
              </w:rPr>
              <w:t>数量</w:t>
            </w:r>
          </w:p>
        </w:tc>
        <w:tc>
          <w:tcPr>
            <w:tcW w:w="1565" w:type="dxa"/>
            <w:shd w:val="clear" w:color="auto" w:fill="FFFFFF"/>
            <w:tcMar>
              <w:top w:w="0" w:type="dxa"/>
              <w:left w:w="105" w:type="dxa"/>
              <w:bottom w:w="0" w:type="dxa"/>
              <w:right w:w="105" w:type="dxa"/>
            </w:tcMar>
            <w:vAlign w:val="center"/>
          </w:tcPr>
          <w:p w14:paraId="67FF8748">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lang w:eastAsia="zh-CN"/>
              </w:rPr>
              <w:t>投标</w:t>
            </w:r>
            <w:r>
              <w:rPr>
                <w:rFonts w:hint="eastAsia" w:asciiTheme="minorEastAsia" w:hAnsiTheme="minorEastAsia" w:eastAsiaTheme="minorEastAsia" w:cstheme="minorEastAsia"/>
                <w:color w:val="000000" w:themeColor="text1"/>
                <w:szCs w:val="24"/>
              </w:rPr>
              <w:t>保证金</w:t>
            </w:r>
          </w:p>
        </w:tc>
        <w:tc>
          <w:tcPr>
            <w:tcW w:w="1276" w:type="dxa"/>
            <w:shd w:val="clear" w:color="auto" w:fill="FFFFFF"/>
            <w:tcMar>
              <w:top w:w="0" w:type="dxa"/>
              <w:left w:w="105" w:type="dxa"/>
              <w:bottom w:w="0" w:type="dxa"/>
              <w:right w:w="105" w:type="dxa"/>
            </w:tcMar>
            <w:vAlign w:val="center"/>
          </w:tcPr>
          <w:p w14:paraId="3E6B02BE">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rPr>
              <w:t>备注</w:t>
            </w:r>
          </w:p>
        </w:tc>
      </w:tr>
      <w:tr w14:paraId="4919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1129" w:type="dxa"/>
            <w:shd w:val="clear" w:color="auto" w:fill="FFFFFF"/>
            <w:tcMar>
              <w:top w:w="0" w:type="dxa"/>
              <w:left w:w="105" w:type="dxa"/>
              <w:bottom w:w="0" w:type="dxa"/>
              <w:right w:w="105" w:type="dxa"/>
            </w:tcMar>
            <w:vAlign w:val="center"/>
          </w:tcPr>
          <w:p w14:paraId="2F53A493">
            <w:pPr>
              <w:pStyle w:val="15"/>
              <w:spacing w:before="0" w:beforeAutospacing="0" w:after="0" w:afterAutospacing="0" w:line="465" w:lineRule="atLeast"/>
              <w:jc w:val="cente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z w:val="21"/>
                <w:lang w:eastAsia="zh-CN"/>
              </w:rPr>
              <w:t>1</w:t>
            </w:r>
          </w:p>
        </w:tc>
        <w:tc>
          <w:tcPr>
            <w:tcW w:w="3213" w:type="dxa"/>
            <w:shd w:val="clear" w:color="auto" w:fill="FFFFFF"/>
            <w:tcMar>
              <w:top w:w="0" w:type="dxa"/>
              <w:left w:w="105" w:type="dxa"/>
              <w:bottom w:w="0" w:type="dxa"/>
              <w:right w:w="105" w:type="dxa"/>
            </w:tcMar>
            <w:vAlign w:val="center"/>
          </w:tcPr>
          <w:p w14:paraId="52593A0C">
            <w:pPr>
              <w:jc w:val="center"/>
              <w:rPr>
                <w:rFonts w:hint="eastAsia" w:asciiTheme="minorEastAsia" w:hAnsiTheme="minorEastAsia" w:eastAsiaTheme="minorEastAsia" w:cstheme="minorEastAsia"/>
                <w:color w:val="000000" w:themeColor="text1"/>
              </w:rPr>
            </w:pPr>
          </w:p>
        </w:tc>
        <w:tc>
          <w:tcPr>
            <w:tcW w:w="2375" w:type="dxa"/>
            <w:shd w:val="clear" w:color="auto" w:fill="FFFFFF"/>
            <w:tcMar>
              <w:top w:w="0" w:type="dxa"/>
              <w:left w:w="105" w:type="dxa"/>
              <w:bottom w:w="0" w:type="dxa"/>
              <w:right w:w="105" w:type="dxa"/>
            </w:tcMar>
            <w:vAlign w:val="center"/>
          </w:tcPr>
          <w:p w14:paraId="4B2D0531">
            <w:pPr>
              <w:jc w:val="center"/>
              <w:rPr>
                <w:rFonts w:hint="eastAsia" w:asciiTheme="minorEastAsia" w:hAnsiTheme="minorEastAsia" w:eastAsiaTheme="minorEastAsia" w:cstheme="minorEastAsia"/>
                <w:color w:val="000000" w:themeColor="text1"/>
              </w:rPr>
            </w:pPr>
          </w:p>
        </w:tc>
        <w:tc>
          <w:tcPr>
            <w:tcW w:w="1565" w:type="dxa"/>
            <w:shd w:val="clear" w:color="auto" w:fill="FFFFFF"/>
            <w:tcMar>
              <w:top w:w="0" w:type="dxa"/>
              <w:left w:w="105" w:type="dxa"/>
              <w:bottom w:w="0" w:type="dxa"/>
              <w:right w:w="105" w:type="dxa"/>
            </w:tcMar>
            <w:vAlign w:val="center"/>
          </w:tcPr>
          <w:p w14:paraId="174C3C6E">
            <w:pPr>
              <w:jc w:val="center"/>
              <w:rPr>
                <w:rFonts w:hint="eastAsia" w:asciiTheme="minorEastAsia" w:hAnsiTheme="minorEastAsia" w:eastAsiaTheme="minorEastAsia" w:cstheme="minorEastAsia"/>
                <w:color w:val="000000" w:themeColor="text1"/>
              </w:rPr>
            </w:pPr>
          </w:p>
        </w:tc>
        <w:tc>
          <w:tcPr>
            <w:tcW w:w="1276" w:type="dxa"/>
            <w:shd w:val="clear" w:color="auto" w:fill="FFFFFF"/>
            <w:tcMar>
              <w:top w:w="0" w:type="dxa"/>
              <w:left w:w="105" w:type="dxa"/>
              <w:bottom w:w="0" w:type="dxa"/>
              <w:right w:w="105" w:type="dxa"/>
            </w:tcMar>
            <w:vAlign w:val="center"/>
          </w:tcPr>
          <w:p w14:paraId="77A7C075">
            <w:pPr>
              <w:jc w:val="center"/>
              <w:rPr>
                <w:rFonts w:hint="eastAsia" w:asciiTheme="minorEastAsia" w:hAnsiTheme="minorEastAsia" w:eastAsiaTheme="minorEastAsia" w:cstheme="minorEastAsia"/>
                <w:color w:val="000000" w:themeColor="text1"/>
              </w:rPr>
            </w:pPr>
          </w:p>
        </w:tc>
      </w:tr>
      <w:tr w14:paraId="0E8F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4342" w:type="dxa"/>
            <w:gridSpan w:val="2"/>
            <w:shd w:val="clear" w:color="auto" w:fill="FFFFFF"/>
            <w:tcMar>
              <w:top w:w="0" w:type="dxa"/>
              <w:left w:w="105" w:type="dxa"/>
              <w:bottom w:w="0" w:type="dxa"/>
              <w:right w:w="105" w:type="dxa"/>
            </w:tcMar>
            <w:vAlign w:val="center"/>
          </w:tcPr>
          <w:p w14:paraId="206A6A82">
            <w:pPr>
              <w:tabs>
                <w:tab w:val="left" w:pos="900"/>
              </w:tabs>
              <w:spacing w:line="440" w:lineRule="exact"/>
              <w:jc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rPr>
              <w:t>含税总价</w:t>
            </w:r>
          </w:p>
        </w:tc>
        <w:tc>
          <w:tcPr>
            <w:tcW w:w="5216" w:type="dxa"/>
            <w:gridSpan w:val="3"/>
            <w:shd w:val="clear" w:color="auto" w:fill="FFFFFF"/>
            <w:tcMar>
              <w:top w:w="0" w:type="dxa"/>
              <w:left w:w="105" w:type="dxa"/>
              <w:bottom w:w="0" w:type="dxa"/>
              <w:right w:w="105" w:type="dxa"/>
            </w:tcMar>
            <w:vAlign w:val="center"/>
          </w:tcPr>
          <w:p w14:paraId="2168C491">
            <w:pPr>
              <w:tabs>
                <w:tab w:val="left" w:pos="900"/>
              </w:tabs>
              <w:spacing w:line="440" w:lineRule="exact"/>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z w:val="24"/>
                <w:u w:val="single"/>
                <w:lang w:eastAsia="zh-CN"/>
              </w:rPr>
              <w:t xml:space="preserve">       （大写）      </w:t>
            </w:r>
            <w:r>
              <w:rPr>
                <w:rFonts w:hint="eastAsia" w:asciiTheme="minorEastAsia" w:hAnsiTheme="minorEastAsia" w:eastAsiaTheme="minorEastAsia" w:cstheme="minorEastAsia"/>
                <w:color w:val="000000" w:themeColor="text1"/>
                <w:sz w:val="24"/>
                <w:lang w:eastAsia="zh-CN"/>
              </w:rPr>
              <w:t xml:space="preserve"> ，即</w:t>
            </w:r>
            <w:r>
              <w:rPr>
                <w:rFonts w:hint="eastAsia" w:asciiTheme="minorEastAsia" w:hAnsiTheme="minorEastAsia" w:eastAsiaTheme="minorEastAsia" w:cstheme="minorEastAsia"/>
                <w:color w:val="000000" w:themeColor="text1"/>
                <w:sz w:val="24"/>
                <w:u w:val="single"/>
                <w:lang w:eastAsia="zh-CN"/>
              </w:rPr>
              <w:t xml:space="preserve">   （小写）       </w:t>
            </w:r>
          </w:p>
        </w:tc>
      </w:tr>
    </w:tbl>
    <w:p w14:paraId="2B52FE44">
      <w:pPr>
        <w:spacing w:before="99" w:line="224" w:lineRule="auto"/>
        <w:ind w:left="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6EFA347F">
      <w:pPr>
        <w:spacing w:before="87" w:line="255" w:lineRule="auto"/>
        <w:ind w:left="16" w:right="1757" w:firstLine="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1.详细报价清单应另纸详列，且标明所报各种货物的数量、品牌和金</w:t>
      </w:r>
      <w:r>
        <w:rPr>
          <w:rFonts w:hint="eastAsia" w:asciiTheme="minorEastAsia" w:hAnsiTheme="minorEastAsia" w:eastAsiaTheme="minorEastAsia" w:cstheme="minorEastAsia"/>
          <w:color w:val="000000" w:themeColor="text1"/>
          <w:spacing w:val="-3"/>
          <w:sz w:val="24"/>
          <w:szCs w:val="24"/>
          <w:lang w:eastAsia="zh-CN"/>
        </w:rPr>
        <w:t>额。</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2.当一个合同包有多个品目号时，投标人应计算出该合同包的合计价。</w:t>
      </w:r>
    </w:p>
    <w:p w14:paraId="10CE333C">
      <w:pPr>
        <w:pStyle w:val="8"/>
        <w:spacing w:line="257" w:lineRule="auto"/>
        <w:rPr>
          <w:rFonts w:hint="eastAsia" w:asciiTheme="minorEastAsia" w:hAnsiTheme="minorEastAsia" w:eastAsiaTheme="minorEastAsia" w:cstheme="minorEastAsia"/>
          <w:color w:val="000000" w:themeColor="text1"/>
          <w:lang w:eastAsia="zh-CN"/>
        </w:rPr>
      </w:pPr>
    </w:p>
    <w:p w14:paraId="61E45FAB">
      <w:pPr>
        <w:pStyle w:val="8"/>
        <w:spacing w:line="258" w:lineRule="auto"/>
        <w:rPr>
          <w:rFonts w:hint="eastAsia" w:asciiTheme="minorEastAsia" w:hAnsiTheme="minorEastAsia" w:eastAsiaTheme="minorEastAsia" w:cstheme="minorEastAsia"/>
          <w:color w:val="000000" w:themeColor="text1"/>
          <w:lang w:eastAsia="zh-CN"/>
        </w:rPr>
      </w:pPr>
    </w:p>
    <w:p w14:paraId="163F73E2">
      <w:pPr>
        <w:pStyle w:val="8"/>
        <w:spacing w:line="258" w:lineRule="auto"/>
        <w:rPr>
          <w:rFonts w:hint="eastAsia" w:asciiTheme="minorEastAsia" w:hAnsiTheme="minorEastAsia" w:eastAsiaTheme="minorEastAsia" w:cstheme="minorEastAsia"/>
          <w:color w:val="000000" w:themeColor="text1"/>
          <w:lang w:eastAsia="zh-CN"/>
        </w:rPr>
      </w:pPr>
    </w:p>
    <w:p w14:paraId="3C64296B">
      <w:pPr>
        <w:spacing w:before="78"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47B074E7">
      <w:pPr>
        <w:spacing w:before="98" w:line="219" w:lineRule="auto"/>
        <w:ind w:left="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24D7DCA7">
      <w:pPr>
        <w:spacing w:before="94" w:line="219" w:lineRule="auto"/>
        <w:ind w:left="5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2A590AA1">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4" w:type="default"/>
          <w:pgSz w:w="11906" w:h="16839"/>
          <w:pgMar w:top="1431" w:right="1092" w:bottom="1260" w:left="1412" w:header="0" w:footer="1013" w:gutter="0"/>
          <w:pgNumType w:fmt="decimal"/>
          <w:cols w:space="720" w:num="1"/>
        </w:sectPr>
      </w:pPr>
    </w:p>
    <w:p w14:paraId="26219F71">
      <w:pPr>
        <w:spacing w:before="108" w:line="218" w:lineRule="auto"/>
        <w:ind w:left="349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二、投标分项报价表</w:t>
      </w:r>
    </w:p>
    <w:p w14:paraId="40688CB2">
      <w:pPr>
        <w:pStyle w:val="27"/>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项目编号：</w:t>
      </w:r>
      <w:r>
        <w:rPr>
          <w:rFonts w:hint="eastAsia" w:asciiTheme="minorEastAsia" w:hAnsiTheme="minorEastAsia" w:eastAsiaTheme="minorEastAsia" w:cstheme="minorEastAsia"/>
          <w:color w:val="000000" w:themeColor="text1"/>
          <w:u w:val="single"/>
        </w:rPr>
        <w:t>　　　　　　　　</w:t>
      </w:r>
    </w:p>
    <w:p w14:paraId="700DEB20">
      <w:pPr>
        <w:pStyle w:val="27"/>
        <w:ind w:firstLine="480"/>
        <w:jc w:val="both"/>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货币及单位：人民币元</w:t>
      </w:r>
    </w:p>
    <w:tbl>
      <w:tblPr>
        <w:tblStyle w:val="16"/>
        <w:tblW w:w="86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6"/>
        <w:gridCol w:w="839"/>
        <w:gridCol w:w="786"/>
        <w:gridCol w:w="2152"/>
        <w:gridCol w:w="840"/>
        <w:gridCol w:w="840"/>
        <w:gridCol w:w="787"/>
        <w:gridCol w:w="840"/>
        <w:gridCol w:w="787"/>
      </w:tblGrid>
      <w:tr w14:paraId="5C665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3" w:hRule="atLeast"/>
        </w:trPr>
        <w:tc>
          <w:tcPr>
            <w:tcW w:w="786" w:type="dxa"/>
          </w:tcPr>
          <w:p w14:paraId="1B050F6E">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合同包</w:t>
            </w:r>
          </w:p>
        </w:tc>
        <w:tc>
          <w:tcPr>
            <w:tcW w:w="839" w:type="dxa"/>
          </w:tcPr>
          <w:p w14:paraId="3F9E11B4">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品目号（序号）</w:t>
            </w:r>
          </w:p>
        </w:tc>
        <w:tc>
          <w:tcPr>
            <w:tcW w:w="786" w:type="dxa"/>
          </w:tcPr>
          <w:p w14:paraId="78E11F2F">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投标标的</w:t>
            </w:r>
          </w:p>
        </w:tc>
        <w:tc>
          <w:tcPr>
            <w:tcW w:w="2152" w:type="dxa"/>
          </w:tcPr>
          <w:p w14:paraId="4760F537">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规格</w:t>
            </w:r>
          </w:p>
        </w:tc>
        <w:tc>
          <w:tcPr>
            <w:tcW w:w="840" w:type="dxa"/>
          </w:tcPr>
          <w:p w14:paraId="504FA251">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品牌、型号</w:t>
            </w:r>
          </w:p>
        </w:tc>
        <w:tc>
          <w:tcPr>
            <w:tcW w:w="840" w:type="dxa"/>
          </w:tcPr>
          <w:p w14:paraId="6D751A6D">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单价（现场）</w:t>
            </w:r>
          </w:p>
        </w:tc>
        <w:tc>
          <w:tcPr>
            <w:tcW w:w="787" w:type="dxa"/>
          </w:tcPr>
          <w:p w14:paraId="23522994">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数量</w:t>
            </w:r>
          </w:p>
        </w:tc>
        <w:tc>
          <w:tcPr>
            <w:tcW w:w="840" w:type="dxa"/>
          </w:tcPr>
          <w:p w14:paraId="745377E6">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总价（现场）</w:t>
            </w:r>
          </w:p>
        </w:tc>
        <w:tc>
          <w:tcPr>
            <w:tcW w:w="787" w:type="dxa"/>
          </w:tcPr>
          <w:p w14:paraId="699769AA">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备注</w:t>
            </w:r>
          </w:p>
        </w:tc>
      </w:tr>
      <w:tr w14:paraId="0F534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 w:hRule="atLeast"/>
        </w:trPr>
        <w:tc>
          <w:tcPr>
            <w:tcW w:w="786" w:type="dxa"/>
            <w:vMerge w:val="restart"/>
          </w:tcPr>
          <w:p w14:paraId="082BD1F6">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839" w:type="dxa"/>
          </w:tcPr>
          <w:p w14:paraId="2F9DC2A2">
            <w:pPr>
              <w:pStyle w:val="27"/>
              <w:rPr>
                <w:rFonts w:hint="eastAsia" w:asciiTheme="minorEastAsia" w:hAnsiTheme="minorEastAsia" w:eastAsiaTheme="minorEastAsia" w:cstheme="minorEastAsia"/>
                <w:color w:val="000000" w:themeColor="text1"/>
              </w:rPr>
            </w:pPr>
          </w:p>
        </w:tc>
        <w:tc>
          <w:tcPr>
            <w:tcW w:w="786" w:type="dxa"/>
            <w:vMerge w:val="restart"/>
          </w:tcPr>
          <w:p w14:paraId="0D4AFF14">
            <w:pPr>
              <w:rPr>
                <w:rFonts w:hint="eastAsia" w:asciiTheme="minorEastAsia" w:hAnsiTheme="minorEastAsia" w:eastAsiaTheme="minorEastAsia" w:cstheme="minorEastAsia"/>
                <w:color w:val="000000" w:themeColor="text1"/>
              </w:rPr>
            </w:pPr>
          </w:p>
        </w:tc>
        <w:tc>
          <w:tcPr>
            <w:tcW w:w="2152" w:type="dxa"/>
            <w:vAlign w:val="center"/>
          </w:tcPr>
          <w:p w14:paraId="407774F9">
            <w:pPr>
              <w:pStyle w:val="27"/>
              <w:rPr>
                <w:rFonts w:hint="eastAsia" w:asciiTheme="minorEastAsia" w:hAnsiTheme="minorEastAsia" w:eastAsiaTheme="minorEastAsia" w:cstheme="minorEastAsia"/>
                <w:color w:val="000000" w:themeColor="text1"/>
              </w:rPr>
            </w:pPr>
          </w:p>
        </w:tc>
        <w:tc>
          <w:tcPr>
            <w:tcW w:w="840" w:type="dxa"/>
          </w:tcPr>
          <w:p w14:paraId="294ED0CC">
            <w:pPr>
              <w:rPr>
                <w:rFonts w:hint="eastAsia" w:asciiTheme="minorEastAsia" w:hAnsiTheme="minorEastAsia" w:eastAsiaTheme="minorEastAsia" w:cstheme="minorEastAsia"/>
                <w:color w:val="000000" w:themeColor="text1"/>
              </w:rPr>
            </w:pPr>
          </w:p>
        </w:tc>
        <w:tc>
          <w:tcPr>
            <w:tcW w:w="840" w:type="dxa"/>
          </w:tcPr>
          <w:p w14:paraId="6FF02408">
            <w:pPr>
              <w:rPr>
                <w:rFonts w:hint="eastAsia" w:asciiTheme="minorEastAsia" w:hAnsiTheme="minorEastAsia" w:eastAsiaTheme="minorEastAsia" w:cstheme="minorEastAsia"/>
                <w:color w:val="000000" w:themeColor="text1"/>
              </w:rPr>
            </w:pPr>
          </w:p>
        </w:tc>
        <w:tc>
          <w:tcPr>
            <w:tcW w:w="787" w:type="dxa"/>
          </w:tcPr>
          <w:p w14:paraId="1F661A8D">
            <w:pPr>
              <w:rPr>
                <w:rFonts w:hint="eastAsia" w:asciiTheme="minorEastAsia" w:hAnsiTheme="minorEastAsia" w:eastAsiaTheme="minorEastAsia" w:cstheme="minorEastAsia"/>
                <w:color w:val="000000" w:themeColor="text1"/>
              </w:rPr>
            </w:pPr>
          </w:p>
        </w:tc>
        <w:tc>
          <w:tcPr>
            <w:tcW w:w="840" w:type="dxa"/>
          </w:tcPr>
          <w:p w14:paraId="389FA697">
            <w:pPr>
              <w:rPr>
                <w:rFonts w:hint="eastAsia" w:asciiTheme="minorEastAsia" w:hAnsiTheme="minorEastAsia" w:eastAsiaTheme="minorEastAsia" w:cstheme="minorEastAsia"/>
                <w:color w:val="000000" w:themeColor="text1"/>
              </w:rPr>
            </w:pPr>
          </w:p>
        </w:tc>
        <w:tc>
          <w:tcPr>
            <w:tcW w:w="787" w:type="dxa"/>
          </w:tcPr>
          <w:p w14:paraId="4E9B3F44">
            <w:pPr>
              <w:rPr>
                <w:rFonts w:hint="eastAsia" w:asciiTheme="minorEastAsia" w:hAnsiTheme="minorEastAsia" w:eastAsiaTheme="minorEastAsia" w:cstheme="minorEastAsia"/>
                <w:color w:val="000000" w:themeColor="text1"/>
              </w:rPr>
            </w:pPr>
          </w:p>
        </w:tc>
      </w:tr>
      <w:tr w14:paraId="358D7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 w:hRule="atLeast"/>
        </w:trPr>
        <w:tc>
          <w:tcPr>
            <w:tcW w:w="786" w:type="dxa"/>
            <w:vMerge w:val="continue"/>
          </w:tcPr>
          <w:p w14:paraId="06EF91DE">
            <w:pPr>
              <w:rPr>
                <w:rFonts w:hint="eastAsia" w:asciiTheme="minorEastAsia" w:hAnsiTheme="minorEastAsia" w:eastAsiaTheme="minorEastAsia" w:cstheme="minorEastAsia"/>
                <w:color w:val="000000" w:themeColor="text1"/>
              </w:rPr>
            </w:pPr>
          </w:p>
        </w:tc>
        <w:tc>
          <w:tcPr>
            <w:tcW w:w="839" w:type="dxa"/>
          </w:tcPr>
          <w:p w14:paraId="0AB171A6">
            <w:pPr>
              <w:pStyle w:val="27"/>
              <w:rPr>
                <w:rFonts w:hint="eastAsia" w:asciiTheme="minorEastAsia" w:hAnsiTheme="minorEastAsia" w:eastAsiaTheme="minorEastAsia" w:cstheme="minorEastAsia"/>
                <w:color w:val="000000" w:themeColor="text1"/>
              </w:rPr>
            </w:pPr>
          </w:p>
        </w:tc>
        <w:tc>
          <w:tcPr>
            <w:tcW w:w="786" w:type="dxa"/>
            <w:vMerge w:val="continue"/>
          </w:tcPr>
          <w:p w14:paraId="1A0A8EDF">
            <w:pPr>
              <w:rPr>
                <w:rFonts w:hint="eastAsia" w:asciiTheme="minorEastAsia" w:hAnsiTheme="minorEastAsia" w:eastAsiaTheme="minorEastAsia" w:cstheme="minorEastAsia"/>
                <w:color w:val="000000" w:themeColor="text1"/>
              </w:rPr>
            </w:pPr>
          </w:p>
        </w:tc>
        <w:tc>
          <w:tcPr>
            <w:tcW w:w="2152" w:type="dxa"/>
            <w:vAlign w:val="center"/>
          </w:tcPr>
          <w:p w14:paraId="0BE9141D">
            <w:pPr>
              <w:pStyle w:val="27"/>
              <w:rPr>
                <w:rFonts w:hint="eastAsia" w:asciiTheme="minorEastAsia" w:hAnsiTheme="minorEastAsia" w:eastAsiaTheme="minorEastAsia" w:cstheme="minorEastAsia"/>
                <w:color w:val="000000" w:themeColor="text1"/>
              </w:rPr>
            </w:pPr>
          </w:p>
        </w:tc>
        <w:tc>
          <w:tcPr>
            <w:tcW w:w="840" w:type="dxa"/>
          </w:tcPr>
          <w:p w14:paraId="2754FDFE">
            <w:pPr>
              <w:rPr>
                <w:rFonts w:hint="eastAsia" w:asciiTheme="minorEastAsia" w:hAnsiTheme="minorEastAsia" w:eastAsiaTheme="minorEastAsia" w:cstheme="minorEastAsia"/>
                <w:color w:val="000000" w:themeColor="text1"/>
              </w:rPr>
            </w:pPr>
          </w:p>
        </w:tc>
        <w:tc>
          <w:tcPr>
            <w:tcW w:w="840" w:type="dxa"/>
          </w:tcPr>
          <w:p w14:paraId="226FF867">
            <w:pPr>
              <w:rPr>
                <w:rFonts w:hint="eastAsia" w:asciiTheme="minorEastAsia" w:hAnsiTheme="minorEastAsia" w:eastAsiaTheme="minorEastAsia" w:cstheme="minorEastAsia"/>
                <w:color w:val="000000" w:themeColor="text1"/>
              </w:rPr>
            </w:pPr>
          </w:p>
        </w:tc>
        <w:tc>
          <w:tcPr>
            <w:tcW w:w="787" w:type="dxa"/>
          </w:tcPr>
          <w:p w14:paraId="1F233F3B">
            <w:pPr>
              <w:rPr>
                <w:rFonts w:hint="eastAsia" w:asciiTheme="minorEastAsia" w:hAnsiTheme="minorEastAsia" w:eastAsiaTheme="minorEastAsia" w:cstheme="minorEastAsia"/>
                <w:color w:val="000000" w:themeColor="text1"/>
              </w:rPr>
            </w:pPr>
          </w:p>
        </w:tc>
        <w:tc>
          <w:tcPr>
            <w:tcW w:w="840" w:type="dxa"/>
          </w:tcPr>
          <w:p w14:paraId="407485FB">
            <w:pPr>
              <w:rPr>
                <w:rFonts w:hint="eastAsia" w:asciiTheme="minorEastAsia" w:hAnsiTheme="minorEastAsia" w:eastAsiaTheme="minorEastAsia" w:cstheme="minorEastAsia"/>
                <w:color w:val="000000" w:themeColor="text1"/>
              </w:rPr>
            </w:pPr>
          </w:p>
        </w:tc>
        <w:tc>
          <w:tcPr>
            <w:tcW w:w="787" w:type="dxa"/>
          </w:tcPr>
          <w:p w14:paraId="3EF609D2">
            <w:pPr>
              <w:rPr>
                <w:rFonts w:hint="eastAsia" w:asciiTheme="minorEastAsia" w:hAnsiTheme="minorEastAsia" w:eastAsiaTheme="minorEastAsia" w:cstheme="minorEastAsia"/>
                <w:color w:val="000000" w:themeColor="text1"/>
              </w:rPr>
            </w:pPr>
          </w:p>
        </w:tc>
      </w:tr>
      <w:tr w14:paraId="11DC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 w:hRule="atLeast"/>
        </w:trPr>
        <w:tc>
          <w:tcPr>
            <w:tcW w:w="786" w:type="dxa"/>
            <w:vMerge w:val="continue"/>
          </w:tcPr>
          <w:p w14:paraId="11694537">
            <w:pPr>
              <w:rPr>
                <w:rFonts w:hint="eastAsia" w:asciiTheme="minorEastAsia" w:hAnsiTheme="minorEastAsia" w:eastAsiaTheme="minorEastAsia" w:cstheme="minorEastAsia"/>
                <w:color w:val="000000" w:themeColor="text1"/>
              </w:rPr>
            </w:pPr>
          </w:p>
        </w:tc>
        <w:tc>
          <w:tcPr>
            <w:tcW w:w="839" w:type="dxa"/>
          </w:tcPr>
          <w:p w14:paraId="40EB8506">
            <w:pPr>
              <w:pStyle w:val="27"/>
              <w:rPr>
                <w:rFonts w:hint="eastAsia" w:asciiTheme="minorEastAsia" w:hAnsiTheme="minorEastAsia" w:eastAsiaTheme="minorEastAsia" w:cstheme="minorEastAsia"/>
                <w:color w:val="000000" w:themeColor="text1"/>
              </w:rPr>
            </w:pPr>
          </w:p>
        </w:tc>
        <w:tc>
          <w:tcPr>
            <w:tcW w:w="786" w:type="dxa"/>
            <w:vMerge w:val="continue"/>
          </w:tcPr>
          <w:p w14:paraId="059A9C37">
            <w:pPr>
              <w:rPr>
                <w:rFonts w:hint="eastAsia" w:asciiTheme="minorEastAsia" w:hAnsiTheme="minorEastAsia" w:eastAsiaTheme="minorEastAsia" w:cstheme="minorEastAsia"/>
                <w:color w:val="000000" w:themeColor="text1"/>
              </w:rPr>
            </w:pPr>
          </w:p>
        </w:tc>
        <w:tc>
          <w:tcPr>
            <w:tcW w:w="2152" w:type="dxa"/>
            <w:vAlign w:val="center"/>
          </w:tcPr>
          <w:p w14:paraId="31CACB34">
            <w:pPr>
              <w:pStyle w:val="27"/>
              <w:rPr>
                <w:rFonts w:hint="eastAsia" w:asciiTheme="minorEastAsia" w:hAnsiTheme="minorEastAsia" w:eastAsiaTheme="minorEastAsia" w:cstheme="minorEastAsia"/>
                <w:color w:val="000000" w:themeColor="text1"/>
              </w:rPr>
            </w:pPr>
          </w:p>
        </w:tc>
        <w:tc>
          <w:tcPr>
            <w:tcW w:w="840" w:type="dxa"/>
          </w:tcPr>
          <w:p w14:paraId="7A6F1E8A">
            <w:pPr>
              <w:rPr>
                <w:rFonts w:hint="eastAsia" w:asciiTheme="minorEastAsia" w:hAnsiTheme="minorEastAsia" w:eastAsiaTheme="minorEastAsia" w:cstheme="minorEastAsia"/>
                <w:color w:val="000000" w:themeColor="text1"/>
              </w:rPr>
            </w:pPr>
          </w:p>
        </w:tc>
        <w:tc>
          <w:tcPr>
            <w:tcW w:w="840" w:type="dxa"/>
          </w:tcPr>
          <w:p w14:paraId="6A454B90">
            <w:pPr>
              <w:rPr>
                <w:rFonts w:hint="eastAsia" w:asciiTheme="minorEastAsia" w:hAnsiTheme="minorEastAsia" w:eastAsiaTheme="minorEastAsia" w:cstheme="minorEastAsia"/>
                <w:color w:val="000000" w:themeColor="text1"/>
              </w:rPr>
            </w:pPr>
          </w:p>
        </w:tc>
        <w:tc>
          <w:tcPr>
            <w:tcW w:w="787" w:type="dxa"/>
          </w:tcPr>
          <w:p w14:paraId="19C00AE8">
            <w:pPr>
              <w:rPr>
                <w:rFonts w:hint="eastAsia" w:asciiTheme="minorEastAsia" w:hAnsiTheme="minorEastAsia" w:eastAsiaTheme="minorEastAsia" w:cstheme="minorEastAsia"/>
                <w:color w:val="000000" w:themeColor="text1"/>
              </w:rPr>
            </w:pPr>
          </w:p>
        </w:tc>
        <w:tc>
          <w:tcPr>
            <w:tcW w:w="840" w:type="dxa"/>
          </w:tcPr>
          <w:p w14:paraId="5EE9D99A">
            <w:pPr>
              <w:rPr>
                <w:rFonts w:hint="eastAsia" w:asciiTheme="minorEastAsia" w:hAnsiTheme="minorEastAsia" w:eastAsiaTheme="minorEastAsia" w:cstheme="minorEastAsia"/>
                <w:color w:val="000000" w:themeColor="text1"/>
              </w:rPr>
            </w:pPr>
          </w:p>
        </w:tc>
        <w:tc>
          <w:tcPr>
            <w:tcW w:w="787" w:type="dxa"/>
          </w:tcPr>
          <w:p w14:paraId="14CB58AF">
            <w:pPr>
              <w:rPr>
                <w:rFonts w:hint="eastAsia" w:asciiTheme="minorEastAsia" w:hAnsiTheme="minorEastAsia" w:eastAsiaTheme="minorEastAsia" w:cstheme="minorEastAsia"/>
                <w:color w:val="000000" w:themeColor="text1"/>
              </w:rPr>
            </w:pPr>
          </w:p>
        </w:tc>
      </w:tr>
      <w:tr w14:paraId="2622E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 w:hRule="atLeast"/>
        </w:trPr>
        <w:tc>
          <w:tcPr>
            <w:tcW w:w="786" w:type="dxa"/>
            <w:vMerge w:val="continue"/>
          </w:tcPr>
          <w:p w14:paraId="751B73C6">
            <w:pPr>
              <w:rPr>
                <w:rFonts w:hint="eastAsia" w:asciiTheme="minorEastAsia" w:hAnsiTheme="minorEastAsia" w:eastAsiaTheme="minorEastAsia" w:cstheme="minorEastAsia"/>
                <w:color w:val="000000" w:themeColor="text1"/>
              </w:rPr>
            </w:pPr>
          </w:p>
        </w:tc>
        <w:tc>
          <w:tcPr>
            <w:tcW w:w="839" w:type="dxa"/>
          </w:tcPr>
          <w:p w14:paraId="009FA01B">
            <w:pPr>
              <w:pStyle w:val="27"/>
              <w:rPr>
                <w:rFonts w:hint="eastAsia" w:asciiTheme="minorEastAsia" w:hAnsiTheme="minorEastAsia" w:eastAsiaTheme="minorEastAsia" w:cstheme="minorEastAsia"/>
                <w:color w:val="000000" w:themeColor="text1"/>
              </w:rPr>
            </w:pPr>
          </w:p>
        </w:tc>
        <w:tc>
          <w:tcPr>
            <w:tcW w:w="786" w:type="dxa"/>
            <w:vMerge w:val="continue"/>
          </w:tcPr>
          <w:p w14:paraId="4E7B4DFB">
            <w:pPr>
              <w:rPr>
                <w:rFonts w:hint="eastAsia" w:asciiTheme="minorEastAsia" w:hAnsiTheme="minorEastAsia" w:eastAsiaTheme="minorEastAsia" w:cstheme="minorEastAsia"/>
                <w:color w:val="000000" w:themeColor="text1"/>
              </w:rPr>
            </w:pPr>
          </w:p>
        </w:tc>
        <w:tc>
          <w:tcPr>
            <w:tcW w:w="2152" w:type="dxa"/>
            <w:vAlign w:val="center"/>
          </w:tcPr>
          <w:p w14:paraId="358F3684">
            <w:pPr>
              <w:pStyle w:val="27"/>
              <w:rPr>
                <w:rFonts w:hint="eastAsia" w:asciiTheme="minorEastAsia" w:hAnsiTheme="minorEastAsia" w:eastAsiaTheme="minorEastAsia" w:cstheme="minorEastAsia"/>
                <w:color w:val="000000" w:themeColor="text1"/>
              </w:rPr>
            </w:pPr>
          </w:p>
        </w:tc>
        <w:tc>
          <w:tcPr>
            <w:tcW w:w="840" w:type="dxa"/>
          </w:tcPr>
          <w:p w14:paraId="50A81217">
            <w:pPr>
              <w:rPr>
                <w:rFonts w:hint="eastAsia" w:asciiTheme="minorEastAsia" w:hAnsiTheme="minorEastAsia" w:eastAsiaTheme="minorEastAsia" w:cstheme="minorEastAsia"/>
                <w:color w:val="000000" w:themeColor="text1"/>
              </w:rPr>
            </w:pPr>
          </w:p>
        </w:tc>
        <w:tc>
          <w:tcPr>
            <w:tcW w:w="840" w:type="dxa"/>
          </w:tcPr>
          <w:p w14:paraId="36B5AC70">
            <w:pPr>
              <w:rPr>
                <w:rFonts w:hint="eastAsia" w:asciiTheme="minorEastAsia" w:hAnsiTheme="minorEastAsia" w:eastAsiaTheme="minorEastAsia" w:cstheme="minorEastAsia"/>
                <w:color w:val="000000" w:themeColor="text1"/>
              </w:rPr>
            </w:pPr>
          </w:p>
        </w:tc>
        <w:tc>
          <w:tcPr>
            <w:tcW w:w="787" w:type="dxa"/>
          </w:tcPr>
          <w:p w14:paraId="1FAA06DD">
            <w:pPr>
              <w:rPr>
                <w:rFonts w:hint="eastAsia" w:asciiTheme="minorEastAsia" w:hAnsiTheme="minorEastAsia" w:eastAsiaTheme="minorEastAsia" w:cstheme="minorEastAsia"/>
                <w:color w:val="000000" w:themeColor="text1"/>
              </w:rPr>
            </w:pPr>
          </w:p>
        </w:tc>
        <w:tc>
          <w:tcPr>
            <w:tcW w:w="840" w:type="dxa"/>
          </w:tcPr>
          <w:p w14:paraId="68B82E98">
            <w:pPr>
              <w:rPr>
                <w:rFonts w:hint="eastAsia" w:asciiTheme="minorEastAsia" w:hAnsiTheme="minorEastAsia" w:eastAsiaTheme="minorEastAsia" w:cstheme="minorEastAsia"/>
                <w:color w:val="000000" w:themeColor="text1"/>
              </w:rPr>
            </w:pPr>
          </w:p>
        </w:tc>
        <w:tc>
          <w:tcPr>
            <w:tcW w:w="787" w:type="dxa"/>
          </w:tcPr>
          <w:p w14:paraId="240349A1">
            <w:pPr>
              <w:rPr>
                <w:rFonts w:hint="eastAsia" w:asciiTheme="minorEastAsia" w:hAnsiTheme="minorEastAsia" w:eastAsiaTheme="minorEastAsia" w:cstheme="minorEastAsia"/>
                <w:color w:val="000000" w:themeColor="text1"/>
              </w:rPr>
            </w:pPr>
          </w:p>
        </w:tc>
      </w:tr>
    </w:tbl>
    <w:p w14:paraId="630C07EF">
      <w:pPr>
        <w:pStyle w:val="27"/>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※注意：</w:t>
      </w:r>
    </w:p>
    <w:p w14:paraId="1F494C29">
      <w:pPr>
        <w:pStyle w:val="27"/>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1.详细报价清单应另纸详列，且标明所报各种货物的数量、品牌和金额。 </w:t>
      </w:r>
    </w:p>
    <w:p w14:paraId="4B311EEF">
      <w:pPr>
        <w:pStyle w:val="27"/>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2.当一个合同包有多个品目号时，投标人应计算出该合同包的合计价。</w:t>
      </w:r>
    </w:p>
    <w:p w14:paraId="0C5ED189">
      <w:pPr>
        <w:pStyle w:val="27"/>
        <w:ind w:firstLine="480"/>
        <w:rPr>
          <w:rFonts w:hint="eastAsia" w:asciiTheme="minorEastAsia" w:hAnsiTheme="minorEastAsia" w:eastAsiaTheme="minorEastAsia" w:cstheme="minorEastAsia"/>
          <w:color w:val="000000" w:themeColor="text1"/>
        </w:rPr>
      </w:pPr>
    </w:p>
    <w:p w14:paraId="475AC3E3">
      <w:pPr>
        <w:pStyle w:val="27"/>
        <w:ind w:firstLine="480"/>
        <w:rPr>
          <w:rFonts w:hint="eastAsia" w:asciiTheme="minorEastAsia" w:hAnsiTheme="minorEastAsia" w:eastAsiaTheme="minorEastAsia" w:cstheme="minorEastAsia"/>
          <w:color w:val="000000" w:themeColor="text1"/>
        </w:rPr>
      </w:pPr>
    </w:p>
    <w:p w14:paraId="3867C29D">
      <w:pPr>
        <w:pStyle w:val="2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w:t>
      </w:r>
      <w:r>
        <w:rPr>
          <w:rFonts w:hint="eastAsia" w:asciiTheme="minorEastAsia" w:hAnsiTheme="minorEastAsia" w:eastAsiaTheme="minorEastAsia" w:cstheme="minorEastAsia"/>
          <w:color w:val="000000" w:themeColor="text1"/>
          <w:u w:val="single"/>
        </w:rPr>
        <w:t>（全称并加盖单位公章）</w:t>
      </w:r>
    </w:p>
    <w:p w14:paraId="59481E3F">
      <w:pPr>
        <w:spacing w:before="108" w:line="219" w:lineRule="auto"/>
        <w:rPr>
          <w:rFonts w:hint="eastAsia" w:asciiTheme="minorEastAsia" w:hAnsiTheme="minorEastAsia" w:eastAsiaTheme="minorEastAsia" w:cstheme="minorEastAsia"/>
          <w:color w:val="000000" w:themeColor="text1"/>
          <w:u w:val="single"/>
        </w:rPr>
        <w:sectPr>
          <w:footerReference r:id="rId35" w:type="default"/>
          <w:pgSz w:w="11906" w:h="16839"/>
          <w:pgMar w:top="1431" w:right="1785" w:bottom="400" w:left="1664" w:header="0" w:footer="0" w:gutter="0"/>
          <w:pgNumType w:fmt="decimal"/>
          <w:cols w:space="720" w:num="1"/>
        </w:sectPr>
      </w:pPr>
      <w:r>
        <w:rPr>
          <w:rFonts w:hint="eastAsia" w:asciiTheme="minorEastAsia" w:hAnsiTheme="minorEastAsia" w:eastAsiaTheme="minorEastAsia" w:cstheme="minorEastAsia"/>
          <w:color w:val="000000" w:themeColor="text1"/>
        </w:rPr>
        <w:t>日期：</w:t>
      </w:r>
      <w:r>
        <w:rPr>
          <w:rFonts w:hint="eastAsia" w:asciiTheme="minorEastAsia" w:hAnsiTheme="minorEastAsia" w:eastAsiaTheme="minorEastAsia" w:cstheme="minorEastAsia"/>
          <w:color w:val="000000" w:themeColor="text1"/>
          <w:u w:val="single"/>
        </w:rPr>
        <w:t>　　年　　月　　日</w:t>
      </w:r>
    </w:p>
    <w:p w14:paraId="1A1F419F">
      <w:pPr>
        <w:spacing w:before="108"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封面格式</w:t>
      </w:r>
    </w:p>
    <w:p w14:paraId="5082C677">
      <w:pPr>
        <w:pStyle w:val="8"/>
        <w:spacing w:line="287" w:lineRule="auto"/>
        <w:rPr>
          <w:rFonts w:hint="eastAsia" w:asciiTheme="minorEastAsia" w:hAnsiTheme="minorEastAsia" w:eastAsiaTheme="minorEastAsia" w:cstheme="minorEastAsia"/>
          <w:color w:val="000000" w:themeColor="text1"/>
          <w:lang w:eastAsia="zh-CN"/>
        </w:rPr>
      </w:pPr>
    </w:p>
    <w:p w14:paraId="30E76CD6">
      <w:pPr>
        <w:pStyle w:val="8"/>
        <w:spacing w:line="287" w:lineRule="auto"/>
        <w:rPr>
          <w:rFonts w:hint="eastAsia" w:asciiTheme="minorEastAsia" w:hAnsiTheme="minorEastAsia" w:eastAsiaTheme="minorEastAsia" w:cstheme="minorEastAsia"/>
          <w:color w:val="000000" w:themeColor="text1"/>
          <w:lang w:eastAsia="zh-CN"/>
        </w:rPr>
      </w:pPr>
    </w:p>
    <w:p w14:paraId="5C2B0C40">
      <w:pPr>
        <w:pStyle w:val="8"/>
        <w:spacing w:line="287" w:lineRule="auto"/>
        <w:rPr>
          <w:rFonts w:hint="eastAsia" w:asciiTheme="minorEastAsia" w:hAnsiTheme="minorEastAsia" w:eastAsiaTheme="minorEastAsia" w:cstheme="minorEastAsia"/>
          <w:color w:val="000000" w:themeColor="text1"/>
          <w:lang w:eastAsia="zh-CN"/>
        </w:rPr>
      </w:pPr>
    </w:p>
    <w:p w14:paraId="60EF084B">
      <w:pPr>
        <w:pStyle w:val="8"/>
        <w:spacing w:line="288" w:lineRule="auto"/>
        <w:rPr>
          <w:rFonts w:hint="eastAsia" w:asciiTheme="minorEastAsia" w:hAnsiTheme="minorEastAsia" w:eastAsiaTheme="minorEastAsia" w:cstheme="minorEastAsia"/>
          <w:color w:val="000000" w:themeColor="text1"/>
          <w:lang w:eastAsia="zh-CN"/>
        </w:rPr>
      </w:pPr>
    </w:p>
    <w:p w14:paraId="06412A8C">
      <w:pPr>
        <w:spacing w:before="78" w:line="219" w:lineRule="auto"/>
        <w:ind w:left="38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投标文件</w:t>
      </w:r>
    </w:p>
    <w:p w14:paraId="393329F3">
      <w:pPr>
        <w:spacing w:before="94" w:line="219" w:lineRule="auto"/>
        <w:ind w:left="334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（技术商务部分）</w:t>
      </w:r>
    </w:p>
    <w:p w14:paraId="11ADF30B">
      <w:pPr>
        <w:pStyle w:val="8"/>
        <w:spacing w:line="394" w:lineRule="auto"/>
        <w:rPr>
          <w:rFonts w:hint="eastAsia" w:asciiTheme="minorEastAsia" w:hAnsiTheme="minorEastAsia" w:eastAsiaTheme="minorEastAsia" w:cstheme="minorEastAsia"/>
          <w:color w:val="000000" w:themeColor="text1"/>
          <w:lang w:eastAsia="zh-CN"/>
        </w:rPr>
      </w:pPr>
    </w:p>
    <w:p w14:paraId="34DDEB51">
      <w:pPr>
        <w:tabs>
          <w:tab w:val="left" w:pos="3341"/>
        </w:tabs>
        <w:spacing w:before="78" w:line="219" w:lineRule="auto"/>
        <w:ind w:left="32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17"/>
          <w:sz w:val="24"/>
          <w:szCs w:val="24"/>
          <w:u w:val="single"/>
          <w:lang w:eastAsia="zh-CN"/>
        </w:rPr>
        <w:t>（填写正本或副本）</w:t>
      </w:r>
    </w:p>
    <w:p w14:paraId="7B73F2C7">
      <w:pPr>
        <w:pStyle w:val="8"/>
        <w:spacing w:line="396" w:lineRule="auto"/>
        <w:rPr>
          <w:rFonts w:hint="eastAsia" w:asciiTheme="minorEastAsia" w:hAnsiTheme="minorEastAsia" w:eastAsiaTheme="minorEastAsia" w:cstheme="minorEastAsia"/>
          <w:color w:val="000000" w:themeColor="text1"/>
          <w:lang w:eastAsia="zh-CN"/>
        </w:rPr>
      </w:pPr>
    </w:p>
    <w:p w14:paraId="4236A156">
      <w:pPr>
        <w:spacing w:before="78" w:line="220" w:lineRule="auto"/>
        <w:ind w:left="168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项目名称</w:t>
      </w:r>
      <w:r>
        <w:rPr>
          <w:rFonts w:hint="eastAsia" w:asciiTheme="minorEastAsia" w:hAnsiTheme="minorEastAsia" w:eastAsiaTheme="minorEastAsia" w:cstheme="minorEastAsia"/>
          <w:b/>
          <w:bCs/>
          <w:color w:val="000000" w:themeColor="text1"/>
          <w:spacing w:val="-18"/>
          <w:sz w:val="24"/>
          <w:szCs w:val="24"/>
          <w:lang w:eastAsia="zh-CN"/>
        </w:rPr>
        <w:t>：</w:t>
      </w:r>
      <w:r>
        <w:rPr>
          <w:rFonts w:hint="eastAsia" w:asciiTheme="minorEastAsia" w:hAnsiTheme="minorEastAsia" w:eastAsiaTheme="minorEastAsia" w:cstheme="minorEastAsia"/>
          <w:b/>
          <w:bCs/>
          <w:color w:val="000000" w:themeColor="text1"/>
          <w:spacing w:val="-18"/>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2B163CF0">
      <w:pPr>
        <w:spacing w:before="94" w:line="219" w:lineRule="auto"/>
        <w:ind w:left="168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招标编号</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65911963">
      <w:pPr>
        <w:spacing w:before="93" w:line="219" w:lineRule="auto"/>
        <w:ind w:left="16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所投合同包</w:t>
      </w:r>
      <w:r>
        <w:rPr>
          <w:rFonts w:hint="eastAsia" w:asciiTheme="minorEastAsia" w:hAnsiTheme="minorEastAsia" w:eastAsiaTheme="minorEastAsia" w:cstheme="minorEastAsia"/>
          <w:b/>
          <w:bCs/>
          <w:color w:val="000000" w:themeColor="text1"/>
          <w:spacing w:val="-16"/>
          <w:sz w:val="24"/>
          <w:szCs w:val="24"/>
          <w:lang w:eastAsia="zh-CN"/>
        </w:rPr>
        <w:t>：</w:t>
      </w:r>
      <w:r>
        <w:rPr>
          <w:rFonts w:hint="eastAsia" w:asciiTheme="minorEastAsia" w:hAnsiTheme="minorEastAsia" w:eastAsiaTheme="minorEastAsia" w:cstheme="minorEastAsia"/>
          <w:b/>
          <w:bCs/>
          <w:color w:val="000000" w:themeColor="text1"/>
          <w:spacing w:val="-16"/>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由投标人填写）</w:t>
      </w:r>
    </w:p>
    <w:p w14:paraId="32A01DA7">
      <w:pPr>
        <w:pStyle w:val="8"/>
        <w:spacing w:line="254" w:lineRule="auto"/>
        <w:rPr>
          <w:rFonts w:hint="eastAsia" w:asciiTheme="minorEastAsia" w:hAnsiTheme="minorEastAsia" w:eastAsiaTheme="minorEastAsia" w:cstheme="minorEastAsia"/>
          <w:color w:val="000000" w:themeColor="text1"/>
          <w:lang w:eastAsia="zh-CN"/>
        </w:rPr>
      </w:pPr>
    </w:p>
    <w:p w14:paraId="1EE22AD3">
      <w:pPr>
        <w:pStyle w:val="8"/>
        <w:spacing w:line="255" w:lineRule="auto"/>
        <w:rPr>
          <w:rFonts w:hint="eastAsia" w:asciiTheme="minorEastAsia" w:hAnsiTheme="minorEastAsia" w:eastAsiaTheme="minorEastAsia" w:cstheme="minorEastAsia"/>
          <w:color w:val="000000" w:themeColor="text1"/>
          <w:lang w:eastAsia="zh-CN"/>
        </w:rPr>
      </w:pPr>
    </w:p>
    <w:p w14:paraId="24C27B8F">
      <w:pPr>
        <w:pStyle w:val="8"/>
        <w:spacing w:line="255" w:lineRule="auto"/>
        <w:rPr>
          <w:rFonts w:hint="eastAsia" w:asciiTheme="minorEastAsia" w:hAnsiTheme="minorEastAsia" w:eastAsiaTheme="minorEastAsia" w:cstheme="minorEastAsia"/>
          <w:color w:val="000000" w:themeColor="text1"/>
          <w:lang w:eastAsia="zh-CN"/>
        </w:rPr>
      </w:pPr>
    </w:p>
    <w:p w14:paraId="76C187D5">
      <w:pPr>
        <w:pStyle w:val="8"/>
        <w:spacing w:line="255" w:lineRule="auto"/>
        <w:rPr>
          <w:rFonts w:hint="eastAsia" w:asciiTheme="minorEastAsia" w:hAnsiTheme="minorEastAsia" w:eastAsiaTheme="minorEastAsia" w:cstheme="minorEastAsia"/>
          <w:color w:val="000000" w:themeColor="text1"/>
          <w:lang w:eastAsia="zh-CN"/>
        </w:rPr>
      </w:pPr>
    </w:p>
    <w:p w14:paraId="196A97D6">
      <w:pPr>
        <w:pStyle w:val="8"/>
        <w:spacing w:line="255" w:lineRule="auto"/>
        <w:rPr>
          <w:rFonts w:hint="eastAsia" w:asciiTheme="minorEastAsia" w:hAnsiTheme="minorEastAsia" w:eastAsiaTheme="minorEastAsia" w:cstheme="minorEastAsia"/>
          <w:color w:val="000000" w:themeColor="text1"/>
          <w:lang w:eastAsia="zh-CN"/>
        </w:rPr>
      </w:pPr>
    </w:p>
    <w:p w14:paraId="671B470B">
      <w:pPr>
        <w:pStyle w:val="8"/>
        <w:spacing w:line="255" w:lineRule="auto"/>
        <w:rPr>
          <w:rFonts w:hint="eastAsia" w:asciiTheme="minorEastAsia" w:hAnsiTheme="minorEastAsia" w:eastAsiaTheme="minorEastAsia" w:cstheme="minorEastAsia"/>
          <w:color w:val="000000" w:themeColor="text1"/>
          <w:lang w:eastAsia="zh-CN"/>
        </w:rPr>
      </w:pPr>
    </w:p>
    <w:p w14:paraId="147A49D3">
      <w:pPr>
        <w:spacing w:before="79" w:line="220" w:lineRule="auto"/>
        <w:ind w:left="28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投标人</w:t>
      </w:r>
      <w:r>
        <w:rPr>
          <w:rFonts w:hint="eastAsia" w:asciiTheme="minorEastAsia" w:hAnsiTheme="minorEastAsia" w:eastAsiaTheme="minorEastAsia" w:cstheme="minorEastAsia"/>
          <w:b/>
          <w:bCs/>
          <w:color w:val="000000" w:themeColor="text1"/>
          <w:spacing w:val="-17"/>
          <w:sz w:val="24"/>
          <w:szCs w:val="24"/>
          <w:lang w:eastAsia="zh-CN"/>
        </w:rPr>
        <w:t>：</w:t>
      </w:r>
      <w:r>
        <w:rPr>
          <w:rFonts w:hint="eastAsia" w:asciiTheme="minorEastAsia" w:hAnsiTheme="minorEastAsia" w:eastAsiaTheme="minorEastAsia" w:cstheme="minorEastAsia"/>
          <w:b/>
          <w:bCs/>
          <w:color w:val="000000" w:themeColor="text1"/>
          <w:spacing w:val="-17"/>
          <w:sz w:val="24"/>
          <w:szCs w:val="24"/>
          <w:u w:val="single"/>
          <w:lang w:eastAsia="zh-CN"/>
        </w:rPr>
        <w:t>（</w:t>
      </w:r>
      <w:r>
        <w:rPr>
          <w:rFonts w:hint="eastAsia" w:asciiTheme="minorEastAsia" w:hAnsiTheme="minorEastAsia" w:eastAsiaTheme="minorEastAsia" w:cstheme="minorEastAsia"/>
          <w:b/>
          <w:bCs/>
          <w:color w:val="000000" w:themeColor="text1"/>
          <w:sz w:val="24"/>
          <w:szCs w:val="24"/>
          <w:u w:val="single"/>
          <w:lang w:eastAsia="zh-CN"/>
        </w:rPr>
        <w:t>填写“全称</w:t>
      </w:r>
      <w:r>
        <w:rPr>
          <w:rFonts w:hint="eastAsia" w:asciiTheme="minorEastAsia" w:hAnsiTheme="minorEastAsia" w:eastAsiaTheme="minorEastAsia" w:cstheme="minorEastAsia"/>
          <w:color w:val="000000" w:themeColor="text1"/>
          <w:spacing w:val="-86"/>
          <w:sz w:val="24"/>
          <w:szCs w:val="24"/>
          <w:u w:val="single"/>
          <w:lang w:eastAsia="zh-CN"/>
        </w:rPr>
        <w:t xml:space="preserve"> </w:t>
      </w:r>
      <w:r>
        <w:rPr>
          <w:rFonts w:hint="eastAsia" w:asciiTheme="minorEastAsia" w:hAnsiTheme="minorEastAsia" w:eastAsiaTheme="minorEastAsia" w:cstheme="minorEastAsia"/>
          <w:b/>
          <w:bCs/>
          <w:color w:val="000000" w:themeColor="text1"/>
          <w:sz w:val="24"/>
          <w:szCs w:val="24"/>
          <w:u w:val="single"/>
          <w:lang w:eastAsia="zh-CN"/>
        </w:rPr>
        <w:t>”）</w:t>
      </w:r>
    </w:p>
    <w:p w14:paraId="0182F3E5">
      <w:pPr>
        <w:tabs>
          <w:tab w:val="left" w:pos="2256"/>
        </w:tabs>
        <w:spacing w:before="93" w:line="219" w:lineRule="auto"/>
        <w:ind w:left="211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u w:val="single"/>
          <w:lang w:eastAsia="zh-CN"/>
        </w:rPr>
        <w:tab/>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年</w:t>
      </w:r>
      <w:r>
        <w:rPr>
          <w:rFonts w:hint="eastAsia" w:asciiTheme="minorEastAsia" w:hAnsiTheme="minorEastAsia" w:eastAsiaTheme="minorEastAsia" w:cstheme="minorEastAsia"/>
          <w:b/>
          <w:bCs/>
          <w:color w:val="000000" w:themeColor="text1"/>
          <w:spacing w:val="-9"/>
          <w:sz w:val="24"/>
          <w:szCs w:val="24"/>
          <w:u w:val="single"/>
          <w:lang w:eastAsia="zh-CN"/>
        </w:rPr>
        <w:t>（由投标人填写）</w:t>
      </w:r>
      <w:r>
        <w:rPr>
          <w:rFonts w:hint="eastAsia" w:asciiTheme="minorEastAsia" w:hAnsiTheme="minorEastAsia" w:eastAsiaTheme="minorEastAsia" w:cstheme="minorEastAsia"/>
          <w:b/>
          <w:bCs/>
          <w:color w:val="000000" w:themeColor="text1"/>
          <w:spacing w:val="-9"/>
          <w:sz w:val="24"/>
          <w:szCs w:val="24"/>
          <w:lang w:eastAsia="zh-CN"/>
        </w:rPr>
        <w:t>月</w:t>
      </w:r>
    </w:p>
    <w:p w14:paraId="71F53D3F">
      <w:pPr>
        <w:pStyle w:val="8"/>
        <w:spacing w:line="247" w:lineRule="auto"/>
        <w:rPr>
          <w:rFonts w:hint="eastAsia" w:asciiTheme="minorEastAsia" w:hAnsiTheme="minorEastAsia" w:eastAsiaTheme="minorEastAsia" w:cstheme="minorEastAsia"/>
          <w:color w:val="000000" w:themeColor="text1"/>
          <w:lang w:eastAsia="zh-CN"/>
        </w:rPr>
      </w:pPr>
    </w:p>
    <w:p w14:paraId="4EA434E8">
      <w:pPr>
        <w:pStyle w:val="8"/>
        <w:spacing w:line="247" w:lineRule="auto"/>
        <w:rPr>
          <w:rFonts w:hint="eastAsia" w:asciiTheme="minorEastAsia" w:hAnsiTheme="minorEastAsia" w:eastAsiaTheme="minorEastAsia" w:cstheme="minorEastAsia"/>
          <w:color w:val="000000" w:themeColor="text1"/>
          <w:lang w:eastAsia="zh-CN"/>
        </w:rPr>
      </w:pPr>
    </w:p>
    <w:p w14:paraId="3B7522D1">
      <w:pPr>
        <w:pStyle w:val="8"/>
        <w:spacing w:line="247" w:lineRule="auto"/>
        <w:rPr>
          <w:rFonts w:hint="eastAsia" w:asciiTheme="minorEastAsia" w:hAnsiTheme="minorEastAsia" w:eastAsiaTheme="minorEastAsia" w:cstheme="minorEastAsia"/>
          <w:color w:val="000000" w:themeColor="text1"/>
          <w:lang w:eastAsia="zh-CN"/>
        </w:rPr>
      </w:pPr>
    </w:p>
    <w:p w14:paraId="6339DDA8">
      <w:pPr>
        <w:pStyle w:val="8"/>
        <w:spacing w:line="247" w:lineRule="auto"/>
        <w:rPr>
          <w:rFonts w:hint="eastAsia" w:asciiTheme="minorEastAsia" w:hAnsiTheme="minorEastAsia" w:eastAsiaTheme="minorEastAsia" w:cstheme="minorEastAsia"/>
          <w:color w:val="000000" w:themeColor="text1"/>
          <w:lang w:eastAsia="zh-CN"/>
        </w:rPr>
      </w:pPr>
    </w:p>
    <w:p w14:paraId="50800875">
      <w:pPr>
        <w:pStyle w:val="8"/>
        <w:spacing w:line="247" w:lineRule="auto"/>
        <w:rPr>
          <w:rFonts w:hint="eastAsia" w:asciiTheme="minorEastAsia" w:hAnsiTheme="minorEastAsia" w:eastAsiaTheme="minorEastAsia" w:cstheme="minorEastAsia"/>
          <w:color w:val="000000" w:themeColor="text1"/>
          <w:lang w:eastAsia="zh-CN"/>
        </w:rPr>
      </w:pPr>
    </w:p>
    <w:p w14:paraId="032DDD5C">
      <w:pPr>
        <w:pStyle w:val="8"/>
        <w:spacing w:line="247" w:lineRule="auto"/>
        <w:rPr>
          <w:rFonts w:hint="eastAsia" w:asciiTheme="minorEastAsia" w:hAnsiTheme="minorEastAsia" w:eastAsiaTheme="minorEastAsia" w:cstheme="minorEastAsia"/>
          <w:color w:val="000000" w:themeColor="text1"/>
          <w:lang w:eastAsia="zh-CN"/>
        </w:rPr>
      </w:pPr>
    </w:p>
    <w:p w14:paraId="08460153">
      <w:pPr>
        <w:pStyle w:val="8"/>
        <w:spacing w:line="247" w:lineRule="auto"/>
        <w:rPr>
          <w:rFonts w:hint="eastAsia" w:asciiTheme="minorEastAsia" w:hAnsiTheme="minorEastAsia" w:eastAsiaTheme="minorEastAsia" w:cstheme="minorEastAsia"/>
          <w:color w:val="000000" w:themeColor="text1"/>
          <w:lang w:eastAsia="zh-CN"/>
        </w:rPr>
      </w:pPr>
    </w:p>
    <w:p w14:paraId="2DDE27A3">
      <w:pPr>
        <w:pStyle w:val="8"/>
        <w:spacing w:line="247" w:lineRule="auto"/>
        <w:rPr>
          <w:rFonts w:hint="eastAsia" w:asciiTheme="minorEastAsia" w:hAnsiTheme="minorEastAsia" w:eastAsiaTheme="minorEastAsia" w:cstheme="minorEastAsia"/>
          <w:color w:val="000000" w:themeColor="text1"/>
          <w:lang w:eastAsia="zh-CN"/>
        </w:rPr>
      </w:pPr>
    </w:p>
    <w:p w14:paraId="175CC978">
      <w:pPr>
        <w:pStyle w:val="8"/>
        <w:spacing w:line="248" w:lineRule="auto"/>
        <w:rPr>
          <w:rFonts w:hint="eastAsia" w:asciiTheme="minorEastAsia" w:hAnsiTheme="minorEastAsia" w:eastAsiaTheme="minorEastAsia" w:cstheme="minorEastAsia"/>
          <w:color w:val="000000" w:themeColor="text1"/>
          <w:lang w:eastAsia="zh-CN"/>
        </w:rPr>
      </w:pPr>
    </w:p>
    <w:p w14:paraId="3201C0C4">
      <w:pPr>
        <w:pStyle w:val="8"/>
        <w:spacing w:line="248" w:lineRule="auto"/>
        <w:rPr>
          <w:rFonts w:hint="eastAsia" w:asciiTheme="minorEastAsia" w:hAnsiTheme="minorEastAsia" w:eastAsiaTheme="minorEastAsia" w:cstheme="minorEastAsia"/>
          <w:color w:val="000000" w:themeColor="text1"/>
          <w:lang w:eastAsia="zh-CN"/>
        </w:rPr>
      </w:pPr>
    </w:p>
    <w:p w14:paraId="1639E734">
      <w:pPr>
        <w:pStyle w:val="8"/>
        <w:spacing w:line="248" w:lineRule="auto"/>
        <w:rPr>
          <w:rFonts w:hint="eastAsia" w:asciiTheme="minorEastAsia" w:hAnsiTheme="minorEastAsia" w:eastAsiaTheme="minorEastAsia" w:cstheme="minorEastAsia"/>
          <w:color w:val="000000" w:themeColor="text1"/>
          <w:lang w:eastAsia="zh-CN"/>
        </w:rPr>
      </w:pPr>
    </w:p>
    <w:p w14:paraId="78F4779E">
      <w:pPr>
        <w:pStyle w:val="8"/>
        <w:spacing w:line="248" w:lineRule="auto"/>
        <w:rPr>
          <w:rFonts w:hint="eastAsia" w:asciiTheme="minorEastAsia" w:hAnsiTheme="minorEastAsia" w:eastAsiaTheme="minorEastAsia" w:cstheme="minorEastAsia"/>
          <w:color w:val="000000" w:themeColor="text1"/>
          <w:lang w:eastAsia="zh-CN"/>
        </w:rPr>
      </w:pPr>
    </w:p>
    <w:p w14:paraId="06F27B6F">
      <w:pPr>
        <w:pStyle w:val="8"/>
        <w:spacing w:line="248" w:lineRule="auto"/>
        <w:rPr>
          <w:rFonts w:hint="eastAsia" w:asciiTheme="minorEastAsia" w:hAnsiTheme="minorEastAsia" w:eastAsiaTheme="minorEastAsia" w:cstheme="minorEastAsia"/>
          <w:color w:val="000000" w:themeColor="text1"/>
          <w:lang w:eastAsia="zh-CN"/>
        </w:rPr>
      </w:pPr>
    </w:p>
    <w:p w14:paraId="57D56F56">
      <w:pPr>
        <w:pStyle w:val="8"/>
        <w:spacing w:line="248" w:lineRule="auto"/>
        <w:rPr>
          <w:rFonts w:hint="eastAsia" w:asciiTheme="minorEastAsia" w:hAnsiTheme="minorEastAsia" w:eastAsiaTheme="minorEastAsia" w:cstheme="minorEastAsia"/>
          <w:color w:val="000000" w:themeColor="text1"/>
          <w:lang w:eastAsia="zh-CN"/>
        </w:rPr>
      </w:pPr>
    </w:p>
    <w:p w14:paraId="74C90B27">
      <w:pPr>
        <w:pStyle w:val="8"/>
        <w:spacing w:line="248" w:lineRule="auto"/>
        <w:rPr>
          <w:rFonts w:hint="eastAsia" w:asciiTheme="minorEastAsia" w:hAnsiTheme="minorEastAsia" w:eastAsiaTheme="minorEastAsia" w:cstheme="minorEastAsia"/>
          <w:color w:val="000000" w:themeColor="text1"/>
          <w:lang w:eastAsia="zh-CN"/>
        </w:rPr>
      </w:pPr>
    </w:p>
    <w:p w14:paraId="15C29789">
      <w:pPr>
        <w:pStyle w:val="8"/>
        <w:spacing w:line="248" w:lineRule="auto"/>
        <w:rPr>
          <w:rFonts w:hint="eastAsia" w:asciiTheme="minorEastAsia" w:hAnsiTheme="minorEastAsia" w:eastAsiaTheme="minorEastAsia" w:cstheme="minorEastAsia"/>
          <w:color w:val="000000" w:themeColor="text1"/>
          <w:lang w:eastAsia="zh-CN"/>
        </w:rPr>
      </w:pPr>
    </w:p>
    <w:p w14:paraId="10F8AFEB">
      <w:pPr>
        <w:pStyle w:val="8"/>
        <w:spacing w:line="248" w:lineRule="auto"/>
        <w:rPr>
          <w:rFonts w:hint="eastAsia" w:asciiTheme="minorEastAsia" w:hAnsiTheme="minorEastAsia" w:eastAsiaTheme="minorEastAsia" w:cstheme="minorEastAsia"/>
          <w:color w:val="000000" w:themeColor="text1"/>
          <w:lang w:eastAsia="zh-CN"/>
        </w:rPr>
      </w:pPr>
    </w:p>
    <w:p w14:paraId="0BBD9B87">
      <w:pPr>
        <w:pStyle w:val="8"/>
        <w:spacing w:line="248" w:lineRule="auto"/>
        <w:rPr>
          <w:rFonts w:hint="eastAsia" w:asciiTheme="minorEastAsia" w:hAnsiTheme="minorEastAsia" w:eastAsiaTheme="minorEastAsia" w:cstheme="minorEastAsia"/>
          <w:color w:val="000000" w:themeColor="text1"/>
          <w:lang w:eastAsia="zh-CN"/>
        </w:rPr>
      </w:pPr>
    </w:p>
    <w:p w14:paraId="16DDC2DE">
      <w:pPr>
        <w:pStyle w:val="8"/>
        <w:spacing w:line="248" w:lineRule="auto"/>
        <w:rPr>
          <w:rFonts w:hint="eastAsia" w:asciiTheme="minorEastAsia" w:hAnsiTheme="minorEastAsia" w:eastAsiaTheme="minorEastAsia" w:cstheme="minorEastAsia"/>
          <w:color w:val="000000" w:themeColor="text1"/>
          <w:lang w:eastAsia="zh-CN"/>
        </w:rPr>
      </w:pPr>
    </w:p>
    <w:p w14:paraId="30236867">
      <w:pPr>
        <w:pStyle w:val="8"/>
        <w:spacing w:line="248" w:lineRule="auto"/>
        <w:rPr>
          <w:rFonts w:hint="eastAsia" w:asciiTheme="minorEastAsia" w:hAnsiTheme="minorEastAsia" w:eastAsiaTheme="minorEastAsia" w:cstheme="minorEastAsia"/>
          <w:color w:val="000000" w:themeColor="text1"/>
          <w:lang w:eastAsia="zh-CN"/>
        </w:rPr>
      </w:pPr>
    </w:p>
    <w:p w14:paraId="6660DC12">
      <w:pPr>
        <w:pStyle w:val="8"/>
        <w:spacing w:line="248" w:lineRule="auto"/>
        <w:rPr>
          <w:rFonts w:hint="eastAsia" w:asciiTheme="minorEastAsia" w:hAnsiTheme="minorEastAsia" w:eastAsiaTheme="minorEastAsia" w:cstheme="minorEastAsia"/>
          <w:color w:val="000000" w:themeColor="text1"/>
          <w:lang w:eastAsia="zh-CN"/>
        </w:rPr>
      </w:pPr>
    </w:p>
    <w:p w14:paraId="10D78C12">
      <w:pPr>
        <w:pStyle w:val="8"/>
        <w:spacing w:line="248" w:lineRule="auto"/>
        <w:rPr>
          <w:rFonts w:hint="eastAsia" w:asciiTheme="minorEastAsia" w:hAnsiTheme="minorEastAsia" w:eastAsiaTheme="minorEastAsia" w:cstheme="minorEastAsia"/>
          <w:color w:val="000000" w:themeColor="text1"/>
          <w:lang w:eastAsia="zh-CN"/>
        </w:rPr>
      </w:pPr>
    </w:p>
    <w:p w14:paraId="711DB6FC">
      <w:pPr>
        <w:pStyle w:val="8"/>
        <w:spacing w:line="248" w:lineRule="auto"/>
        <w:rPr>
          <w:rFonts w:hint="eastAsia" w:asciiTheme="minorEastAsia" w:hAnsiTheme="minorEastAsia" w:eastAsiaTheme="minorEastAsia" w:cstheme="minorEastAsia"/>
          <w:color w:val="000000" w:themeColor="text1"/>
          <w:lang w:eastAsia="zh-CN"/>
        </w:rPr>
      </w:pPr>
    </w:p>
    <w:p w14:paraId="312F6B2D">
      <w:pPr>
        <w:pStyle w:val="8"/>
        <w:spacing w:line="248" w:lineRule="auto"/>
        <w:rPr>
          <w:rFonts w:hint="eastAsia" w:asciiTheme="minorEastAsia" w:hAnsiTheme="minorEastAsia" w:eastAsiaTheme="minorEastAsia" w:cstheme="minorEastAsia"/>
          <w:color w:val="000000" w:themeColor="text1"/>
          <w:lang w:eastAsia="zh-CN"/>
        </w:rPr>
      </w:pPr>
    </w:p>
    <w:p w14:paraId="5DF4FFCD">
      <w:pPr>
        <w:pStyle w:val="8"/>
        <w:spacing w:line="248" w:lineRule="auto"/>
        <w:rPr>
          <w:rFonts w:hint="eastAsia" w:asciiTheme="minorEastAsia" w:hAnsiTheme="minorEastAsia" w:eastAsiaTheme="minorEastAsia" w:cstheme="minorEastAsia"/>
          <w:color w:val="000000" w:themeColor="text1"/>
          <w:lang w:eastAsia="zh-CN"/>
        </w:rPr>
      </w:pPr>
    </w:p>
    <w:p w14:paraId="684480F1">
      <w:pPr>
        <w:pStyle w:val="8"/>
        <w:spacing w:line="248" w:lineRule="auto"/>
        <w:rPr>
          <w:rFonts w:hint="eastAsia" w:asciiTheme="minorEastAsia" w:hAnsiTheme="minorEastAsia" w:eastAsiaTheme="minorEastAsia" w:cstheme="minorEastAsia"/>
          <w:color w:val="000000" w:themeColor="text1"/>
          <w:lang w:eastAsia="zh-CN"/>
        </w:rPr>
      </w:pPr>
    </w:p>
    <w:p w14:paraId="4AA8B265">
      <w:pPr>
        <w:pStyle w:val="8"/>
        <w:spacing w:line="248" w:lineRule="auto"/>
        <w:rPr>
          <w:rFonts w:hint="eastAsia" w:asciiTheme="minorEastAsia" w:hAnsiTheme="minorEastAsia" w:eastAsiaTheme="minorEastAsia" w:cstheme="minorEastAsia"/>
          <w:color w:val="000000" w:themeColor="text1"/>
          <w:lang w:eastAsia="zh-CN"/>
        </w:rPr>
      </w:pPr>
    </w:p>
    <w:p w14:paraId="6BCD0A76">
      <w:pPr>
        <w:pStyle w:val="8"/>
        <w:spacing w:line="248" w:lineRule="auto"/>
        <w:rPr>
          <w:rFonts w:hint="eastAsia" w:asciiTheme="minorEastAsia" w:hAnsiTheme="minorEastAsia" w:eastAsiaTheme="minorEastAsia" w:cstheme="minorEastAsia"/>
          <w:color w:val="000000" w:themeColor="text1"/>
          <w:lang w:eastAsia="zh-CN"/>
        </w:rPr>
      </w:pPr>
    </w:p>
    <w:p w14:paraId="561CE329">
      <w:pPr>
        <w:spacing w:before="108" w:line="220" w:lineRule="auto"/>
        <w:ind w:left="430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10"/>
          <w:sz w:val="24"/>
          <w:szCs w:val="24"/>
          <w:lang w:eastAsia="zh-CN"/>
        </w:rPr>
        <w:t>索引</w:t>
      </w:r>
    </w:p>
    <w:p w14:paraId="24B101F3">
      <w:pPr>
        <w:spacing w:before="93" w:line="219" w:lineRule="auto"/>
        <w:ind w:left="18"/>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1、标的说明一览表</w:t>
      </w:r>
    </w:p>
    <w:p w14:paraId="77BE77FF">
      <w:pPr>
        <w:spacing w:before="94" w:line="381" w:lineRule="exact"/>
        <w:ind w:left="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position w:val="10"/>
          <w:sz w:val="24"/>
          <w:szCs w:val="24"/>
          <w:lang w:eastAsia="zh-CN"/>
        </w:rPr>
        <w:t>2、技术和服务要求响应表</w:t>
      </w:r>
    </w:p>
    <w:p w14:paraId="113E2FF7">
      <w:pPr>
        <w:spacing w:line="219" w:lineRule="auto"/>
        <w:ind w:left="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3、商务条件响应表</w:t>
      </w:r>
    </w:p>
    <w:p w14:paraId="05082EBA">
      <w:pPr>
        <w:spacing w:before="94" w:line="22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4、投标人提交的其他资料（若有）</w:t>
      </w:r>
    </w:p>
    <w:p w14:paraId="3A3A948C">
      <w:pPr>
        <w:pStyle w:val="8"/>
        <w:spacing w:line="256" w:lineRule="auto"/>
        <w:rPr>
          <w:rFonts w:hint="eastAsia" w:asciiTheme="minorEastAsia" w:hAnsiTheme="minorEastAsia" w:eastAsiaTheme="minorEastAsia" w:cstheme="minorEastAsia"/>
          <w:color w:val="000000" w:themeColor="text1"/>
          <w:lang w:eastAsia="zh-CN"/>
        </w:rPr>
      </w:pPr>
    </w:p>
    <w:p w14:paraId="3DA7E5FC">
      <w:pPr>
        <w:pStyle w:val="8"/>
        <w:spacing w:line="257" w:lineRule="auto"/>
        <w:rPr>
          <w:rFonts w:hint="eastAsia" w:asciiTheme="minorEastAsia" w:hAnsiTheme="minorEastAsia" w:eastAsiaTheme="minorEastAsia" w:cstheme="minorEastAsia"/>
          <w:color w:val="000000" w:themeColor="text1"/>
          <w:lang w:eastAsia="zh-CN"/>
        </w:rPr>
      </w:pPr>
    </w:p>
    <w:p w14:paraId="6B475559">
      <w:pPr>
        <w:pStyle w:val="8"/>
        <w:spacing w:line="257" w:lineRule="auto"/>
        <w:rPr>
          <w:rFonts w:hint="eastAsia" w:asciiTheme="minorEastAsia" w:hAnsiTheme="minorEastAsia" w:eastAsiaTheme="minorEastAsia" w:cstheme="minorEastAsia"/>
          <w:color w:val="000000" w:themeColor="text1"/>
          <w:lang w:eastAsia="zh-CN"/>
        </w:rPr>
      </w:pPr>
    </w:p>
    <w:p w14:paraId="356BF95E">
      <w:pPr>
        <w:spacing w:before="79" w:line="224" w:lineRule="auto"/>
        <w:ind w:left="418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★注意</w:t>
      </w:r>
    </w:p>
    <w:p w14:paraId="1FAF65F8">
      <w:pPr>
        <w:spacing w:before="89" w:line="256" w:lineRule="auto"/>
        <w:ind w:left="8" w:firstLine="413"/>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技术商务部分中不得出现报价部分的全部或部分的</w:t>
      </w:r>
      <w:r>
        <w:rPr>
          <w:rFonts w:hint="eastAsia" w:asciiTheme="minorEastAsia" w:hAnsiTheme="minorEastAsia" w:eastAsiaTheme="minorEastAsia" w:cstheme="minorEastAsia"/>
          <w:color w:val="000000" w:themeColor="text1"/>
          <w:spacing w:val="-1"/>
          <w:sz w:val="24"/>
          <w:szCs w:val="24"/>
          <w:lang w:eastAsia="zh-CN"/>
        </w:rPr>
        <w:t>投标报价信息（或组成资料</w:t>
      </w:r>
      <w:r>
        <w:rPr>
          <w:rFonts w:hint="eastAsia" w:asciiTheme="minorEastAsia" w:hAnsiTheme="minorEastAsia" w:eastAsiaTheme="minorEastAsia" w:cstheme="minorEastAsia"/>
          <w:color w:val="000000" w:themeColor="text1"/>
          <w:spacing w:val="-29"/>
          <w:sz w:val="24"/>
          <w:szCs w:val="24"/>
          <w:lang w:eastAsia="zh-CN"/>
        </w:rPr>
        <w:t>），</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否则</w:t>
      </w:r>
      <w:r>
        <w:rPr>
          <w:rFonts w:hint="eastAsia" w:asciiTheme="minorEastAsia" w:hAnsiTheme="minorEastAsia" w:eastAsiaTheme="minorEastAsia" w:cstheme="minorEastAsia"/>
          <w:b/>
          <w:bCs/>
          <w:color w:val="000000" w:themeColor="text1"/>
          <w:spacing w:val="-3"/>
          <w:sz w:val="24"/>
          <w:szCs w:val="24"/>
          <w:lang w:eastAsia="zh-CN"/>
        </w:rPr>
        <w:t>符合性审查不合格</w:t>
      </w:r>
      <w:r>
        <w:rPr>
          <w:rFonts w:hint="eastAsia" w:asciiTheme="minorEastAsia" w:hAnsiTheme="minorEastAsia" w:eastAsiaTheme="minorEastAsia" w:cstheme="minorEastAsia"/>
          <w:color w:val="000000" w:themeColor="text1"/>
          <w:spacing w:val="-3"/>
          <w:sz w:val="24"/>
          <w:szCs w:val="24"/>
          <w:lang w:eastAsia="zh-CN"/>
        </w:rPr>
        <w:t>。</w:t>
      </w:r>
    </w:p>
    <w:p w14:paraId="7396A006">
      <w:pPr>
        <w:pStyle w:val="8"/>
        <w:spacing w:line="242" w:lineRule="auto"/>
        <w:rPr>
          <w:rFonts w:hint="eastAsia" w:asciiTheme="minorEastAsia" w:hAnsiTheme="minorEastAsia" w:eastAsiaTheme="minorEastAsia" w:cstheme="minorEastAsia"/>
          <w:color w:val="000000" w:themeColor="text1"/>
          <w:lang w:eastAsia="zh-CN"/>
        </w:rPr>
      </w:pPr>
    </w:p>
    <w:p w14:paraId="1846AD65">
      <w:pPr>
        <w:pStyle w:val="8"/>
        <w:spacing w:line="242" w:lineRule="auto"/>
        <w:rPr>
          <w:rFonts w:hint="eastAsia" w:asciiTheme="minorEastAsia" w:hAnsiTheme="minorEastAsia" w:eastAsiaTheme="minorEastAsia" w:cstheme="minorEastAsia"/>
          <w:color w:val="000000" w:themeColor="text1"/>
          <w:lang w:eastAsia="zh-CN"/>
        </w:rPr>
      </w:pPr>
    </w:p>
    <w:p w14:paraId="32DF7680">
      <w:pPr>
        <w:pStyle w:val="8"/>
        <w:spacing w:line="243" w:lineRule="auto"/>
        <w:rPr>
          <w:rFonts w:hint="eastAsia" w:asciiTheme="minorEastAsia" w:hAnsiTheme="minorEastAsia" w:eastAsiaTheme="minorEastAsia" w:cstheme="minorEastAsia"/>
          <w:color w:val="000000" w:themeColor="text1"/>
          <w:lang w:eastAsia="zh-CN"/>
        </w:rPr>
      </w:pPr>
    </w:p>
    <w:p w14:paraId="67FB365D">
      <w:pPr>
        <w:pStyle w:val="8"/>
        <w:spacing w:line="243" w:lineRule="auto"/>
        <w:rPr>
          <w:rFonts w:hint="eastAsia" w:asciiTheme="minorEastAsia" w:hAnsiTheme="minorEastAsia" w:eastAsiaTheme="minorEastAsia" w:cstheme="minorEastAsia"/>
          <w:color w:val="000000" w:themeColor="text1"/>
          <w:lang w:eastAsia="zh-CN"/>
        </w:rPr>
      </w:pPr>
    </w:p>
    <w:p w14:paraId="5824F212">
      <w:pPr>
        <w:pStyle w:val="8"/>
        <w:spacing w:line="243" w:lineRule="auto"/>
        <w:rPr>
          <w:rFonts w:hint="eastAsia" w:asciiTheme="minorEastAsia" w:hAnsiTheme="minorEastAsia" w:eastAsiaTheme="minorEastAsia" w:cstheme="minorEastAsia"/>
          <w:color w:val="000000" w:themeColor="text1"/>
          <w:lang w:eastAsia="zh-CN"/>
        </w:rPr>
      </w:pPr>
    </w:p>
    <w:p w14:paraId="1C89FAFD">
      <w:pPr>
        <w:pStyle w:val="8"/>
        <w:spacing w:line="243" w:lineRule="auto"/>
        <w:rPr>
          <w:rFonts w:hint="eastAsia" w:asciiTheme="minorEastAsia" w:hAnsiTheme="minorEastAsia" w:eastAsiaTheme="minorEastAsia" w:cstheme="minorEastAsia"/>
          <w:color w:val="000000" w:themeColor="text1"/>
          <w:lang w:eastAsia="zh-CN"/>
        </w:rPr>
      </w:pPr>
    </w:p>
    <w:p w14:paraId="44CE4962">
      <w:pPr>
        <w:pStyle w:val="8"/>
        <w:spacing w:line="243" w:lineRule="auto"/>
        <w:rPr>
          <w:rFonts w:hint="eastAsia" w:asciiTheme="minorEastAsia" w:hAnsiTheme="minorEastAsia" w:eastAsiaTheme="minorEastAsia" w:cstheme="minorEastAsia"/>
          <w:color w:val="000000" w:themeColor="text1"/>
          <w:lang w:eastAsia="zh-CN"/>
        </w:rPr>
      </w:pPr>
    </w:p>
    <w:p w14:paraId="605688B3">
      <w:pPr>
        <w:pStyle w:val="8"/>
        <w:spacing w:line="243" w:lineRule="auto"/>
        <w:rPr>
          <w:rFonts w:hint="eastAsia" w:asciiTheme="minorEastAsia" w:hAnsiTheme="minorEastAsia" w:eastAsiaTheme="minorEastAsia" w:cstheme="minorEastAsia"/>
          <w:color w:val="000000" w:themeColor="text1"/>
          <w:lang w:eastAsia="zh-CN"/>
        </w:rPr>
      </w:pPr>
    </w:p>
    <w:p w14:paraId="62964CE1">
      <w:pPr>
        <w:pStyle w:val="8"/>
        <w:spacing w:line="243" w:lineRule="auto"/>
        <w:rPr>
          <w:rFonts w:hint="eastAsia" w:asciiTheme="minorEastAsia" w:hAnsiTheme="minorEastAsia" w:eastAsiaTheme="minorEastAsia" w:cstheme="minorEastAsia"/>
          <w:color w:val="000000" w:themeColor="text1"/>
          <w:lang w:eastAsia="zh-CN"/>
        </w:rPr>
      </w:pPr>
    </w:p>
    <w:p w14:paraId="4D7B11C6">
      <w:pPr>
        <w:pStyle w:val="8"/>
        <w:spacing w:line="243" w:lineRule="auto"/>
        <w:rPr>
          <w:rFonts w:hint="eastAsia" w:asciiTheme="minorEastAsia" w:hAnsiTheme="minorEastAsia" w:eastAsiaTheme="minorEastAsia" w:cstheme="minorEastAsia"/>
          <w:color w:val="000000" w:themeColor="text1"/>
          <w:lang w:eastAsia="zh-CN"/>
        </w:rPr>
      </w:pPr>
    </w:p>
    <w:p w14:paraId="486A94DF">
      <w:pPr>
        <w:pStyle w:val="8"/>
        <w:spacing w:line="243" w:lineRule="auto"/>
        <w:rPr>
          <w:rFonts w:hint="eastAsia" w:asciiTheme="minorEastAsia" w:hAnsiTheme="minorEastAsia" w:eastAsiaTheme="minorEastAsia" w:cstheme="minorEastAsia"/>
          <w:color w:val="000000" w:themeColor="text1"/>
          <w:lang w:eastAsia="zh-CN"/>
        </w:rPr>
      </w:pPr>
    </w:p>
    <w:p w14:paraId="4FE75C29">
      <w:pPr>
        <w:pStyle w:val="8"/>
        <w:spacing w:line="243" w:lineRule="auto"/>
        <w:rPr>
          <w:rFonts w:hint="eastAsia" w:asciiTheme="minorEastAsia" w:hAnsiTheme="minorEastAsia" w:eastAsiaTheme="minorEastAsia" w:cstheme="minorEastAsia"/>
          <w:color w:val="000000" w:themeColor="text1"/>
          <w:lang w:eastAsia="zh-CN"/>
        </w:rPr>
      </w:pPr>
    </w:p>
    <w:p w14:paraId="76DDD532">
      <w:pPr>
        <w:pStyle w:val="8"/>
        <w:spacing w:line="243" w:lineRule="auto"/>
        <w:rPr>
          <w:rFonts w:hint="eastAsia" w:asciiTheme="minorEastAsia" w:hAnsiTheme="minorEastAsia" w:eastAsiaTheme="minorEastAsia" w:cstheme="minorEastAsia"/>
          <w:color w:val="000000" w:themeColor="text1"/>
          <w:lang w:eastAsia="zh-CN"/>
        </w:rPr>
      </w:pPr>
    </w:p>
    <w:p w14:paraId="010D7083">
      <w:pPr>
        <w:pStyle w:val="8"/>
        <w:spacing w:line="243" w:lineRule="auto"/>
        <w:rPr>
          <w:rFonts w:hint="eastAsia" w:asciiTheme="minorEastAsia" w:hAnsiTheme="minorEastAsia" w:eastAsiaTheme="minorEastAsia" w:cstheme="minorEastAsia"/>
          <w:color w:val="000000" w:themeColor="text1"/>
          <w:lang w:eastAsia="zh-CN"/>
        </w:rPr>
      </w:pPr>
    </w:p>
    <w:p w14:paraId="31C5595F">
      <w:pPr>
        <w:pStyle w:val="8"/>
        <w:spacing w:line="243" w:lineRule="auto"/>
        <w:rPr>
          <w:rFonts w:hint="eastAsia" w:asciiTheme="minorEastAsia" w:hAnsiTheme="minorEastAsia" w:eastAsiaTheme="minorEastAsia" w:cstheme="minorEastAsia"/>
          <w:color w:val="000000" w:themeColor="text1"/>
          <w:lang w:eastAsia="zh-CN"/>
        </w:rPr>
      </w:pPr>
    </w:p>
    <w:p w14:paraId="15A34BF8">
      <w:pPr>
        <w:pStyle w:val="8"/>
        <w:spacing w:line="243" w:lineRule="auto"/>
        <w:rPr>
          <w:rFonts w:hint="eastAsia" w:asciiTheme="minorEastAsia" w:hAnsiTheme="minorEastAsia" w:eastAsiaTheme="minorEastAsia" w:cstheme="minorEastAsia"/>
          <w:color w:val="000000" w:themeColor="text1"/>
          <w:lang w:eastAsia="zh-CN"/>
        </w:rPr>
      </w:pPr>
    </w:p>
    <w:p w14:paraId="75F6B5E0">
      <w:pPr>
        <w:pStyle w:val="8"/>
        <w:spacing w:line="243" w:lineRule="auto"/>
        <w:rPr>
          <w:rFonts w:hint="eastAsia" w:asciiTheme="minorEastAsia" w:hAnsiTheme="minorEastAsia" w:eastAsiaTheme="minorEastAsia" w:cstheme="minorEastAsia"/>
          <w:color w:val="000000" w:themeColor="text1"/>
          <w:lang w:eastAsia="zh-CN"/>
        </w:rPr>
      </w:pPr>
    </w:p>
    <w:p w14:paraId="1AA199C2">
      <w:pPr>
        <w:pStyle w:val="8"/>
        <w:spacing w:line="243" w:lineRule="auto"/>
        <w:rPr>
          <w:rFonts w:hint="eastAsia" w:asciiTheme="minorEastAsia" w:hAnsiTheme="minorEastAsia" w:eastAsiaTheme="minorEastAsia" w:cstheme="minorEastAsia"/>
          <w:color w:val="000000" w:themeColor="text1"/>
          <w:lang w:eastAsia="zh-CN"/>
        </w:rPr>
      </w:pPr>
    </w:p>
    <w:p w14:paraId="053893CF">
      <w:pPr>
        <w:pStyle w:val="8"/>
        <w:spacing w:line="243" w:lineRule="auto"/>
        <w:rPr>
          <w:rFonts w:hint="eastAsia" w:asciiTheme="minorEastAsia" w:hAnsiTheme="minorEastAsia" w:eastAsiaTheme="minorEastAsia" w:cstheme="minorEastAsia"/>
          <w:color w:val="000000" w:themeColor="text1"/>
          <w:lang w:eastAsia="zh-CN"/>
        </w:rPr>
      </w:pPr>
    </w:p>
    <w:p w14:paraId="2D46BE45">
      <w:pPr>
        <w:pStyle w:val="8"/>
        <w:spacing w:line="243" w:lineRule="auto"/>
        <w:rPr>
          <w:rFonts w:hint="eastAsia" w:asciiTheme="minorEastAsia" w:hAnsiTheme="minorEastAsia" w:eastAsiaTheme="minorEastAsia" w:cstheme="minorEastAsia"/>
          <w:color w:val="000000" w:themeColor="text1"/>
          <w:lang w:eastAsia="zh-CN"/>
        </w:rPr>
      </w:pPr>
    </w:p>
    <w:p w14:paraId="32925179">
      <w:pPr>
        <w:pStyle w:val="8"/>
        <w:spacing w:line="243" w:lineRule="auto"/>
        <w:rPr>
          <w:rFonts w:hint="eastAsia" w:asciiTheme="minorEastAsia" w:hAnsiTheme="minorEastAsia" w:eastAsiaTheme="minorEastAsia" w:cstheme="minorEastAsia"/>
          <w:color w:val="000000" w:themeColor="text1"/>
          <w:lang w:eastAsia="zh-CN"/>
        </w:rPr>
      </w:pPr>
    </w:p>
    <w:p w14:paraId="5B4C6426">
      <w:pPr>
        <w:pStyle w:val="8"/>
        <w:spacing w:line="243" w:lineRule="auto"/>
        <w:rPr>
          <w:rFonts w:hint="eastAsia" w:asciiTheme="minorEastAsia" w:hAnsiTheme="minorEastAsia" w:eastAsiaTheme="minorEastAsia" w:cstheme="minorEastAsia"/>
          <w:color w:val="000000" w:themeColor="text1"/>
          <w:lang w:eastAsia="zh-CN"/>
        </w:rPr>
      </w:pPr>
    </w:p>
    <w:p w14:paraId="2D0B5F8E">
      <w:pPr>
        <w:pStyle w:val="8"/>
        <w:spacing w:line="243" w:lineRule="auto"/>
        <w:rPr>
          <w:rFonts w:hint="eastAsia" w:asciiTheme="minorEastAsia" w:hAnsiTheme="minorEastAsia" w:eastAsiaTheme="minorEastAsia" w:cstheme="minorEastAsia"/>
          <w:color w:val="000000" w:themeColor="text1"/>
          <w:lang w:eastAsia="zh-CN"/>
        </w:rPr>
      </w:pPr>
    </w:p>
    <w:p w14:paraId="0104C8D1">
      <w:pPr>
        <w:pStyle w:val="8"/>
        <w:spacing w:line="243" w:lineRule="auto"/>
        <w:rPr>
          <w:rFonts w:hint="eastAsia" w:asciiTheme="minorEastAsia" w:hAnsiTheme="minorEastAsia" w:eastAsiaTheme="minorEastAsia" w:cstheme="minorEastAsia"/>
          <w:color w:val="000000" w:themeColor="text1"/>
          <w:lang w:eastAsia="zh-CN"/>
        </w:rPr>
      </w:pPr>
    </w:p>
    <w:p w14:paraId="6B10F604">
      <w:pPr>
        <w:pStyle w:val="8"/>
        <w:spacing w:line="243" w:lineRule="auto"/>
        <w:rPr>
          <w:rFonts w:hint="eastAsia" w:asciiTheme="minorEastAsia" w:hAnsiTheme="minorEastAsia" w:eastAsiaTheme="minorEastAsia" w:cstheme="minorEastAsia"/>
          <w:color w:val="000000" w:themeColor="text1"/>
          <w:lang w:eastAsia="zh-CN"/>
        </w:rPr>
      </w:pPr>
    </w:p>
    <w:p w14:paraId="608F2647">
      <w:pPr>
        <w:pStyle w:val="8"/>
        <w:spacing w:line="243" w:lineRule="auto"/>
        <w:rPr>
          <w:rFonts w:hint="eastAsia" w:asciiTheme="minorEastAsia" w:hAnsiTheme="minorEastAsia" w:eastAsiaTheme="minorEastAsia" w:cstheme="minorEastAsia"/>
          <w:color w:val="000000" w:themeColor="text1"/>
          <w:lang w:eastAsia="zh-CN"/>
        </w:rPr>
      </w:pPr>
    </w:p>
    <w:p w14:paraId="6A5A8979">
      <w:pPr>
        <w:pStyle w:val="8"/>
        <w:spacing w:line="243" w:lineRule="auto"/>
        <w:rPr>
          <w:rFonts w:hint="eastAsia" w:asciiTheme="minorEastAsia" w:hAnsiTheme="minorEastAsia" w:eastAsiaTheme="minorEastAsia" w:cstheme="minorEastAsia"/>
          <w:color w:val="000000" w:themeColor="text1"/>
          <w:lang w:eastAsia="zh-CN"/>
        </w:rPr>
      </w:pPr>
    </w:p>
    <w:p w14:paraId="65F10E42">
      <w:pPr>
        <w:pStyle w:val="8"/>
        <w:spacing w:line="243" w:lineRule="auto"/>
        <w:rPr>
          <w:rFonts w:hint="eastAsia" w:asciiTheme="minorEastAsia" w:hAnsiTheme="minorEastAsia" w:eastAsiaTheme="minorEastAsia" w:cstheme="minorEastAsia"/>
          <w:color w:val="000000" w:themeColor="text1"/>
          <w:lang w:eastAsia="zh-CN"/>
        </w:rPr>
      </w:pPr>
    </w:p>
    <w:p w14:paraId="5A4B1D58">
      <w:pPr>
        <w:pStyle w:val="8"/>
        <w:spacing w:line="243" w:lineRule="auto"/>
        <w:rPr>
          <w:rFonts w:hint="eastAsia" w:asciiTheme="minorEastAsia" w:hAnsiTheme="minorEastAsia" w:eastAsiaTheme="minorEastAsia" w:cstheme="minorEastAsia"/>
          <w:color w:val="000000" w:themeColor="text1"/>
          <w:lang w:eastAsia="zh-CN"/>
        </w:rPr>
      </w:pPr>
    </w:p>
    <w:p w14:paraId="264F4B91">
      <w:pPr>
        <w:pStyle w:val="8"/>
        <w:spacing w:line="243" w:lineRule="auto"/>
        <w:rPr>
          <w:rFonts w:hint="eastAsia" w:asciiTheme="minorEastAsia" w:hAnsiTheme="minorEastAsia" w:eastAsiaTheme="minorEastAsia" w:cstheme="minorEastAsia"/>
          <w:color w:val="000000" w:themeColor="text1"/>
          <w:lang w:eastAsia="zh-CN"/>
        </w:rPr>
      </w:pPr>
    </w:p>
    <w:p w14:paraId="245374AB">
      <w:pPr>
        <w:pStyle w:val="8"/>
        <w:spacing w:line="243" w:lineRule="auto"/>
        <w:rPr>
          <w:rFonts w:hint="eastAsia" w:asciiTheme="minorEastAsia" w:hAnsiTheme="minorEastAsia" w:eastAsiaTheme="minorEastAsia" w:cstheme="minorEastAsia"/>
          <w:color w:val="000000" w:themeColor="text1"/>
          <w:lang w:eastAsia="zh-CN"/>
        </w:rPr>
      </w:pPr>
    </w:p>
    <w:p w14:paraId="34B6F30C">
      <w:pPr>
        <w:pStyle w:val="8"/>
        <w:spacing w:line="243" w:lineRule="auto"/>
        <w:rPr>
          <w:rFonts w:hint="eastAsia" w:asciiTheme="minorEastAsia" w:hAnsiTheme="minorEastAsia" w:eastAsiaTheme="minorEastAsia" w:cstheme="minorEastAsia"/>
          <w:color w:val="000000" w:themeColor="text1"/>
          <w:lang w:eastAsia="zh-CN"/>
        </w:rPr>
      </w:pPr>
    </w:p>
    <w:p w14:paraId="7493213B">
      <w:pPr>
        <w:pStyle w:val="8"/>
        <w:spacing w:line="243" w:lineRule="auto"/>
        <w:rPr>
          <w:rFonts w:hint="eastAsia" w:asciiTheme="minorEastAsia" w:hAnsiTheme="minorEastAsia" w:eastAsiaTheme="minorEastAsia" w:cstheme="minorEastAsia"/>
          <w:color w:val="000000" w:themeColor="text1"/>
          <w:lang w:eastAsia="zh-CN"/>
        </w:rPr>
      </w:pPr>
    </w:p>
    <w:p w14:paraId="174444ED">
      <w:pPr>
        <w:pStyle w:val="8"/>
        <w:spacing w:line="243" w:lineRule="auto"/>
        <w:rPr>
          <w:rFonts w:hint="eastAsia" w:asciiTheme="minorEastAsia" w:hAnsiTheme="minorEastAsia" w:eastAsiaTheme="minorEastAsia" w:cstheme="minorEastAsia"/>
          <w:color w:val="000000" w:themeColor="text1"/>
          <w:lang w:eastAsia="zh-CN"/>
        </w:rPr>
      </w:pPr>
    </w:p>
    <w:p w14:paraId="7A9C5061">
      <w:pPr>
        <w:pStyle w:val="8"/>
        <w:spacing w:line="243" w:lineRule="auto"/>
        <w:rPr>
          <w:rFonts w:hint="eastAsia" w:asciiTheme="minorEastAsia" w:hAnsiTheme="minorEastAsia" w:eastAsiaTheme="minorEastAsia" w:cstheme="minorEastAsia"/>
          <w:color w:val="000000" w:themeColor="text1"/>
          <w:lang w:eastAsia="zh-CN"/>
        </w:rPr>
      </w:pPr>
    </w:p>
    <w:p w14:paraId="4623F458">
      <w:pPr>
        <w:pStyle w:val="8"/>
        <w:spacing w:line="243" w:lineRule="auto"/>
        <w:rPr>
          <w:rFonts w:hint="eastAsia" w:asciiTheme="minorEastAsia" w:hAnsiTheme="minorEastAsia" w:eastAsiaTheme="minorEastAsia" w:cstheme="minorEastAsia"/>
          <w:color w:val="000000" w:themeColor="text1"/>
          <w:lang w:eastAsia="zh-CN"/>
        </w:rPr>
      </w:pPr>
    </w:p>
    <w:p w14:paraId="665B6C31">
      <w:pPr>
        <w:spacing w:before="108" w:line="219" w:lineRule="auto"/>
        <w:ind w:left="370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5"/>
          <w:sz w:val="24"/>
          <w:szCs w:val="24"/>
          <w:lang w:eastAsia="zh-CN"/>
        </w:rPr>
        <w:t>1、标的说明一览表</w:t>
      </w:r>
    </w:p>
    <w:p w14:paraId="069BC374">
      <w:pPr>
        <w:pStyle w:val="8"/>
        <w:spacing w:line="392" w:lineRule="auto"/>
        <w:rPr>
          <w:rFonts w:hint="eastAsia" w:asciiTheme="minorEastAsia" w:hAnsiTheme="minorEastAsia" w:eastAsiaTheme="minorEastAsia" w:cstheme="minorEastAsia"/>
          <w:color w:val="000000" w:themeColor="text1"/>
          <w:lang w:eastAsia="zh-CN"/>
        </w:rPr>
      </w:pPr>
    </w:p>
    <w:p w14:paraId="3724ED8B">
      <w:pPr>
        <w:spacing w:before="78" w:line="217" w:lineRule="auto"/>
        <w:ind w:left="17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招标编号：</w:t>
      </w:r>
      <w:r>
        <w:rPr>
          <w:rFonts w:hint="eastAsia" w:asciiTheme="minorEastAsia" w:hAnsiTheme="minorEastAsia" w:eastAsiaTheme="minorEastAsia" w:cstheme="minorEastAsia"/>
          <w:color w:val="000000" w:themeColor="text1"/>
          <w:sz w:val="24"/>
          <w:szCs w:val="24"/>
          <w:u w:val="single"/>
          <w:lang w:eastAsia="zh-CN"/>
        </w:rPr>
        <w:t xml:space="preserve">                                      </w:t>
      </w:r>
    </w:p>
    <w:tbl>
      <w:tblPr>
        <w:tblStyle w:val="24"/>
        <w:tblW w:w="934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079"/>
        <w:gridCol w:w="971"/>
        <w:gridCol w:w="1857"/>
        <w:gridCol w:w="923"/>
        <w:gridCol w:w="1227"/>
        <w:gridCol w:w="1227"/>
        <w:gridCol w:w="1268"/>
        <w:gridCol w:w="796"/>
      </w:tblGrid>
      <w:tr w14:paraId="2160B22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4" w:hRule="atLeast"/>
        </w:trPr>
        <w:tc>
          <w:tcPr>
            <w:tcW w:w="1079" w:type="dxa"/>
          </w:tcPr>
          <w:p w14:paraId="2DDC35E4">
            <w:pPr>
              <w:spacing w:line="244" w:lineRule="auto"/>
              <w:rPr>
                <w:rFonts w:hint="eastAsia" w:asciiTheme="minorEastAsia" w:hAnsiTheme="minorEastAsia" w:eastAsiaTheme="minorEastAsia" w:cstheme="minorEastAsia"/>
                <w:color w:val="000000" w:themeColor="text1"/>
                <w:lang w:eastAsia="zh-CN"/>
              </w:rPr>
            </w:pPr>
          </w:p>
          <w:p w14:paraId="39F4223E">
            <w:pPr>
              <w:pStyle w:val="25"/>
              <w:spacing w:before="78" w:line="219" w:lineRule="auto"/>
              <w:ind w:left="183"/>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合同包</w:t>
            </w:r>
          </w:p>
        </w:tc>
        <w:tc>
          <w:tcPr>
            <w:tcW w:w="971" w:type="dxa"/>
          </w:tcPr>
          <w:p w14:paraId="3C19EEA0">
            <w:pPr>
              <w:pStyle w:val="25"/>
              <w:spacing w:before="132" w:line="382" w:lineRule="exact"/>
              <w:ind w:left="255"/>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15"/>
                <w:position w:val="10"/>
              </w:rPr>
              <w:t>品目</w:t>
            </w:r>
          </w:p>
          <w:p w14:paraId="5CDA09B9">
            <w:pPr>
              <w:pStyle w:val="25"/>
              <w:spacing w:line="207" w:lineRule="auto"/>
              <w:ind w:left="36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号</w:t>
            </w:r>
          </w:p>
        </w:tc>
        <w:tc>
          <w:tcPr>
            <w:tcW w:w="1857" w:type="dxa"/>
          </w:tcPr>
          <w:p w14:paraId="0D94E866">
            <w:pPr>
              <w:spacing w:line="244" w:lineRule="auto"/>
              <w:rPr>
                <w:rFonts w:hint="eastAsia" w:asciiTheme="minorEastAsia" w:hAnsiTheme="minorEastAsia" w:eastAsiaTheme="minorEastAsia" w:cstheme="minorEastAsia"/>
                <w:color w:val="000000" w:themeColor="text1"/>
              </w:rPr>
            </w:pPr>
          </w:p>
          <w:p w14:paraId="15476FF6">
            <w:pPr>
              <w:pStyle w:val="25"/>
              <w:spacing w:before="78" w:line="219" w:lineRule="auto"/>
              <w:ind w:left="422"/>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货物名称</w:t>
            </w:r>
          </w:p>
        </w:tc>
        <w:tc>
          <w:tcPr>
            <w:tcW w:w="923" w:type="dxa"/>
          </w:tcPr>
          <w:p w14:paraId="14BD1AEF">
            <w:pPr>
              <w:spacing w:line="245" w:lineRule="auto"/>
              <w:rPr>
                <w:rFonts w:hint="eastAsia" w:asciiTheme="minorEastAsia" w:hAnsiTheme="minorEastAsia" w:eastAsiaTheme="minorEastAsia" w:cstheme="minorEastAsia"/>
                <w:color w:val="000000" w:themeColor="text1"/>
              </w:rPr>
            </w:pPr>
          </w:p>
          <w:p w14:paraId="6A4E4DEA">
            <w:pPr>
              <w:pStyle w:val="25"/>
              <w:spacing w:before="78" w:line="219" w:lineRule="auto"/>
              <w:ind w:left="18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6"/>
              </w:rPr>
              <w:t>数量</w:t>
            </w:r>
          </w:p>
        </w:tc>
        <w:tc>
          <w:tcPr>
            <w:tcW w:w="1227" w:type="dxa"/>
          </w:tcPr>
          <w:p w14:paraId="789DF3D1">
            <w:pPr>
              <w:spacing w:line="245" w:lineRule="auto"/>
              <w:rPr>
                <w:rFonts w:hint="eastAsia" w:asciiTheme="minorEastAsia" w:hAnsiTheme="minorEastAsia" w:eastAsiaTheme="minorEastAsia" w:cstheme="minorEastAsia"/>
                <w:color w:val="000000" w:themeColor="text1"/>
              </w:rPr>
            </w:pPr>
          </w:p>
          <w:p w14:paraId="10C187CD">
            <w:pPr>
              <w:pStyle w:val="25"/>
              <w:spacing w:before="78" w:line="219" w:lineRule="auto"/>
              <w:ind w:left="383"/>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15"/>
              </w:rPr>
              <w:t>品牌</w:t>
            </w:r>
          </w:p>
        </w:tc>
        <w:tc>
          <w:tcPr>
            <w:tcW w:w="1227" w:type="dxa"/>
          </w:tcPr>
          <w:p w14:paraId="20E9EB04">
            <w:pPr>
              <w:spacing w:line="245" w:lineRule="auto"/>
              <w:rPr>
                <w:rFonts w:hint="eastAsia" w:asciiTheme="minorEastAsia" w:hAnsiTheme="minorEastAsia" w:eastAsiaTheme="minorEastAsia" w:cstheme="minorEastAsia"/>
                <w:color w:val="000000" w:themeColor="text1"/>
              </w:rPr>
            </w:pPr>
          </w:p>
          <w:p w14:paraId="1E921A12">
            <w:pPr>
              <w:pStyle w:val="25"/>
              <w:spacing w:before="78" w:line="219" w:lineRule="auto"/>
              <w:ind w:left="15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5"/>
              </w:rPr>
              <w:t>型号规格</w:t>
            </w:r>
          </w:p>
        </w:tc>
        <w:tc>
          <w:tcPr>
            <w:tcW w:w="1268" w:type="dxa"/>
          </w:tcPr>
          <w:p w14:paraId="62C969B0">
            <w:pPr>
              <w:spacing w:line="245" w:lineRule="auto"/>
              <w:rPr>
                <w:rFonts w:hint="eastAsia" w:asciiTheme="minorEastAsia" w:hAnsiTheme="minorEastAsia" w:eastAsiaTheme="minorEastAsia" w:cstheme="minorEastAsia"/>
                <w:color w:val="000000" w:themeColor="text1"/>
              </w:rPr>
            </w:pPr>
          </w:p>
          <w:p w14:paraId="2090D8CA">
            <w:pPr>
              <w:pStyle w:val="25"/>
              <w:spacing w:before="78" w:line="219" w:lineRule="auto"/>
              <w:ind w:left="286"/>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来源地</w:t>
            </w:r>
          </w:p>
        </w:tc>
        <w:tc>
          <w:tcPr>
            <w:tcW w:w="796" w:type="dxa"/>
          </w:tcPr>
          <w:p w14:paraId="58B18005">
            <w:pPr>
              <w:spacing w:line="244" w:lineRule="auto"/>
              <w:rPr>
                <w:rFonts w:hint="eastAsia" w:asciiTheme="minorEastAsia" w:hAnsiTheme="minorEastAsia" w:eastAsiaTheme="minorEastAsia" w:cstheme="minorEastAsia"/>
                <w:color w:val="000000" w:themeColor="text1"/>
              </w:rPr>
            </w:pPr>
          </w:p>
          <w:p w14:paraId="7A98525E">
            <w:pPr>
              <w:pStyle w:val="25"/>
              <w:spacing w:before="78" w:line="221" w:lineRule="auto"/>
              <w:ind w:left="157"/>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7"/>
              </w:rPr>
              <w:t>备注</w:t>
            </w:r>
          </w:p>
        </w:tc>
      </w:tr>
      <w:tr w14:paraId="106CEED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restart"/>
            <w:tcBorders>
              <w:bottom w:val="nil"/>
            </w:tcBorders>
          </w:tcPr>
          <w:p w14:paraId="13C847D2">
            <w:pPr>
              <w:spacing w:line="271" w:lineRule="auto"/>
              <w:rPr>
                <w:rFonts w:hint="eastAsia" w:asciiTheme="minorEastAsia" w:hAnsiTheme="minorEastAsia" w:eastAsiaTheme="minorEastAsia" w:cstheme="minorEastAsia"/>
                <w:color w:val="000000" w:themeColor="text1"/>
              </w:rPr>
            </w:pPr>
          </w:p>
          <w:p w14:paraId="3C047331">
            <w:pPr>
              <w:pStyle w:val="25"/>
              <w:spacing w:before="78" w:line="334" w:lineRule="exact"/>
              <w:ind w:left="483"/>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position w:val="1"/>
              </w:rPr>
              <w:t>*</w:t>
            </w:r>
          </w:p>
        </w:tc>
        <w:tc>
          <w:tcPr>
            <w:tcW w:w="971" w:type="dxa"/>
          </w:tcPr>
          <w:p w14:paraId="4D256A31">
            <w:pPr>
              <w:pStyle w:val="25"/>
              <w:spacing w:before="134" w:line="206" w:lineRule="auto"/>
              <w:ind w:left="295"/>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6"/>
              </w:rPr>
              <w:t>*-1</w:t>
            </w:r>
          </w:p>
        </w:tc>
        <w:tc>
          <w:tcPr>
            <w:tcW w:w="1857" w:type="dxa"/>
          </w:tcPr>
          <w:p w14:paraId="01FA614C">
            <w:pPr>
              <w:rPr>
                <w:rFonts w:hint="eastAsia" w:asciiTheme="minorEastAsia" w:hAnsiTheme="minorEastAsia" w:eastAsiaTheme="minorEastAsia" w:cstheme="minorEastAsia"/>
                <w:color w:val="000000" w:themeColor="text1"/>
              </w:rPr>
            </w:pPr>
          </w:p>
        </w:tc>
        <w:tc>
          <w:tcPr>
            <w:tcW w:w="923" w:type="dxa"/>
          </w:tcPr>
          <w:p w14:paraId="6509A780">
            <w:pPr>
              <w:rPr>
                <w:rFonts w:hint="eastAsia" w:asciiTheme="minorEastAsia" w:hAnsiTheme="minorEastAsia" w:eastAsiaTheme="minorEastAsia" w:cstheme="minorEastAsia"/>
                <w:color w:val="000000" w:themeColor="text1"/>
              </w:rPr>
            </w:pPr>
          </w:p>
        </w:tc>
        <w:tc>
          <w:tcPr>
            <w:tcW w:w="1227" w:type="dxa"/>
          </w:tcPr>
          <w:p w14:paraId="1CE35F8F">
            <w:pPr>
              <w:rPr>
                <w:rFonts w:hint="eastAsia" w:asciiTheme="minorEastAsia" w:hAnsiTheme="minorEastAsia" w:eastAsiaTheme="minorEastAsia" w:cstheme="minorEastAsia"/>
                <w:color w:val="000000" w:themeColor="text1"/>
              </w:rPr>
            </w:pPr>
          </w:p>
        </w:tc>
        <w:tc>
          <w:tcPr>
            <w:tcW w:w="1227" w:type="dxa"/>
          </w:tcPr>
          <w:p w14:paraId="33FCF20B">
            <w:pPr>
              <w:rPr>
                <w:rFonts w:hint="eastAsia" w:asciiTheme="minorEastAsia" w:hAnsiTheme="minorEastAsia" w:eastAsiaTheme="minorEastAsia" w:cstheme="minorEastAsia"/>
                <w:color w:val="000000" w:themeColor="text1"/>
              </w:rPr>
            </w:pPr>
          </w:p>
        </w:tc>
        <w:tc>
          <w:tcPr>
            <w:tcW w:w="1268" w:type="dxa"/>
          </w:tcPr>
          <w:p w14:paraId="4B0994D5">
            <w:pPr>
              <w:rPr>
                <w:rFonts w:hint="eastAsia" w:asciiTheme="minorEastAsia" w:hAnsiTheme="minorEastAsia" w:eastAsiaTheme="minorEastAsia" w:cstheme="minorEastAsia"/>
                <w:color w:val="000000" w:themeColor="text1"/>
              </w:rPr>
            </w:pPr>
          </w:p>
        </w:tc>
        <w:tc>
          <w:tcPr>
            <w:tcW w:w="796" w:type="dxa"/>
          </w:tcPr>
          <w:p w14:paraId="25317809">
            <w:pPr>
              <w:rPr>
                <w:rFonts w:hint="eastAsia" w:asciiTheme="minorEastAsia" w:hAnsiTheme="minorEastAsia" w:eastAsiaTheme="minorEastAsia" w:cstheme="minorEastAsia"/>
                <w:color w:val="000000" w:themeColor="text1"/>
              </w:rPr>
            </w:pPr>
          </w:p>
        </w:tc>
      </w:tr>
      <w:tr w14:paraId="59C8299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continue"/>
            <w:tcBorders>
              <w:top w:val="nil"/>
            </w:tcBorders>
          </w:tcPr>
          <w:p w14:paraId="023B0969">
            <w:pPr>
              <w:rPr>
                <w:rFonts w:hint="eastAsia" w:asciiTheme="minorEastAsia" w:hAnsiTheme="minorEastAsia" w:eastAsiaTheme="minorEastAsia" w:cstheme="minorEastAsia"/>
                <w:color w:val="000000" w:themeColor="text1"/>
              </w:rPr>
            </w:pPr>
          </w:p>
        </w:tc>
        <w:tc>
          <w:tcPr>
            <w:tcW w:w="971" w:type="dxa"/>
          </w:tcPr>
          <w:p w14:paraId="6AC750DA">
            <w:pPr>
              <w:pStyle w:val="25"/>
              <w:spacing w:before="136" w:line="204" w:lineRule="auto"/>
              <w:ind w:left="37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w:t>
            </w:r>
          </w:p>
        </w:tc>
        <w:tc>
          <w:tcPr>
            <w:tcW w:w="1857" w:type="dxa"/>
          </w:tcPr>
          <w:p w14:paraId="346ADC37">
            <w:pPr>
              <w:rPr>
                <w:rFonts w:hint="eastAsia" w:asciiTheme="minorEastAsia" w:hAnsiTheme="minorEastAsia" w:eastAsiaTheme="minorEastAsia" w:cstheme="minorEastAsia"/>
                <w:color w:val="000000" w:themeColor="text1"/>
              </w:rPr>
            </w:pPr>
          </w:p>
        </w:tc>
        <w:tc>
          <w:tcPr>
            <w:tcW w:w="923" w:type="dxa"/>
          </w:tcPr>
          <w:p w14:paraId="53C293D0">
            <w:pPr>
              <w:rPr>
                <w:rFonts w:hint="eastAsia" w:asciiTheme="minorEastAsia" w:hAnsiTheme="minorEastAsia" w:eastAsiaTheme="minorEastAsia" w:cstheme="minorEastAsia"/>
                <w:color w:val="000000" w:themeColor="text1"/>
              </w:rPr>
            </w:pPr>
          </w:p>
        </w:tc>
        <w:tc>
          <w:tcPr>
            <w:tcW w:w="1227" w:type="dxa"/>
          </w:tcPr>
          <w:p w14:paraId="3CBB7C49">
            <w:pPr>
              <w:rPr>
                <w:rFonts w:hint="eastAsia" w:asciiTheme="minorEastAsia" w:hAnsiTheme="minorEastAsia" w:eastAsiaTheme="minorEastAsia" w:cstheme="minorEastAsia"/>
                <w:color w:val="000000" w:themeColor="text1"/>
              </w:rPr>
            </w:pPr>
          </w:p>
        </w:tc>
        <w:tc>
          <w:tcPr>
            <w:tcW w:w="1227" w:type="dxa"/>
          </w:tcPr>
          <w:p w14:paraId="5A187278">
            <w:pPr>
              <w:rPr>
                <w:rFonts w:hint="eastAsia" w:asciiTheme="minorEastAsia" w:hAnsiTheme="minorEastAsia" w:eastAsiaTheme="minorEastAsia" w:cstheme="minorEastAsia"/>
                <w:color w:val="000000" w:themeColor="text1"/>
              </w:rPr>
            </w:pPr>
          </w:p>
        </w:tc>
        <w:tc>
          <w:tcPr>
            <w:tcW w:w="1268" w:type="dxa"/>
          </w:tcPr>
          <w:p w14:paraId="43DF54CE">
            <w:pPr>
              <w:rPr>
                <w:rFonts w:hint="eastAsia" w:asciiTheme="minorEastAsia" w:hAnsiTheme="minorEastAsia" w:eastAsiaTheme="minorEastAsia" w:cstheme="minorEastAsia"/>
                <w:color w:val="000000" w:themeColor="text1"/>
              </w:rPr>
            </w:pPr>
          </w:p>
        </w:tc>
        <w:tc>
          <w:tcPr>
            <w:tcW w:w="796" w:type="dxa"/>
          </w:tcPr>
          <w:p w14:paraId="18636F62">
            <w:pPr>
              <w:rPr>
                <w:rFonts w:hint="eastAsia" w:asciiTheme="minorEastAsia" w:hAnsiTheme="minorEastAsia" w:eastAsiaTheme="minorEastAsia" w:cstheme="minorEastAsia"/>
                <w:color w:val="000000" w:themeColor="text1"/>
              </w:rPr>
            </w:pPr>
          </w:p>
        </w:tc>
      </w:tr>
      <w:tr w14:paraId="353EDFB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6" w:hRule="atLeast"/>
        </w:trPr>
        <w:tc>
          <w:tcPr>
            <w:tcW w:w="1079" w:type="dxa"/>
          </w:tcPr>
          <w:p w14:paraId="319B8378">
            <w:pPr>
              <w:pStyle w:val="25"/>
              <w:spacing w:before="140" w:line="235" w:lineRule="auto"/>
              <w:ind w:left="43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w:t>
            </w:r>
          </w:p>
        </w:tc>
        <w:tc>
          <w:tcPr>
            <w:tcW w:w="971" w:type="dxa"/>
          </w:tcPr>
          <w:p w14:paraId="6B0AFFEC">
            <w:pPr>
              <w:rPr>
                <w:rFonts w:hint="eastAsia" w:asciiTheme="minorEastAsia" w:hAnsiTheme="minorEastAsia" w:eastAsiaTheme="minorEastAsia" w:cstheme="minorEastAsia"/>
                <w:color w:val="000000" w:themeColor="text1"/>
              </w:rPr>
            </w:pPr>
          </w:p>
        </w:tc>
        <w:tc>
          <w:tcPr>
            <w:tcW w:w="1857" w:type="dxa"/>
          </w:tcPr>
          <w:p w14:paraId="2A1BF033">
            <w:pPr>
              <w:rPr>
                <w:rFonts w:hint="eastAsia" w:asciiTheme="minorEastAsia" w:hAnsiTheme="minorEastAsia" w:eastAsiaTheme="minorEastAsia" w:cstheme="minorEastAsia"/>
                <w:color w:val="000000" w:themeColor="text1"/>
              </w:rPr>
            </w:pPr>
          </w:p>
        </w:tc>
        <w:tc>
          <w:tcPr>
            <w:tcW w:w="923" w:type="dxa"/>
          </w:tcPr>
          <w:p w14:paraId="36A9767B">
            <w:pPr>
              <w:rPr>
                <w:rFonts w:hint="eastAsia" w:asciiTheme="minorEastAsia" w:hAnsiTheme="minorEastAsia" w:eastAsiaTheme="minorEastAsia" w:cstheme="minorEastAsia"/>
                <w:color w:val="000000" w:themeColor="text1"/>
              </w:rPr>
            </w:pPr>
          </w:p>
        </w:tc>
        <w:tc>
          <w:tcPr>
            <w:tcW w:w="1227" w:type="dxa"/>
          </w:tcPr>
          <w:p w14:paraId="058A04C1">
            <w:pPr>
              <w:rPr>
                <w:rFonts w:hint="eastAsia" w:asciiTheme="minorEastAsia" w:hAnsiTheme="minorEastAsia" w:eastAsiaTheme="minorEastAsia" w:cstheme="minorEastAsia"/>
                <w:color w:val="000000" w:themeColor="text1"/>
              </w:rPr>
            </w:pPr>
          </w:p>
        </w:tc>
        <w:tc>
          <w:tcPr>
            <w:tcW w:w="1227" w:type="dxa"/>
          </w:tcPr>
          <w:p w14:paraId="764B613B">
            <w:pPr>
              <w:rPr>
                <w:rFonts w:hint="eastAsia" w:asciiTheme="minorEastAsia" w:hAnsiTheme="minorEastAsia" w:eastAsiaTheme="minorEastAsia" w:cstheme="minorEastAsia"/>
                <w:color w:val="000000" w:themeColor="text1"/>
              </w:rPr>
            </w:pPr>
          </w:p>
        </w:tc>
        <w:tc>
          <w:tcPr>
            <w:tcW w:w="1268" w:type="dxa"/>
          </w:tcPr>
          <w:p w14:paraId="6A7CAC6F">
            <w:pPr>
              <w:rPr>
                <w:rFonts w:hint="eastAsia" w:asciiTheme="minorEastAsia" w:hAnsiTheme="minorEastAsia" w:eastAsiaTheme="minorEastAsia" w:cstheme="minorEastAsia"/>
                <w:color w:val="000000" w:themeColor="text1"/>
              </w:rPr>
            </w:pPr>
          </w:p>
        </w:tc>
        <w:tc>
          <w:tcPr>
            <w:tcW w:w="796" w:type="dxa"/>
          </w:tcPr>
          <w:p w14:paraId="0776141D">
            <w:pPr>
              <w:rPr>
                <w:rFonts w:hint="eastAsia" w:asciiTheme="minorEastAsia" w:hAnsiTheme="minorEastAsia" w:eastAsiaTheme="minorEastAsia" w:cstheme="minorEastAsia"/>
                <w:color w:val="000000" w:themeColor="text1"/>
              </w:rPr>
            </w:pPr>
          </w:p>
        </w:tc>
      </w:tr>
    </w:tbl>
    <w:p w14:paraId="572150F5">
      <w:pPr>
        <w:spacing w:before="97" w:line="224" w:lineRule="auto"/>
        <w:ind w:left="17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4"/>
          <w:sz w:val="24"/>
          <w:szCs w:val="24"/>
        </w:rPr>
        <w:t>★注意：</w:t>
      </w:r>
    </w:p>
    <w:p w14:paraId="1FA53BEC">
      <w:pPr>
        <w:spacing w:before="90" w:line="219" w:lineRule="auto"/>
        <w:ind w:left="19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1、本表应按照下列规定填写：</w:t>
      </w:r>
    </w:p>
    <w:p w14:paraId="50EAA3EB">
      <w:pPr>
        <w:spacing w:before="96" w:line="283" w:lineRule="auto"/>
        <w:ind w:left="161" w:right="47" w:firstLine="2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1.1“合同包</w:t>
      </w:r>
      <w:r>
        <w:rPr>
          <w:rFonts w:hint="eastAsia" w:asciiTheme="minorEastAsia" w:hAnsiTheme="minorEastAsia" w:eastAsiaTheme="minorEastAsia" w:cstheme="minorEastAsia"/>
          <w:color w:val="000000" w:themeColor="text1"/>
          <w:spacing w:val="-7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w:t>
      </w:r>
      <w:r>
        <w:rPr>
          <w:rFonts w:hint="eastAsia" w:asciiTheme="minorEastAsia" w:hAnsiTheme="minorEastAsia" w:eastAsiaTheme="minorEastAsia" w:cstheme="minorEastAsia"/>
          <w:color w:val="000000" w:themeColor="text1"/>
          <w:spacing w:val="-9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品目号</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”、“货物名称</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”及“数量</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”应与招标文件《招标项目一览</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表》中的有关内容（</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“合同包</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9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品目号</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”、及“数量</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5"/>
          <w:sz w:val="24"/>
          <w:szCs w:val="24"/>
          <w:lang w:eastAsia="zh-CN"/>
        </w:rPr>
        <w:t>）保持一致。</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1.2“投标标的</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”为货物的：</w:t>
      </w:r>
      <w:r>
        <w:rPr>
          <w:rFonts w:hint="eastAsia" w:asciiTheme="minorEastAsia" w:hAnsiTheme="minorEastAsia" w:eastAsiaTheme="minorEastAsia" w:cstheme="minorEastAsia"/>
          <w:b/>
          <w:bCs/>
          <w:color w:val="000000" w:themeColor="text1"/>
          <w:spacing w:val="-4"/>
          <w:sz w:val="24"/>
          <w:szCs w:val="24"/>
          <w:lang w:eastAsia="zh-CN"/>
        </w:rPr>
        <w:t>“规格</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项下应填写货物制造厂商赋予的品牌（属于</w:t>
      </w:r>
      <w:r>
        <w:rPr>
          <w:rFonts w:hint="eastAsia" w:asciiTheme="minorEastAsia" w:hAnsiTheme="minorEastAsia" w:eastAsiaTheme="minorEastAsia" w:cstheme="minorEastAsia"/>
          <w:color w:val="000000" w:themeColor="text1"/>
          <w:spacing w:val="-5"/>
          <w:sz w:val="24"/>
          <w:szCs w:val="24"/>
          <w:lang w:eastAsia="zh-CN"/>
        </w:rPr>
        <w:t>节能、</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5"/>
          <w:sz w:val="24"/>
          <w:szCs w:val="24"/>
          <w:lang w:eastAsia="zh-CN"/>
        </w:rPr>
        <w:t>环保清单产品的货物，填写的品牌名称应与清单载明的品牌名</w:t>
      </w:r>
      <w:r>
        <w:rPr>
          <w:rFonts w:hint="eastAsia" w:asciiTheme="minorEastAsia" w:hAnsiTheme="minorEastAsia" w:eastAsiaTheme="minorEastAsia" w:cstheme="minorEastAsia"/>
          <w:color w:val="000000" w:themeColor="text1"/>
          <w:spacing w:val="-6"/>
          <w:sz w:val="24"/>
          <w:szCs w:val="24"/>
          <w:lang w:eastAsia="zh-CN"/>
        </w:rPr>
        <w:t>称保持一致）及具体型号。</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“来源地</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应填写货物的原产地。</w:t>
      </w:r>
      <w:r>
        <w:rPr>
          <w:rFonts w:hint="eastAsia" w:asciiTheme="minorEastAsia" w:hAnsiTheme="minorEastAsia" w:eastAsiaTheme="minorEastAsia" w:cstheme="minorEastAsia"/>
          <w:b/>
          <w:bCs/>
          <w:color w:val="000000" w:themeColor="text1"/>
          <w:spacing w:val="-4"/>
          <w:sz w:val="24"/>
          <w:szCs w:val="24"/>
          <w:lang w:eastAsia="zh-CN"/>
        </w:rPr>
        <w:t>“备注</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 xml:space="preserve">项下应填写货物的详细性能说明及供货范围 </w:t>
      </w:r>
      <w:r>
        <w:rPr>
          <w:rFonts w:hint="eastAsia" w:asciiTheme="minorEastAsia" w:hAnsiTheme="minorEastAsia" w:eastAsiaTheme="minorEastAsia" w:cstheme="minorEastAsia"/>
          <w:color w:val="000000" w:themeColor="text1"/>
          <w:sz w:val="24"/>
          <w:szCs w:val="24"/>
          <w:lang w:eastAsia="zh-CN"/>
        </w:rPr>
        <w:t>清单（若有</w:t>
      </w:r>
      <w:r>
        <w:rPr>
          <w:rFonts w:hint="eastAsia" w:asciiTheme="minorEastAsia" w:hAnsiTheme="minorEastAsia" w:eastAsiaTheme="minorEastAsia" w:cstheme="minorEastAsia"/>
          <w:color w:val="000000" w:themeColor="text1"/>
          <w:spacing w:val="13"/>
          <w:sz w:val="24"/>
          <w:szCs w:val="24"/>
          <w:lang w:eastAsia="zh-CN"/>
        </w:rPr>
        <w:t>），</w:t>
      </w:r>
      <w:r>
        <w:rPr>
          <w:rFonts w:hint="eastAsia" w:asciiTheme="minorEastAsia" w:hAnsiTheme="minorEastAsia" w:eastAsiaTheme="minorEastAsia" w:cstheme="minorEastAsia"/>
          <w:color w:val="000000" w:themeColor="text1"/>
          <w:sz w:val="24"/>
          <w:szCs w:val="24"/>
          <w:lang w:eastAsia="zh-CN"/>
        </w:rPr>
        <w:t>其中供货范围清单包括但不限于：组成货物的主要件和关键件的名称、</w:t>
      </w:r>
      <w:r>
        <w:rPr>
          <w:rFonts w:hint="eastAsia" w:asciiTheme="minorEastAsia" w:hAnsiTheme="minorEastAsia" w:eastAsiaTheme="minorEastAsia" w:cstheme="minorEastAsia"/>
          <w:color w:val="000000" w:themeColor="text1"/>
          <w:spacing w:val="1"/>
          <w:sz w:val="24"/>
          <w:szCs w:val="24"/>
          <w:lang w:eastAsia="zh-CN"/>
        </w:rPr>
        <w:t xml:space="preserve"> 数量、原产地，专用工具（若有）的名称、数量、原产地，备</w:t>
      </w:r>
      <w:r>
        <w:rPr>
          <w:rFonts w:hint="eastAsia" w:asciiTheme="minorEastAsia" w:hAnsiTheme="minorEastAsia" w:eastAsiaTheme="minorEastAsia" w:cstheme="minorEastAsia"/>
          <w:color w:val="000000" w:themeColor="text1"/>
          <w:sz w:val="24"/>
          <w:szCs w:val="24"/>
          <w:lang w:eastAsia="zh-CN"/>
        </w:rPr>
        <w:t>品备件（若有）的名称、 数量、原产地等。</w:t>
      </w:r>
    </w:p>
    <w:p w14:paraId="40C19795">
      <w:pPr>
        <w:spacing w:before="95" w:line="268" w:lineRule="auto"/>
        <w:ind w:left="174" w:right="127" w:firstLine="16"/>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1.3“投标标的</w:t>
      </w:r>
      <w:r>
        <w:rPr>
          <w:rFonts w:hint="eastAsia" w:asciiTheme="minorEastAsia" w:hAnsiTheme="minorEastAsia" w:eastAsiaTheme="minorEastAsia" w:cstheme="minorEastAsia"/>
          <w:color w:val="000000" w:themeColor="text1"/>
          <w:spacing w:val="-76"/>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”为服务的：</w:t>
      </w:r>
      <w:r>
        <w:rPr>
          <w:rFonts w:hint="eastAsia" w:asciiTheme="minorEastAsia" w:hAnsiTheme="minorEastAsia" w:eastAsiaTheme="minorEastAsia" w:cstheme="minorEastAsia"/>
          <w:b/>
          <w:bCs/>
          <w:color w:val="000000" w:themeColor="text1"/>
          <w:spacing w:val="-3"/>
          <w:sz w:val="24"/>
          <w:szCs w:val="24"/>
          <w:lang w:eastAsia="zh-CN"/>
        </w:rPr>
        <w:t>“型号规格</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w:t>
      </w:r>
      <w:r>
        <w:rPr>
          <w:rFonts w:hint="eastAsia" w:asciiTheme="minorEastAsia" w:hAnsiTheme="minorEastAsia" w:eastAsiaTheme="minorEastAsia" w:cstheme="minorEastAsia"/>
          <w:color w:val="000000" w:themeColor="text1"/>
          <w:spacing w:val="-3"/>
          <w:sz w:val="24"/>
          <w:szCs w:val="24"/>
          <w:lang w:eastAsia="zh-CN"/>
        </w:rPr>
        <w:t>项下应填写服务提供者提供的服务标准及品</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牌（若有）。</w:t>
      </w:r>
      <w:r>
        <w:rPr>
          <w:rFonts w:hint="eastAsia" w:asciiTheme="minorEastAsia" w:hAnsiTheme="minorEastAsia" w:eastAsiaTheme="minorEastAsia" w:cstheme="minorEastAsia"/>
          <w:b/>
          <w:bCs/>
          <w:color w:val="000000" w:themeColor="text1"/>
          <w:spacing w:val="-4"/>
          <w:sz w:val="24"/>
          <w:szCs w:val="24"/>
          <w:lang w:eastAsia="zh-CN"/>
        </w:rPr>
        <w:t>“来源地</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应填写服务提供者的所在地。</w:t>
      </w:r>
      <w:r>
        <w:rPr>
          <w:rFonts w:hint="eastAsia" w:asciiTheme="minorEastAsia" w:hAnsiTheme="minorEastAsia" w:eastAsiaTheme="minorEastAsia" w:cstheme="minorEastAsia"/>
          <w:b/>
          <w:bCs/>
          <w:color w:val="000000" w:themeColor="text1"/>
          <w:spacing w:val="-4"/>
          <w:sz w:val="24"/>
          <w:szCs w:val="24"/>
          <w:lang w:eastAsia="zh-CN"/>
        </w:rPr>
        <w:t>“备注</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项下应填写关于服务标</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准所涵盖的具体项目或内容的说明等。</w:t>
      </w:r>
    </w:p>
    <w:p w14:paraId="0EFB6FEE">
      <w:pPr>
        <w:spacing w:before="96" w:line="256" w:lineRule="auto"/>
        <w:ind w:left="180" w:right="258" w:hanging="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2、投标人需要说明的内容若需特殊表达，应先在本表中进行相应说明，再另页应答，</w:t>
      </w:r>
      <w:r>
        <w:rPr>
          <w:rFonts w:hint="eastAsia" w:asciiTheme="minorEastAsia" w:hAnsiTheme="minorEastAsia" w:eastAsiaTheme="minorEastAsia" w:cstheme="minorEastAsia"/>
          <w:color w:val="000000" w:themeColor="text1"/>
          <w:spacing w:val="4"/>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否则</w:t>
      </w:r>
      <w:r>
        <w:rPr>
          <w:rFonts w:hint="eastAsia" w:asciiTheme="minorEastAsia" w:hAnsiTheme="minorEastAsia" w:eastAsiaTheme="minorEastAsia" w:cstheme="minorEastAsia"/>
          <w:b/>
          <w:bCs/>
          <w:color w:val="000000" w:themeColor="text1"/>
          <w:spacing w:val="-4"/>
          <w:sz w:val="24"/>
          <w:szCs w:val="24"/>
          <w:lang w:eastAsia="zh-CN"/>
        </w:rPr>
        <w:t>投标无效</w:t>
      </w:r>
      <w:r>
        <w:rPr>
          <w:rFonts w:hint="eastAsia" w:asciiTheme="minorEastAsia" w:hAnsiTheme="minorEastAsia" w:eastAsiaTheme="minorEastAsia" w:cstheme="minorEastAsia"/>
          <w:color w:val="000000" w:themeColor="text1"/>
          <w:spacing w:val="-4"/>
          <w:sz w:val="24"/>
          <w:szCs w:val="24"/>
          <w:lang w:eastAsia="zh-CN"/>
        </w:rPr>
        <w:t>。</w:t>
      </w:r>
    </w:p>
    <w:p w14:paraId="72247E9C">
      <w:pPr>
        <w:spacing w:before="93" w:line="219" w:lineRule="auto"/>
        <w:ind w:left="1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5"/>
          <w:sz w:val="24"/>
          <w:szCs w:val="24"/>
          <w:lang w:eastAsia="zh-CN"/>
        </w:rPr>
        <w:t>3、投标文件中涉及</w:t>
      </w:r>
      <w:r>
        <w:rPr>
          <w:rFonts w:hint="eastAsia" w:asciiTheme="minorEastAsia" w:hAnsiTheme="minorEastAsia" w:eastAsiaTheme="minorEastAsia" w:cstheme="minorEastAsia"/>
          <w:b/>
          <w:bCs/>
          <w:color w:val="000000" w:themeColor="text1"/>
          <w:spacing w:val="-5"/>
          <w:sz w:val="24"/>
          <w:szCs w:val="24"/>
          <w:lang w:eastAsia="zh-CN"/>
        </w:rPr>
        <w:t>“货物名称</w:t>
      </w:r>
      <w:r>
        <w:rPr>
          <w:rFonts w:hint="eastAsia" w:asciiTheme="minorEastAsia" w:hAnsiTheme="minorEastAsia" w:eastAsiaTheme="minorEastAsia" w:cstheme="minorEastAsia"/>
          <w:color w:val="000000" w:themeColor="text1"/>
          <w:spacing w:val="-83"/>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”、“数量</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”、“型号规格</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”、“来源地</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b/>
          <w:bCs/>
          <w:color w:val="000000" w:themeColor="text1"/>
          <w:spacing w:val="-5"/>
          <w:sz w:val="24"/>
          <w:szCs w:val="24"/>
          <w:lang w:eastAsia="zh-CN"/>
        </w:rPr>
        <w:t>”</w:t>
      </w:r>
      <w:r>
        <w:rPr>
          <w:rFonts w:hint="eastAsia" w:asciiTheme="minorEastAsia" w:hAnsiTheme="minorEastAsia" w:eastAsiaTheme="minorEastAsia" w:cstheme="minorEastAsia"/>
          <w:color w:val="000000" w:themeColor="text1"/>
          <w:spacing w:val="-5"/>
          <w:sz w:val="24"/>
          <w:szCs w:val="24"/>
          <w:lang w:eastAsia="zh-CN"/>
        </w:rPr>
        <w:t>的内容若不</w:t>
      </w:r>
    </w:p>
    <w:p w14:paraId="2537DEF9">
      <w:pPr>
        <w:spacing w:before="97" w:line="219" w:lineRule="auto"/>
        <w:ind w:left="17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一致，</w:t>
      </w:r>
      <w:r>
        <w:rPr>
          <w:rFonts w:hint="eastAsia" w:asciiTheme="minorEastAsia" w:hAnsiTheme="minorEastAsia" w:eastAsiaTheme="minorEastAsia" w:cstheme="minorEastAsia"/>
          <w:b/>
          <w:bCs/>
          <w:color w:val="000000" w:themeColor="text1"/>
          <w:spacing w:val="-3"/>
          <w:sz w:val="24"/>
          <w:szCs w:val="24"/>
          <w:lang w:eastAsia="zh-CN"/>
        </w:rPr>
        <w:t>应以本表为准</w:t>
      </w:r>
      <w:r>
        <w:rPr>
          <w:rFonts w:hint="eastAsia" w:asciiTheme="minorEastAsia" w:hAnsiTheme="minorEastAsia" w:eastAsiaTheme="minorEastAsia" w:cstheme="minorEastAsia"/>
          <w:color w:val="000000" w:themeColor="text1"/>
          <w:spacing w:val="-3"/>
          <w:sz w:val="24"/>
          <w:szCs w:val="24"/>
          <w:lang w:eastAsia="zh-CN"/>
        </w:rPr>
        <w:t>。</w:t>
      </w:r>
    </w:p>
    <w:p w14:paraId="12388687">
      <w:pPr>
        <w:spacing w:before="94" w:line="219" w:lineRule="auto"/>
        <w:ind w:left="17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4、投标文件正本中的本表应为原件。</w:t>
      </w:r>
    </w:p>
    <w:p w14:paraId="1D68C4E4">
      <w:pPr>
        <w:pStyle w:val="8"/>
        <w:spacing w:line="257" w:lineRule="auto"/>
        <w:rPr>
          <w:rFonts w:hint="eastAsia" w:asciiTheme="minorEastAsia" w:hAnsiTheme="minorEastAsia" w:eastAsiaTheme="minorEastAsia" w:cstheme="minorEastAsia"/>
          <w:color w:val="000000" w:themeColor="text1"/>
          <w:lang w:eastAsia="zh-CN"/>
        </w:rPr>
      </w:pPr>
    </w:p>
    <w:p w14:paraId="0CCF6144">
      <w:pPr>
        <w:pStyle w:val="8"/>
        <w:spacing w:line="257" w:lineRule="auto"/>
        <w:rPr>
          <w:rFonts w:hint="eastAsia" w:asciiTheme="minorEastAsia" w:hAnsiTheme="minorEastAsia" w:eastAsiaTheme="minorEastAsia" w:cstheme="minorEastAsia"/>
          <w:color w:val="000000" w:themeColor="text1"/>
          <w:lang w:eastAsia="zh-CN"/>
        </w:rPr>
      </w:pPr>
    </w:p>
    <w:p w14:paraId="4A73D8CC">
      <w:pPr>
        <w:pStyle w:val="8"/>
        <w:spacing w:line="258" w:lineRule="auto"/>
        <w:rPr>
          <w:rFonts w:hint="eastAsia" w:asciiTheme="minorEastAsia" w:hAnsiTheme="minorEastAsia" w:eastAsiaTheme="minorEastAsia" w:cstheme="minorEastAsia"/>
          <w:color w:val="000000" w:themeColor="text1"/>
          <w:lang w:eastAsia="zh-CN"/>
        </w:rPr>
      </w:pPr>
    </w:p>
    <w:p w14:paraId="71BAA15A">
      <w:pPr>
        <w:spacing w:before="79" w:line="219" w:lineRule="auto"/>
        <w:ind w:left="1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453611FA">
      <w:pPr>
        <w:spacing w:before="95" w:line="219" w:lineRule="auto"/>
        <w:ind w:left="1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18739D58">
      <w:pPr>
        <w:spacing w:before="97" w:line="219" w:lineRule="auto"/>
        <w:ind w:left="2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701BD484">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6" w:type="default"/>
          <w:pgSz w:w="11906" w:h="16839"/>
          <w:pgMar w:top="1431" w:right="1290" w:bottom="1260" w:left="1252" w:header="0" w:footer="1013" w:gutter="0"/>
          <w:pgNumType w:fmt="decimal"/>
          <w:cols w:space="720" w:num="1"/>
        </w:sectPr>
      </w:pPr>
    </w:p>
    <w:p w14:paraId="09607F4A">
      <w:pPr>
        <w:spacing w:before="108" w:line="219" w:lineRule="auto"/>
        <w:ind w:left="331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2、技术和服务要求响应表</w:t>
      </w:r>
    </w:p>
    <w:p w14:paraId="7C7C3D1D">
      <w:pPr>
        <w:pStyle w:val="8"/>
        <w:spacing w:line="392" w:lineRule="auto"/>
        <w:rPr>
          <w:rFonts w:hint="eastAsia" w:asciiTheme="minorEastAsia" w:hAnsiTheme="minorEastAsia" w:eastAsiaTheme="minorEastAsia" w:cstheme="minorEastAsia"/>
          <w:color w:val="000000" w:themeColor="text1"/>
          <w:lang w:eastAsia="zh-CN"/>
        </w:rPr>
      </w:pPr>
    </w:p>
    <w:p w14:paraId="64C0B5FD">
      <w:pPr>
        <w:spacing w:before="78" w:line="217" w:lineRule="auto"/>
        <w:ind w:left="15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3"/>
          <w:sz w:val="24"/>
          <w:szCs w:val="24"/>
        </w:rPr>
        <w:t>招标编号：</w:t>
      </w:r>
      <w:r>
        <w:rPr>
          <w:rFonts w:hint="eastAsia" w:asciiTheme="minorEastAsia" w:hAnsiTheme="minorEastAsia" w:eastAsiaTheme="minorEastAsia" w:cstheme="minorEastAsia"/>
          <w:color w:val="000000" w:themeColor="text1"/>
          <w:sz w:val="24"/>
          <w:szCs w:val="24"/>
          <w:u w:val="single"/>
        </w:rPr>
        <w:t xml:space="preserve">                                      </w:t>
      </w:r>
    </w:p>
    <w:tbl>
      <w:tblPr>
        <w:tblStyle w:val="24"/>
        <w:tblW w:w="935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64"/>
        <w:gridCol w:w="967"/>
        <w:gridCol w:w="720"/>
        <w:gridCol w:w="3599"/>
        <w:gridCol w:w="1400"/>
        <w:gridCol w:w="967"/>
        <w:gridCol w:w="1141"/>
      </w:tblGrid>
      <w:tr w14:paraId="487EB50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04" w:hRule="atLeast"/>
        </w:trPr>
        <w:tc>
          <w:tcPr>
            <w:tcW w:w="564" w:type="dxa"/>
            <w:textDirection w:val="tbRlV"/>
          </w:tcPr>
          <w:p w14:paraId="7D6A33E6">
            <w:pPr>
              <w:pStyle w:val="25"/>
              <w:spacing w:before="145" w:line="209" w:lineRule="auto"/>
              <w:ind w:left="14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1"/>
              </w:rPr>
              <w:t>采</w:t>
            </w:r>
            <w:r>
              <w:rPr>
                <w:rFonts w:hint="eastAsia" w:asciiTheme="minorEastAsia" w:hAnsiTheme="minorEastAsia" w:eastAsiaTheme="minorEastAsia" w:cstheme="minorEastAsia"/>
                <w:color w:val="000000" w:themeColor="text1"/>
                <w:spacing w:val="20"/>
              </w:rPr>
              <w:t xml:space="preserve"> </w:t>
            </w:r>
            <w:r>
              <w:rPr>
                <w:rFonts w:hint="eastAsia" w:asciiTheme="minorEastAsia" w:hAnsiTheme="minorEastAsia" w:eastAsiaTheme="minorEastAsia" w:cstheme="minorEastAsia"/>
                <w:color w:val="000000" w:themeColor="text1"/>
                <w:spacing w:val="-1"/>
              </w:rPr>
              <w:t>购</w:t>
            </w:r>
            <w:r>
              <w:rPr>
                <w:rFonts w:hint="eastAsia" w:asciiTheme="minorEastAsia" w:hAnsiTheme="minorEastAsia" w:eastAsiaTheme="minorEastAsia" w:cstheme="minorEastAsia"/>
                <w:color w:val="000000" w:themeColor="text1"/>
                <w:spacing w:val="20"/>
              </w:rPr>
              <w:t xml:space="preserve"> </w:t>
            </w:r>
            <w:r>
              <w:rPr>
                <w:rFonts w:hint="eastAsia" w:asciiTheme="minorEastAsia" w:hAnsiTheme="minorEastAsia" w:eastAsiaTheme="minorEastAsia" w:cstheme="minorEastAsia"/>
                <w:color w:val="000000" w:themeColor="text1"/>
                <w:spacing w:val="-1"/>
              </w:rPr>
              <w:t>包</w:t>
            </w:r>
          </w:p>
        </w:tc>
        <w:tc>
          <w:tcPr>
            <w:tcW w:w="967" w:type="dxa"/>
          </w:tcPr>
          <w:p w14:paraId="1F8318E3">
            <w:pPr>
              <w:spacing w:line="447" w:lineRule="auto"/>
              <w:rPr>
                <w:rFonts w:hint="eastAsia" w:asciiTheme="minorEastAsia" w:hAnsiTheme="minorEastAsia" w:eastAsiaTheme="minorEastAsia" w:cstheme="minorEastAsia"/>
                <w:color w:val="000000" w:themeColor="text1"/>
              </w:rPr>
            </w:pPr>
          </w:p>
          <w:p w14:paraId="1C3DA7E3">
            <w:pPr>
              <w:pStyle w:val="25"/>
              <w:spacing w:before="78" w:line="219" w:lineRule="auto"/>
              <w:ind w:left="142"/>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合同包</w:t>
            </w:r>
          </w:p>
        </w:tc>
        <w:tc>
          <w:tcPr>
            <w:tcW w:w="720" w:type="dxa"/>
            <w:textDirection w:val="tbRlV"/>
          </w:tcPr>
          <w:p w14:paraId="6F2DF851">
            <w:pPr>
              <w:pStyle w:val="25"/>
              <w:spacing w:before="208" w:line="210" w:lineRule="auto"/>
              <w:ind w:left="33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1"/>
              </w:rPr>
              <w:t>序</w:t>
            </w:r>
            <w:r>
              <w:rPr>
                <w:rFonts w:hint="eastAsia" w:asciiTheme="minorEastAsia" w:hAnsiTheme="minorEastAsia" w:eastAsiaTheme="minorEastAsia" w:cstheme="minorEastAsia"/>
                <w:color w:val="000000" w:themeColor="text1"/>
                <w:spacing w:val="20"/>
              </w:rPr>
              <w:t xml:space="preserve"> </w:t>
            </w:r>
            <w:r>
              <w:rPr>
                <w:rFonts w:hint="eastAsia" w:asciiTheme="minorEastAsia" w:hAnsiTheme="minorEastAsia" w:eastAsiaTheme="minorEastAsia" w:cstheme="minorEastAsia"/>
                <w:color w:val="000000" w:themeColor="text1"/>
                <w:spacing w:val="-1"/>
              </w:rPr>
              <w:t>号</w:t>
            </w:r>
          </w:p>
        </w:tc>
        <w:tc>
          <w:tcPr>
            <w:tcW w:w="3599" w:type="dxa"/>
          </w:tcPr>
          <w:p w14:paraId="02A0542F">
            <w:pPr>
              <w:spacing w:line="448" w:lineRule="auto"/>
              <w:rPr>
                <w:rFonts w:hint="eastAsia" w:asciiTheme="minorEastAsia" w:hAnsiTheme="minorEastAsia" w:eastAsiaTheme="minorEastAsia" w:cstheme="minorEastAsia"/>
                <w:color w:val="000000" w:themeColor="text1"/>
              </w:rPr>
            </w:pPr>
          </w:p>
          <w:p w14:paraId="27F3EC07">
            <w:pPr>
              <w:pStyle w:val="25"/>
              <w:spacing w:before="78" w:line="219" w:lineRule="auto"/>
              <w:ind w:left="953"/>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2"/>
              </w:rPr>
              <w:t>技术和服务要求</w:t>
            </w:r>
          </w:p>
        </w:tc>
        <w:tc>
          <w:tcPr>
            <w:tcW w:w="1400" w:type="dxa"/>
          </w:tcPr>
          <w:p w14:paraId="7A6C1877">
            <w:pPr>
              <w:spacing w:line="447" w:lineRule="auto"/>
              <w:rPr>
                <w:rFonts w:hint="eastAsia" w:asciiTheme="minorEastAsia" w:hAnsiTheme="minorEastAsia" w:eastAsiaTheme="minorEastAsia" w:cstheme="minorEastAsia"/>
                <w:color w:val="000000" w:themeColor="text1"/>
              </w:rPr>
            </w:pPr>
          </w:p>
          <w:p w14:paraId="495C4DA0">
            <w:pPr>
              <w:pStyle w:val="25"/>
              <w:spacing w:before="78" w:line="220" w:lineRule="auto"/>
              <w:ind w:left="195"/>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投标响应</w:t>
            </w:r>
          </w:p>
        </w:tc>
        <w:tc>
          <w:tcPr>
            <w:tcW w:w="967" w:type="dxa"/>
          </w:tcPr>
          <w:p w14:paraId="68180524">
            <w:pPr>
              <w:pStyle w:val="25"/>
              <w:spacing w:before="149" w:line="219" w:lineRule="auto"/>
              <w:ind w:left="12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5"/>
              </w:rPr>
              <w:t>是否偏</w:t>
            </w:r>
          </w:p>
          <w:p w14:paraId="0F9AD4C9">
            <w:pPr>
              <w:pStyle w:val="25"/>
              <w:spacing w:before="94" w:line="220" w:lineRule="auto"/>
              <w:ind w:left="121"/>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5"/>
              </w:rPr>
              <w:t>离及说</w:t>
            </w:r>
          </w:p>
          <w:p w14:paraId="3D6FE11A">
            <w:pPr>
              <w:pStyle w:val="25"/>
              <w:spacing w:before="93" w:line="219" w:lineRule="auto"/>
              <w:ind w:left="37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明</w:t>
            </w:r>
          </w:p>
        </w:tc>
        <w:tc>
          <w:tcPr>
            <w:tcW w:w="1141" w:type="dxa"/>
          </w:tcPr>
          <w:p w14:paraId="2B2318B8">
            <w:pPr>
              <w:pStyle w:val="25"/>
              <w:spacing w:before="148" w:line="268" w:lineRule="auto"/>
              <w:ind w:left="99" w:right="86" w:hanging="11"/>
              <w:jc w:val="both"/>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相应材料</w:t>
            </w:r>
            <w:r>
              <w:rPr>
                <w:rFonts w:hint="eastAsia" w:asciiTheme="minorEastAsia" w:hAnsiTheme="minorEastAsia" w:eastAsiaTheme="minorEastAsia" w:cstheme="minorEastAsia"/>
                <w:color w:val="000000" w:themeColor="text1"/>
                <w:spacing w:val="1"/>
                <w:lang w:eastAsia="zh-CN"/>
              </w:rPr>
              <w:t xml:space="preserve"> </w:t>
            </w:r>
            <w:r>
              <w:rPr>
                <w:rFonts w:hint="eastAsia" w:asciiTheme="minorEastAsia" w:hAnsiTheme="minorEastAsia" w:eastAsiaTheme="minorEastAsia" w:cstheme="minorEastAsia"/>
                <w:color w:val="000000" w:themeColor="text1"/>
                <w:spacing w:val="-6"/>
                <w:lang w:eastAsia="zh-CN"/>
              </w:rPr>
              <w:t>附件页码</w:t>
            </w:r>
            <w:r>
              <w:rPr>
                <w:rFonts w:hint="eastAsia" w:asciiTheme="minorEastAsia" w:hAnsiTheme="minorEastAsia" w:eastAsiaTheme="minorEastAsia" w:cstheme="minorEastAsia"/>
                <w:color w:val="000000" w:themeColor="text1"/>
                <w:spacing w:val="2"/>
                <w:lang w:eastAsia="zh-CN"/>
              </w:rPr>
              <w:t xml:space="preserve"> </w:t>
            </w:r>
            <w:r>
              <w:rPr>
                <w:rFonts w:hint="eastAsia" w:asciiTheme="minorEastAsia" w:hAnsiTheme="minorEastAsia" w:eastAsiaTheme="minorEastAsia" w:cstheme="minorEastAsia"/>
                <w:color w:val="000000" w:themeColor="text1"/>
                <w:spacing w:val="-6"/>
                <w:lang w:eastAsia="zh-CN"/>
              </w:rPr>
              <w:t>（如有）</w:t>
            </w:r>
          </w:p>
        </w:tc>
      </w:tr>
      <w:tr w14:paraId="77299D2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2" w:hRule="atLeast"/>
        </w:trPr>
        <w:tc>
          <w:tcPr>
            <w:tcW w:w="564" w:type="dxa"/>
            <w:vMerge w:val="restart"/>
            <w:tcBorders>
              <w:bottom w:val="nil"/>
            </w:tcBorders>
          </w:tcPr>
          <w:p w14:paraId="0C025AEB">
            <w:pPr>
              <w:rPr>
                <w:rFonts w:hint="eastAsia" w:asciiTheme="minorEastAsia" w:hAnsiTheme="minorEastAsia" w:eastAsiaTheme="minorEastAsia" w:cstheme="minorEastAsia"/>
                <w:color w:val="000000" w:themeColor="text1"/>
                <w:lang w:eastAsia="zh-CN"/>
              </w:rPr>
            </w:pPr>
          </w:p>
        </w:tc>
        <w:tc>
          <w:tcPr>
            <w:tcW w:w="967" w:type="dxa"/>
          </w:tcPr>
          <w:p w14:paraId="7F083612">
            <w:pPr>
              <w:rPr>
                <w:rFonts w:hint="eastAsia" w:asciiTheme="minorEastAsia" w:hAnsiTheme="minorEastAsia" w:eastAsiaTheme="minorEastAsia" w:cstheme="minorEastAsia"/>
                <w:color w:val="000000" w:themeColor="text1"/>
                <w:lang w:eastAsia="zh-CN"/>
              </w:rPr>
            </w:pPr>
          </w:p>
        </w:tc>
        <w:tc>
          <w:tcPr>
            <w:tcW w:w="720" w:type="dxa"/>
          </w:tcPr>
          <w:p w14:paraId="07CBF1EB">
            <w:pPr>
              <w:rPr>
                <w:rFonts w:hint="eastAsia" w:asciiTheme="minorEastAsia" w:hAnsiTheme="minorEastAsia" w:eastAsiaTheme="minorEastAsia" w:cstheme="minorEastAsia"/>
                <w:color w:val="000000" w:themeColor="text1"/>
                <w:lang w:eastAsia="zh-CN"/>
              </w:rPr>
            </w:pPr>
          </w:p>
        </w:tc>
        <w:tc>
          <w:tcPr>
            <w:tcW w:w="3599" w:type="dxa"/>
          </w:tcPr>
          <w:p w14:paraId="47C3945F">
            <w:pPr>
              <w:rPr>
                <w:rFonts w:hint="eastAsia" w:asciiTheme="minorEastAsia" w:hAnsiTheme="minorEastAsia" w:eastAsiaTheme="minorEastAsia" w:cstheme="minorEastAsia"/>
                <w:color w:val="000000" w:themeColor="text1"/>
                <w:lang w:eastAsia="zh-CN"/>
              </w:rPr>
            </w:pPr>
          </w:p>
        </w:tc>
        <w:tc>
          <w:tcPr>
            <w:tcW w:w="1400" w:type="dxa"/>
          </w:tcPr>
          <w:p w14:paraId="126AEE03">
            <w:pPr>
              <w:rPr>
                <w:rFonts w:hint="eastAsia" w:asciiTheme="minorEastAsia" w:hAnsiTheme="minorEastAsia" w:eastAsiaTheme="minorEastAsia" w:cstheme="minorEastAsia"/>
                <w:color w:val="000000" w:themeColor="text1"/>
                <w:lang w:eastAsia="zh-CN"/>
              </w:rPr>
            </w:pPr>
          </w:p>
        </w:tc>
        <w:tc>
          <w:tcPr>
            <w:tcW w:w="967" w:type="dxa"/>
          </w:tcPr>
          <w:p w14:paraId="21853394">
            <w:pPr>
              <w:rPr>
                <w:rFonts w:hint="eastAsia" w:asciiTheme="minorEastAsia" w:hAnsiTheme="minorEastAsia" w:eastAsiaTheme="minorEastAsia" w:cstheme="minorEastAsia"/>
                <w:color w:val="000000" w:themeColor="text1"/>
                <w:lang w:eastAsia="zh-CN"/>
              </w:rPr>
            </w:pPr>
          </w:p>
        </w:tc>
        <w:tc>
          <w:tcPr>
            <w:tcW w:w="1141" w:type="dxa"/>
          </w:tcPr>
          <w:p w14:paraId="6D29F652">
            <w:pPr>
              <w:rPr>
                <w:rFonts w:hint="eastAsia" w:asciiTheme="minorEastAsia" w:hAnsiTheme="minorEastAsia" w:eastAsiaTheme="minorEastAsia" w:cstheme="minorEastAsia"/>
                <w:color w:val="000000" w:themeColor="text1"/>
                <w:lang w:eastAsia="zh-CN"/>
              </w:rPr>
            </w:pPr>
          </w:p>
        </w:tc>
      </w:tr>
      <w:tr w14:paraId="73F3A09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14:paraId="623F7946">
            <w:pPr>
              <w:rPr>
                <w:rFonts w:hint="eastAsia" w:asciiTheme="minorEastAsia" w:hAnsiTheme="minorEastAsia" w:eastAsiaTheme="minorEastAsia" w:cstheme="minorEastAsia"/>
                <w:color w:val="000000" w:themeColor="text1"/>
                <w:lang w:eastAsia="zh-CN"/>
              </w:rPr>
            </w:pPr>
          </w:p>
        </w:tc>
        <w:tc>
          <w:tcPr>
            <w:tcW w:w="967" w:type="dxa"/>
          </w:tcPr>
          <w:p w14:paraId="37ECDF8E">
            <w:pPr>
              <w:rPr>
                <w:rFonts w:hint="eastAsia" w:asciiTheme="minorEastAsia" w:hAnsiTheme="minorEastAsia" w:eastAsiaTheme="minorEastAsia" w:cstheme="minorEastAsia"/>
                <w:color w:val="000000" w:themeColor="text1"/>
                <w:lang w:eastAsia="zh-CN"/>
              </w:rPr>
            </w:pPr>
          </w:p>
        </w:tc>
        <w:tc>
          <w:tcPr>
            <w:tcW w:w="720" w:type="dxa"/>
          </w:tcPr>
          <w:p w14:paraId="0D0E0594">
            <w:pPr>
              <w:rPr>
                <w:rFonts w:hint="eastAsia" w:asciiTheme="minorEastAsia" w:hAnsiTheme="minorEastAsia" w:eastAsiaTheme="minorEastAsia" w:cstheme="minorEastAsia"/>
                <w:color w:val="000000" w:themeColor="text1"/>
                <w:lang w:eastAsia="zh-CN"/>
              </w:rPr>
            </w:pPr>
          </w:p>
        </w:tc>
        <w:tc>
          <w:tcPr>
            <w:tcW w:w="3599" w:type="dxa"/>
          </w:tcPr>
          <w:p w14:paraId="715D889F">
            <w:pPr>
              <w:rPr>
                <w:rFonts w:hint="eastAsia" w:asciiTheme="minorEastAsia" w:hAnsiTheme="minorEastAsia" w:eastAsiaTheme="minorEastAsia" w:cstheme="minorEastAsia"/>
                <w:color w:val="000000" w:themeColor="text1"/>
                <w:lang w:eastAsia="zh-CN"/>
              </w:rPr>
            </w:pPr>
          </w:p>
        </w:tc>
        <w:tc>
          <w:tcPr>
            <w:tcW w:w="1400" w:type="dxa"/>
          </w:tcPr>
          <w:p w14:paraId="6BB30C37">
            <w:pPr>
              <w:rPr>
                <w:rFonts w:hint="eastAsia" w:asciiTheme="minorEastAsia" w:hAnsiTheme="minorEastAsia" w:eastAsiaTheme="minorEastAsia" w:cstheme="minorEastAsia"/>
                <w:color w:val="000000" w:themeColor="text1"/>
                <w:lang w:eastAsia="zh-CN"/>
              </w:rPr>
            </w:pPr>
          </w:p>
        </w:tc>
        <w:tc>
          <w:tcPr>
            <w:tcW w:w="967" w:type="dxa"/>
          </w:tcPr>
          <w:p w14:paraId="624DE28A">
            <w:pPr>
              <w:rPr>
                <w:rFonts w:hint="eastAsia" w:asciiTheme="minorEastAsia" w:hAnsiTheme="minorEastAsia" w:eastAsiaTheme="minorEastAsia" w:cstheme="minorEastAsia"/>
                <w:color w:val="000000" w:themeColor="text1"/>
                <w:lang w:eastAsia="zh-CN"/>
              </w:rPr>
            </w:pPr>
          </w:p>
        </w:tc>
        <w:tc>
          <w:tcPr>
            <w:tcW w:w="1141" w:type="dxa"/>
          </w:tcPr>
          <w:p w14:paraId="2A53B40B">
            <w:pPr>
              <w:rPr>
                <w:rFonts w:hint="eastAsia" w:asciiTheme="minorEastAsia" w:hAnsiTheme="minorEastAsia" w:eastAsiaTheme="minorEastAsia" w:cstheme="minorEastAsia"/>
                <w:color w:val="000000" w:themeColor="text1"/>
                <w:lang w:eastAsia="zh-CN"/>
              </w:rPr>
            </w:pPr>
          </w:p>
        </w:tc>
      </w:tr>
      <w:tr w14:paraId="46B5237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14:paraId="6E840BAB">
            <w:pPr>
              <w:rPr>
                <w:rFonts w:hint="eastAsia" w:asciiTheme="minorEastAsia" w:hAnsiTheme="minorEastAsia" w:eastAsiaTheme="minorEastAsia" w:cstheme="minorEastAsia"/>
                <w:color w:val="000000" w:themeColor="text1"/>
                <w:lang w:eastAsia="zh-CN"/>
              </w:rPr>
            </w:pPr>
          </w:p>
        </w:tc>
        <w:tc>
          <w:tcPr>
            <w:tcW w:w="967" w:type="dxa"/>
          </w:tcPr>
          <w:p w14:paraId="3864EE9E">
            <w:pPr>
              <w:rPr>
                <w:rFonts w:hint="eastAsia" w:asciiTheme="minorEastAsia" w:hAnsiTheme="minorEastAsia" w:eastAsiaTheme="minorEastAsia" w:cstheme="minorEastAsia"/>
                <w:color w:val="000000" w:themeColor="text1"/>
                <w:lang w:eastAsia="zh-CN"/>
              </w:rPr>
            </w:pPr>
          </w:p>
        </w:tc>
        <w:tc>
          <w:tcPr>
            <w:tcW w:w="720" w:type="dxa"/>
          </w:tcPr>
          <w:p w14:paraId="2557D64F">
            <w:pPr>
              <w:rPr>
                <w:rFonts w:hint="eastAsia" w:asciiTheme="minorEastAsia" w:hAnsiTheme="minorEastAsia" w:eastAsiaTheme="minorEastAsia" w:cstheme="minorEastAsia"/>
                <w:color w:val="000000" w:themeColor="text1"/>
                <w:lang w:eastAsia="zh-CN"/>
              </w:rPr>
            </w:pPr>
          </w:p>
        </w:tc>
        <w:tc>
          <w:tcPr>
            <w:tcW w:w="3599" w:type="dxa"/>
          </w:tcPr>
          <w:p w14:paraId="3292430D">
            <w:pPr>
              <w:rPr>
                <w:rFonts w:hint="eastAsia" w:asciiTheme="minorEastAsia" w:hAnsiTheme="minorEastAsia" w:eastAsiaTheme="minorEastAsia" w:cstheme="minorEastAsia"/>
                <w:color w:val="000000" w:themeColor="text1"/>
                <w:lang w:eastAsia="zh-CN"/>
              </w:rPr>
            </w:pPr>
          </w:p>
        </w:tc>
        <w:tc>
          <w:tcPr>
            <w:tcW w:w="1400" w:type="dxa"/>
          </w:tcPr>
          <w:p w14:paraId="373A1FB3">
            <w:pPr>
              <w:rPr>
                <w:rFonts w:hint="eastAsia" w:asciiTheme="minorEastAsia" w:hAnsiTheme="minorEastAsia" w:eastAsiaTheme="minorEastAsia" w:cstheme="minorEastAsia"/>
                <w:color w:val="000000" w:themeColor="text1"/>
                <w:lang w:eastAsia="zh-CN"/>
              </w:rPr>
            </w:pPr>
          </w:p>
        </w:tc>
        <w:tc>
          <w:tcPr>
            <w:tcW w:w="967" w:type="dxa"/>
          </w:tcPr>
          <w:p w14:paraId="5EFFCE96">
            <w:pPr>
              <w:rPr>
                <w:rFonts w:hint="eastAsia" w:asciiTheme="minorEastAsia" w:hAnsiTheme="minorEastAsia" w:eastAsiaTheme="minorEastAsia" w:cstheme="minorEastAsia"/>
                <w:color w:val="000000" w:themeColor="text1"/>
                <w:lang w:eastAsia="zh-CN"/>
              </w:rPr>
            </w:pPr>
          </w:p>
        </w:tc>
        <w:tc>
          <w:tcPr>
            <w:tcW w:w="1141" w:type="dxa"/>
          </w:tcPr>
          <w:p w14:paraId="0B000A7F">
            <w:pPr>
              <w:rPr>
                <w:rFonts w:hint="eastAsia" w:asciiTheme="minorEastAsia" w:hAnsiTheme="minorEastAsia" w:eastAsiaTheme="minorEastAsia" w:cstheme="minorEastAsia"/>
                <w:color w:val="000000" w:themeColor="text1"/>
                <w:lang w:eastAsia="zh-CN"/>
              </w:rPr>
            </w:pPr>
          </w:p>
        </w:tc>
      </w:tr>
      <w:tr w14:paraId="6C294BB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7" w:hRule="atLeast"/>
        </w:trPr>
        <w:tc>
          <w:tcPr>
            <w:tcW w:w="564" w:type="dxa"/>
            <w:vMerge w:val="continue"/>
            <w:tcBorders>
              <w:top w:val="nil"/>
            </w:tcBorders>
          </w:tcPr>
          <w:p w14:paraId="56F96386">
            <w:pPr>
              <w:rPr>
                <w:rFonts w:hint="eastAsia" w:asciiTheme="minorEastAsia" w:hAnsiTheme="minorEastAsia" w:eastAsiaTheme="minorEastAsia" w:cstheme="minorEastAsia"/>
                <w:color w:val="000000" w:themeColor="text1"/>
                <w:lang w:eastAsia="zh-CN"/>
              </w:rPr>
            </w:pPr>
          </w:p>
        </w:tc>
        <w:tc>
          <w:tcPr>
            <w:tcW w:w="967" w:type="dxa"/>
          </w:tcPr>
          <w:p w14:paraId="3F9DE4FA">
            <w:pPr>
              <w:rPr>
                <w:rFonts w:hint="eastAsia" w:asciiTheme="minorEastAsia" w:hAnsiTheme="minorEastAsia" w:eastAsiaTheme="minorEastAsia" w:cstheme="minorEastAsia"/>
                <w:color w:val="000000" w:themeColor="text1"/>
                <w:lang w:eastAsia="zh-CN"/>
              </w:rPr>
            </w:pPr>
          </w:p>
        </w:tc>
        <w:tc>
          <w:tcPr>
            <w:tcW w:w="720" w:type="dxa"/>
          </w:tcPr>
          <w:p w14:paraId="61564B8C">
            <w:pPr>
              <w:rPr>
                <w:rFonts w:hint="eastAsia" w:asciiTheme="minorEastAsia" w:hAnsiTheme="minorEastAsia" w:eastAsiaTheme="minorEastAsia" w:cstheme="minorEastAsia"/>
                <w:color w:val="000000" w:themeColor="text1"/>
                <w:lang w:eastAsia="zh-CN"/>
              </w:rPr>
            </w:pPr>
          </w:p>
        </w:tc>
        <w:tc>
          <w:tcPr>
            <w:tcW w:w="3599" w:type="dxa"/>
          </w:tcPr>
          <w:p w14:paraId="6ABE23A7">
            <w:pPr>
              <w:rPr>
                <w:rFonts w:hint="eastAsia" w:asciiTheme="minorEastAsia" w:hAnsiTheme="minorEastAsia" w:eastAsiaTheme="minorEastAsia" w:cstheme="minorEastAsia"/>
                <w:color w:val="000000" w:themeColor="text1"/>
                <w:lang w:eastAsia="zh-CN"/>
              </w:rPr>
            </w:pPr>
          </w:p>
        </w:tc>
        <w:tc>
          <w:tcPr>
            <w:tcW w:w="1400" w:type="dxa"/>
          </w:tcPr>
          <w:p w14:paraId="3A4BD9C7">
            <w:pPr>
              <w:rPr>
                <w:rFonts w:hint="eastAsia" w:asciiTheme="minorEastAsia" w:hAnsiTheme="minorEastAsia" w:eastAsiaTheme="minorEastAsia" w:cstheme="minorEastAsia"/>
                <w:color w:val="000000" w:themeColor="text1"/>
                <w:lang w:eastAsia="zh-CN"/>
              </w:rPr>
            </w:pPr>
          </w:p>
        </w:tc>
        <w:tc>
          <w:tcPr>
            <w:tcW w:w="967" w:type="dxa"/>
          </w:tcPr>
          <w:p w14:paraId="2885F2F1">
            <w:pPr>
              <w:rPr>
                <w:rFonts w:hint="eastAsia" w:asciiTheme="minorEastAsia" w:hAnsiTheme="minorEastAsia" w:eastAsiaTheme="minorEastAsia" w:cstheme="minorEastAsia"/>
                <w:color w:val="000000" w:themeColor="text1"/>
                <w:lang w:eastAsia="zh-CN"/>
              </w:rPr>
            </w:pPr>
          </w:p>
        </w:tc>
        <w:tc>
          <w:tcPr>
            <w:tcW w:w="1141" w:type="dxa"/>
          </w:tcPr>
          <w:p w14:paraId="315BB9D8">
            <w:pPr>
              <w:rPr>
                <w:rFonts w:hint="eastAsia" w:asciiTheme="minorEastAsia" w:hAnsiTheme="minorEastAsia" w:eastAsiaTheme="minorEastAsia" w:cstheme="minorEastAsia"/>
                <w:color w:val="000000" w:themeColor="text1"/>
                <w:lang w:eastAsia="zh-CN"/>
              </w:rPr>
            </w:pPr>
          </w:p>
        </w:tc>
      </w:tr>
    </w:tbl>
    <w:p w14:paraId="4E155D93">
      <w:pPr>
        <w:spacing w:before="97" w:line="224" w:lineRule="auto"/>
        <w:ind w:left="16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4"/>
          <w:sz w:val="24"/>
          <w:szCs w:val="24"/>
          <w:lang w:eastAsia="zh-CN"/>
        </w:rPr>
        <w:t>★注意：</w:t>
      </w:r>
    </w:p>
    <w:p w14:paraId="1B735C46">
      <w:pPr>
        <w:spacing w:before="90" w:line="219" w:lineRule="auto"/>
        <w:ind w:left="1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1、本表应按照下列规定填写：</w:t>
      </w:r>
    </w:p>
    <w:p w14:paraId="357359E0">
      <w:pPr>
        <w:spacing w:before="94" w:line="256" w:lineRule="auto"/>
        <w:ind w:left="161" w:right="224" w:firstLine="1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1.1“技术和服务要求</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”项下填写的内容应与招标文件</w:t>
      </w:r>
      <w:r>
        <w:rPr>
          <w:rFonts w:hint="eastAsia" w:asciiTheme="minorEastAsia" w:hAnsiTheme="minorEastAsia" w:eastAsiaTheme="minorEastAsia" w:cstheme="minorEastAsia"/>
          <w:color w:val="000000" w:themeColor="text1"/>
          <w:spacing w:val="-3"/>
          <w:sz w:val="24"/>
          <w:szCs w:val="24"/>
          <w:lang w:eastAsia="zh-CN"/>
        </w:rPr>
        <w:t>第五章“技术和服务要求</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”的内</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容保持一致。</w:t>
      </w:r>
    </w:p>
    <w:p w14:paraId="4760ACC4">
      <w:pPr>
        <w:spacing w:before="95" w:line="268" w:lineRule="auto"/>
        <w:ind w:left="159" w:right="152" w:firstLine="16"/>
        <w:jc w:val="both"/>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pacing w:val="-2"/>
          <w:sz w:val="24"/>
          <w:szCs w:val="24"/>
          <w:lang w:eastAsia="zh-CN"/>
        </w:rPr>
        <w:t>1.2“投标响应</w:t>
      </w:r>
      <w:r>
        <w:rPr>
          <w:rFonts w:hint="eastAsia" w:asciiTheme="minorEastAsia" w:hAnsiTheme="minorEastAsia" w:eastAsiaTheme="minorEastAsia" w:cstheme="minorEastAsia"/>
          <w:b/>
          <w:bCs/>
          <w:color w:val="000000" w:themeColor="text1"/>
          <w:spacing w:val="-89"/>
          <w:sz w:val="24"/>
          <w:szCs w:val="24"/>
          <w:lang w:eastAsia="zh-CN"/>
        </w:rPr>
        <w:t xml:space="preserve"> </w:t>
      </w:r>
      <w:r>
        <w:rPr>
          <w:rFonts w:hint="eastAsia" w:asciiTheme="minorEastAsia" w:hAnsiTheme="minorEastAsia" w:eastAsiaTheme="minorEastAsia" w:cstheme="minorEastAsia"/>
          <w:b/>
          <w:bCs/>
          <w:color w:val="000000" w:themeColor="text1"/>
          <w:spacing w:val="-2"/>
          <w:sz w:val="24"/>
          <w:szCs w:val="24"/>
          <w:lang w:eastAsia="zh-CN"/>
        </w:rPr>
        <w:t>”项下应填写具体的响应内容并与“技</w:t>
      </w:r>
      <w:r>
        <w:rPr>
          <w:rFonts w:hint="eastAsia" w:asciiTheme="minorEastAsia" w:hAnsiTheme="minorEastAsia" w:eastAsiaTheme="minorEastAsia" w:cstheme="minorEastAsia"/>
          <w:b/>
          <w:bCs/>
          <w:color w:val="000000" w:themeColor="text1"/>
          <w:spacing w:val="-3"/>
          <w:sz w:val="24"/>
          <w:szCs w:val="24"/>
          <w:lang w:eastAsia="zh-CN"/>
        </w:rPr>
        <w:t>术和服务要求</w:t>
      </w:r>
      <w:r>
        <w:rPr>
          <w:rFonts w:hint="eastAsia" w:asciiTheme="minorEastAsia" w:hAnsiTheme="minorEastAsia" w:eastAsiaTheme="minorEastAsia" w:cstheme="minorEastAsia"/>
          <w:b/>
          <w:bCs/>
          <w:color w:val="000000" w:themeColor="text1"/>
          <w:spacing w:val="-88"/>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”项下填写的内容</w:t>
      </w:r>
      <w:r>
        <w:rPr>
          <w:rFonts w:hint="eastAsia" w:asciiTheme="minorEastAsia" w:hAnsiTheme="minorEastAsia" w:eastAsiaTheme="minorEastAsia" w:cstheme="minorEastAsia"/>
          <w:b/>
          <w:bCs/>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逐项对应；对“技术和服务要求</w:t>
      </w:r>
      <w:r>
        <w:rPr>
          <w:rFonts w:hint="eastAsia" w:asciiTheme="minorEastAsia" w:hAnsiTheme="minorEastAsia" w:eastAsiaTheme="minorEastAsia" w:cstheme="minorEastAsia"/>
          <w:b/>
          <w:bCs/>
          <w:color w:val="000000" w:themeColor="text1"/>
          <w:spacing w:val="-88"/>
          <w:sz w:val="24"/>
          <w:szCs w:val="24"/>
          <w:lang w:eastAsia="zh-CN"/>
        </w:rPr>
        <w:t xml:space="preserve"> </w:t>
      </w:r>
      <w:r>
        <w:rPr>
          <w:rFonts w:hint="eastAsia" w:asciiTheme="minorEastAsia" w:hAnsiTheme="minorEastAsia" w:eastAsiaTheme="minorEastAsia" w:cstheme="minorEastAsia"/>
          <w:b/>
          <w:bCs/>
          <w:color w:val="000000" w:themeColor="text1"/>
          <w:spacing w:val="-6"/>
          <w:sz w:val="24"/>
          <w:szCs w:val="24"/>
          <w:lang w:eastAsia="zh-CN"/>
        </w:rPr>
        <w:t>”项下涉及</w:t>
      </w:r>
      <w:r>
        <w:rPr>
          <w:rFonts w:hint="eastAsia" w:asciiTheme="minorEastAsia" w:hAnsiTheme="minorEastAsia" w:eastAsiaTheme="minorEastAsia" w:cstheme="minorEastAsia"/>
          <w:b/>
          <w:bCs/>
          <w:color w:val="000000" w:themeColor="text1"/>
          <w:spacing w:val="-7"/>
          <w:sz w:val="24"/>
          <w:szCs w:val="24"/>
          <w:lang w:eastAsia="zh-CN"/>
        </w:rPr>
        <w:t>“</w:t>
      </w:r>
      <w:r>
        <w:rPr>
          <w:rFonts w:hint="eastAsia" w:asciiTheme="minorEastAsia" w:hAnsiTheme="minorEastAsia" w:eastAsiaTheme="minorEastAsia" w:cstheme="minorEastAsia"/>
          <w:b/>
          <w:bCs/>
          <w:color w:val="000000" w:themeColor="text1"/>
          <w:spacing w:val="-87"/>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≥或＞</w:t>
      </w:r>
      <w:r>
        <w:rPr>
          <w:rFonts w:hint="eastAsia" w:asciiTheme="minorEastAsia" w:hAnsiTheme="minorEastAsia" w:eastAsiaTheme="minorEastAsia" w:cstheme="minorEastAsia"/>
          <w:b/>
          <w:bCs/>
          <w:color w:val="000000" w:themeColor="text1"/>
          <w:spacing w:val="-59"/>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”、“≤或＜</w:t>
      </w:r>
      <w:r>
        <w:rPr>
          <w:rFonts w:hint="eastAsia" w:asciiTheme="minorEastAsia" w:hAnsiTheme="minorEastAsia" w:eastAsiaTheme="minorEastAsia" w:cstheme="minorEastAsia"/>
          <w:b/>
          <w:bCs/>
          <w:color w:val="000000" w:themeColor="text1"/>
          <w:spacing w:val="-59"/>
          <w:sz w:val="24"/>
          <w:szCs w:val="24"/>
          <w:lang w:eastAsia="zh-CN"/>
        </w:rPr>
        <w:t xml:space="preserve"> </w:t>
      </w:r>
      <w:r>
        <w:rPr>
          <w:rFonts w:hint="eastAsia" w:asciiTheme="minorEastAsia" w:hAnsiTheme="minorEastAsia" w:eastAsiaTheme="minorEastAsia" w:cstheme="minorEastAsia"/>
          <w:b/>
          <w:bCs/>
          <w:color w:val="000000" w:themeColor="text1"/>
          <w:spacing w:val="-7"/>
          <w:sz w:val="24"/>
          <w:szCs w:val="24"/>
          <w:lang w:eastAsia="zh-CN"/>
        </w:rPr>
        <w:t>”及某个区间值范围</w:t>
      </w:r>
      <w:r>
        <w:rPr>
          <w:rFonts w:hint="eastAsia" w:asciiTheme="minorEastAsia" w:hAnsiTheme="minorEastAsia" w:eastAsiaTheme="minorEastAsia" w:cstheme="minorEastAsia"/>
          <w:b/>
          <w:bCs/>
          <w:color w:val="000000" w:themeColor="text1"/>
          <w:sz w:val="24"/>
          <w:szCs w:val="24"/>
          <w:lang w:eastAsia="zh-CN"/>
        </w:rPr>
        <w:t xml:space="preserve"> </w:t>
      </w:r>
      <w:r>
        <w:rPr>
          <w:rFonts w:hint="eastAsia" w:asciiTheme="minorEastAsia" w:hAnsiTheme="minorEastAsia" w:eastAsiaTheme="minorEastAsia" w:cstheme="minorEastAsia"/>
          <w:b/>
          <w:bCs/>
          <w:color w:val="000000" w:themeColor="text1"/>
          <w:spacing w:val="-1"/>
          <w:sz w:val="24"/>
          <w:szCs w:val="24"/>
          <w:lang w:eastAsia="zh-CN"/>
        </w:rPr>
        <w:t>内的内容，应填写具体的数值。</w:t>
      </w:r>
    </w:p>
    <w:p w14:paraId="25D204F3">
      <w:pPr>
        <w:spacing w:before="96" w:line="219" w:lineRule="auto"/>
        <w:ind w:left="1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1.3“是否偏离及说明</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”项下应按下列规定填写：优于</w:t>
      </w:r>
      <w:r>
        <w:rPr>
          <w:rFonts w:hint="eastAsia" w:asciiTheme="minorEastAsia" w:hAnsiTheme="minorEastAsia" w:eastAsiaTheme="minorEastAsia" w:cstheme="minorEastAsia"/>
          <w:color w:val="000000" w:themeColor="text1"/>
          <w:spacing w:val="-3"/>
          <w:sz w:val="24"/>
          <w:szCs w:val="24"/>
          <w:lang w:eastAsia="zh-CN"/>
        </w:rPr>
        <w:t>的，填写“正偏离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”；符合的，</w:t>
      </w:r>
    </w:p>
    <w:p w14:paraId="19B96614">
      <w:pPr>
        <w:spacing w:before="95" w:line="256" w:lineRule="auto"/>
        <w:ind w:left="159" w:right="15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填写“无偏离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”；低于的，填写“负偏离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”。没有明确应答的</w:t>
      </w:r>
      <w:r>
        <w:rPr>
          <w:rFonts w:hint="eastAsia" w:asciiTheme="minorEastAsia" w:hAnsiTheme="minorEastAsia" w:eastAsiaTheme="minorEastAsia" w:cstheme="minorEastAsia"/>
          <w:color w:val="000000" w:themeColor="text1"/>
          <w:spacing w:val="-4"/>
          <w:sz w:val="24"/>
          <w:szCs w:val="24"/>
          <w:lang w:eastAsia="zh-CN"/>
        </w:rPr>
        <w:t>，视为完全接受招标文件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要求。</w:t>
      </w:r>
    </w:p>
    <w:p w14:paraId="45706C39">
      <w:pPr>
        <w:spacing w:before="94" w:line="256" w:lineRule="auto"/>
        <w:ind w:left="165" w:right="283" w:hanging="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2、投标人需要说明的内容若需特殊表达，应先在本表中进行相应说明，再另页应答</w:t>
      </w:r>
      <w:r>
        <w:rPr>
          <w:rFonts w:hint="eastAsia" w:asciiTheme="minorEastAsia" w:hAnsiTheme="minorEastAsia" w:eastAsiaTheme="minorEastAsia" w:cstheme="minorEastAsia"/>
          <w:color w:val="000000" w:themeColor="text1"/>
          <w:spacing w:val="-4"/>
          <w:sz w:val="24"/>
          <w:szCs w:val="24"/>
          <w:lang w:eastAsia="zh-CN"/>
        </w:rPr>
        <w:t>。</w:t>
      </w:r>
    </w:p>
    <w:p w14:paraId="0E1A2B02">
      <w:pPr>
        <w:spacing w:before="93" w:line="219" w:lineRule="auto"/>
        <w:ind w:left="16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3、投标文件正本中的本表应为原件。</w:t>
      </w:r>
    </w:p>
    <w:p w14:paraId="36B2C397">
      <w:pPr>
        <w:pStyle w:val="8"/>
        <w:spacing w:line="257" w:lineRule="auto"/>
        <w:rPr>
          <w:rFonts w:hint="eastAsia" w:asciiTheme="minorEastAsia" w:hAnsiTheme="minorEastAsia" w:eastAsiaTheme="minorEastAsia" w:cstheme="minorEastAsia"/>
          <w:color w:val="000000" w:themeColor="text1"/>
          <w:lang w:eastAsia="zh-CN"/>
        </w:rPr>
      </w:pPr>
    </w:p>
    <w:p w14:paraId="44B73DBF">
      <w:pPr>
        <w:pStyle w:val="8"/>
        <w:spacing w:line="257" w:lineRule="auto"/>
        <w:rPr>
          <w:rFonts w:hint="eastAsia" w:asciiTheme="minorEastAsia" w:hAnsiTheme="minorEastAsia" w:eastAsiaTheme="minorEastAsia" w:cstheme="minorEastAsia"/>
          <w:color w:val="000000" w:themeColor="text1"/>
          <w:lang w:eastAsia="zh-CN"/>
        </w:rPr>
      </w:pPr>
    </w:p>
    <w:p w14:paraId="65B0B16D">
      <w:pPr>
        <w:pStyle w:val="8"/>
        <w:spacing w:line="258" w:lineRule="auto"/>
        <w:rPr>
          <w:rFonts w:hint="eastAsia" w:asciiTheme="minorEastAsia" w:hAnsiTheme="minorEastAsia" w:eastAsiaTheme="minorEastAsia" w:cstheme="minorEastAsia"/>
          <w:color w:val="000000" w:themeColor="text1"/>
          <w:lang w:eastAsia="zh-CN"/>
        </w:rPr>
      </w:pPr>
    </w:p>
    <w:p w14:paraId="3BADC29D">
      <w:pPr>
        <w:spacing w:before="79" w:line="219" w:lineRule="auto"/>
        <w:ind w:left="1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1D6985D3">
      <w:pPr>
        <w:spacing w:before="97" w:line="219" w:lineRule="auto"/>
        <w:ind w:left="1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2CB77120">
      <w:pPr>
        <w:spacing w:before="95" w:line="219" w:lineRule="auto"/>
        <w:ind w:left="1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77D13255">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7" w:type="default"/>
          <w:pgSz w:w="11906" w:h="16839"/>
          <w:pgMar w:top="1431" w:right="1265" w:bottom="1260" w:left="1267" w:header="0" w:footer="1013" w:gutter="0"/>
          <w:pgNumType w:fmt="decimal"/>
          <w:cols w:space="720" w:num="1"/>
        </w:sectPr>
      </w:pPr>
    </w:p>
    <w:p w14:paraId="022A4686">
      <w:pPr>
        <w:spacing w:before="108" w:line="219" w:lineRule="auto"/>
        <w:ind w:left="367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4"/>
          <w:sz w:val="24"/>
          <w:szCs w:val="24"/>
          <w:lang w:eastAsia="zh-CN"/>
        </w:rPr>
        <w:t>3、商务条件响应表</w:t>
      </w:r>
    </w:p>
    <w:p w14:paraId="3CE6D2B6">
      <w:pPr>
        <w:pStyle w:val="8"/>
        <w:spacing w:line="392" w:lineRule="auto"/>
        <w:rPr>
          <w:rFonts w:hint="eastAsia" w:asciiTheme="minorEastAsia" w:hAnsiTheme="minorEastAsia" w:eastAsiaTheme="minorEastAsia" w:cstheme="minorEastAsia"/>
          <w:color w:val="000000" w:themeColor="text1"/>
          <w:lang w:eastAsia="zh-CN"/>
        </w:rPr>
      </w:pPr>
    </w:p>
    <w:p w14:paraId="535D288A">
      <w:pPr>
        <w:spacing w:before="78" w:line="217" w:lineRule="auto"/>
        <w:ind w:left="15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招标编号：</w:t>
      </w:r>
      <w:r>
        <w:rPr>
          <w:rFonts w:hint="eastAsia" w:asciiTheme="minorEastAsia" w:hAnsiTheme="minorEastAsia" w:eastAsiaTheme="minorEastAsia" w:cstheme="minorEastAsia"/>
          <w:color w:val="000000" w:themeColor="text1"/>
          <w:sz w:val="24"/>
          <w:szCs w:val="24"/>
          <w:u w:val="single"/>
          <w:lang w:eastAsia="zh-CN"/>
        </w:rPr>
        <w:t xml:space="preserve">                                      </w:t>
      </w:r>
    </w:p>
    <w:tbl>
      <w:tblPr>
        <w:tblStyle w:val="24"/>
        <w:tblW w:w="8506"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95"/>
        <w:gridCol w:w="709"/>
        <w:gridCol w:w="2195"/>
        <w:gridCol w:w="1871"/>
        <w:gridCol w:w="1375"/>
        <w:gridCol w:w="1361"/>
      </w:tblGrid>
      <w:tr w14:paraId="27C164F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71" w:hRule="atLeast"/>
        </w:trPr>
        <w:tc>
          <w:tcPr>
            <w:tcW w:w="995" w:type="dxa"/>
          </w:tcPr>
          <w:p w14:paraId="22433040">
            <w:pPr>
              <w:spacing w:line="245" w:lineRule="auto"/>
              <w:rPr>
                <w:rFonts w:hint="eastAsia" w:asciiTheme="minorEastAsia" w:hAnsiTheme="minorEastAsia" w:eastAsiaTheme="minorEastAsia" w:cstheme="minorEastAsia"/>
                <w:color w:val="000000" w:themeColor="text1"/>
                <w:lang w:eastAsia="zh-CN"/>
              </w:rPr>
            </w:pPr>
          </w:p>
          <w:p w14:paraId="3ECFA6C3">
            <w:pPr>
              <w:pStyle w:val="25"/>
              <w:spacing w:line="226" w:lineRule="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5"/>
                <w:position w:val="10"/>
                <w:lang w:eastAsia="zh-CN"/>
              </w:rPr>
              <w:t>合同包</w:t>
            </w:r>
          </w:p>
        </w:tc>
        <w:tc>
          <w:tcPr>
            <w:tcW w:w="709" w:type="dxa"/>
            <w:textDirection w:val="tbRlV"/>
          </w:tcPr>
          <w:p w14:paraId="6F1A9FD8">
            <w:pPr>
              <w:pStyle w:val="25"/>
              <w:spacing w:before="199" w:line="210" w:lineRule="auto"/>
              <w:ind w:left="324"/>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1"/>
              </w:rPr>
              <w:t>序</w:t>
            </w:r>
            <w:r>
              <w:rPr>
                <w:rFonts w:hint="eastAsia" w:asciiTheme="minorEastAsia" w:hAnsiTheme="minorEastAsia" w:eastAsiaTheme="minorEastAsia" w:cstheme="minorEastAsia"/>
                <w:color w:val="000000" w:themeColor="text1"/>
                <w:spacing w:val="20"/>
              </w:rPr>
              <w:t xml:space="preserve"> </w:t>
            </w:r>
            <w:r>
              <w:rPr>
                <w:rFonts w:hint="eastAsia" w:asciiTheme="minorEastAsia" w:hAnsiTheme="minorEastAsia" w:eastAsiaTheme="minorEastAsia" w:cstheme="minorEastAsia"/>
                <w:color w:val="000000" w:themeColor="text1"/>
                <w:spacing w:val="-1"/>
              </w:rPr>
              <w:t>号</w:t>
            </w:r>
          </w:p>
        </w:tc>
        <w:tc>
          <w:tcPr>
            <w:tcW w:w="2195" w:type="dxa"/>
          </w:tcPr>
          <w:p w14:paraId="5333811D">
            <w:pPr>
              <w:spacing w:line="433" w:lineRule="auto"/>
              <w:rPr>
                <w:rFonts w:hint="eastAsia" w:asciiTheme="minorEastAsia" w:hAnsiTheme="minorEastAsia" w:eastAsiaTheme="minorEastAsia" w:cstheme="minorEastAsia"/>
                <w:color w:val="000000" w:themeColor="text1"/>
              </w:rPr>
            </w:pPr>
          </w:p>
          <w:p w14:paraId="00F28C33">
            <w:pPr>
              <w:pStyle w:val="25"/>
              <w:spacing w:before="79" w:line="219" w:lineRule="auto"/>
              <w:ind w:left="663"/>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商务条件</w:t>
            </w:r>
          </w:p>
        </w:tc>
        <w:tc>
          <w:tcPr>
            <w:tcW w:w="1871" w:type="dxa"/>
          </w:tcPr>
          <w:p w14:paraId="61F57B86">
            <w:pPr>
              <w:spacing w:line="433" w:lineRule="auto"/>
              <w:rPr>
                <w:rFonts w:hint="eastAsia" w:asciiTheme="minorEastAsia" w:hAnsiTheme="minorEastAsia" w:eastAsiaTheme="minorEastAsia" w:cstheme="minorEastAsia"/>
                <w:color w:val="000000" w:themeColor="text1"/>
              </w:rPr>
            </w:pPr>
          </w:p>
          <w:p w14:paraId="09D999F2">
            <w:pPr>
              <w:pStyle w:val="25"/>
              <w:spacing w:before="78" w:line="220" w:lineRule="auto"/>
              <w:ind w:left="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投标响应</w:t>
            </w:r>
          </w:p>
        </w:tc>
        <w:tc>
          <w:tcPr>
            <w:tcW w:w="1375" w:type="dxa"/>
          </w:tcPr>
          <w:p w14:paraId="1A1F9C60">
            <w:pPr>
              <w:spacing w:line="243" w:lineRule="auto"/>
              <w:rPr>
                <w:rFonts w:hint="eastAsia" w:asciiTheme="minorEastAsia" w:hAnsiTheme="minorEastAsia" w:eastAsiaTheme="minorEastAsia" w:cstheme="minorEastAsia"/>
                <w:color w:val="000000" w:themeColor="text1"/>
              </w:rPr>
            </w:pPr>
          </w:p>
          <w:p w14:paraId="58D22F99">
            <w:pPr>
              <w:pStyle w:val="25"/>
              <w:spacing w:before="78" w:line="256" w:lineRule="auto"/>
              <w:ind w:left="336" w:right="192" w:hanging="115"/>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pacing w:val="-4"/>
              </w:rPr>
              <w:t>是否偏离</w:t>
            </w:r>
            <w:r>
              <w:rPr>
                <w:rFonts w:hint="eastAsia" w:asciiTheme="minorEastAsia" w:hAnsiTheme="minorEastAsia" w:eastAsiaTheme="minorEastAsia" w:cstheme="minorEastAsia"/>
                <w:color w:val="000000" w:themeColor="text1"/>
                <w:spacing w:val="1"/>
              </w:rPr>
              <w:t xml:space="preserve"> </w:t>
            </w:r>
            <w:r>
              <w:rPr>
                <w:rFonts w:hint="eastAsia" w:asciiTheme="minorEastAsia" w:hAnsiTheme="minorEastAsia" w:eastAsiaTheme="minorEastAsia" w:cstheme="minorEastAsia"/>
                <w:color w:val="000000" w:themeColor="text1"/>
                <w:spacing w:val="-3"/>
              </w:rPr>
              <w:t>及说明</w:t>
            </w:r>
          </w:p>
        </w:tc>
        <w:tc>
          <w:tcPr>
            <w:tcW w:w="1361" w:type="dxa"/>
          </w:tcPr>
          <w:p w14:paraId="3022617D">
            <w:pPr>
              <w:pStyle w:val="25"/>
              <w:spacing w:before="131" w:line="264" w:lineRule="auto"/>
              <w:ind w:left="220" w:right="192" w:hanging="18"/>
              <w:jc w:val="both"/>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spacing w:val="-3"/>
                <w:lang w:eastAsia="zh-CN"/>
              </w:rPr>
              <w:t>相应材料</w:t>
            </w:r>
            <w:r>
              <w:rPr>
                <w:rFonts w:hint="eastAsia" w:asciiTheme="minorEastAsia" w:hAnsiTheme="minorEastAsia" w:eastAsiaTheme="minorEastAsia" w:cstheme="minorEastAsia"/>
                <w:color w:val="000000" w:themeColor="text1"/>
                <w:spacing w:val="1"/>
                <w:lang w:eastAsia="zh-CN"/>
              </w:rPr>
              <w:t xml:space="preserve"> </w:t>
            </w:r>
            <w:r>
              <w:rPr>
                <w:rFonts w:hint="eastAsia" w:asciiTheme="minorEastAsia" w:hAnsiTheme="minorEastAsia" w:eastAsiaTheme="minorEastAsia" w:cstheme="minorEastAsia"/>
                <w:color w:val="000000" w:themeColor="text1"/>
                <w:spacing w:val="-8"/>
                <w:lang w:eastAsia="zh-CN"/>
              </w:rPr>
              <w:t>附件页码</w:t>
            </w:r>
            <w:r>
              <w:rPr>
                <w:rFonts w:hint="eastAsia" w:asciiTheme="minorEastAsia" w:hAnsiTheme="minorEastAsia" w:eastAsiaTheme="minorEastAsia" w:cstheme="minorEastAsia"/>
                <w:color w:val="000000" w:themeColor="text1"/>
                <w:spacing w:val="2"/>
                <w:lang w:eastAsia="zh-CN"/>
              </w:rPr>
              <w:t xml:space="preserve"> </w:t>
            </w:r>
            <w:r>
              <w:rPr>
                <w:rFonts w:hint="eastAsia" w:asciiTheme="minorEastAsia" w:hAnsiTheme="minorEastAsia" w:eastAsiaTheme="minorEastAsia" w:cstheme="minorEastAsia"/>
                <w:color w:val="000000" w:themeColor="text1"/>
                <w:spacing w:val="30"/>
                <w:lang w:eastAsia="zh-CN"/>
              </w:rPr>
              <w:t>（如有</w:t>
            </w:r>
          </w:p>
        </w:tc>
      </w:tr>
      <w:tr w14:paraId="48532BB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995" w:type="dxa"/>
            <w:vMerge w:val="restart"/>
            <w:tcBorders>
              <w:bottom w:val="nil"/>
            </w:tcBorders>
          </w:tcPr>
          <w:p w14:paraId="3EF35E2C">
            <w:pPr>
              <w:spacing w:line="280" w:lineRule="auto"/>
              <w:rPr>
                <w:rFonts w:hint="eastAsia" w:asciiTheme="minorEastAsia" w:hAnsiTheme="minorEastAsia" w:eastAsiaTheme="minorEastAsia" w:cstheme="minorEastAsia"/>
                <w:color w:val="000000" w:themeColor="text1"/>
                <w:lang w:eastAsia="zh-CN"/>
              </w:rPr>
            </w:pPr>
          </w:p>
          <w:p w14:paraId="306D1A27">
            <w:pPr>
              <w:pStyle w:val="25"/>
              <w:spacing w:before="78" w:line="335" w:lineRule="exact"/>
              <w:ind w:left="442"/>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position w:val="1"/>
              </w:rPr>
              <w:t>*</w:t>
            </w:r>
          </w:p>
        </w:tc>
        <w:tc>
          <w:tcPr>
            <w:tcW w:w="709" w:type="dxa"/>
          </w:tcPr>
          <w:p w14:paraId="748285B4">
            <w:pPr>
              <w:rPr>
                <w:rFonts w:hint="eastAsia" w:asciiTheme="minorEastAsia" w:hAnsiTheme="minorEastAsia" w:eastAsiaTheme="minorEastAsia" w:cstheme="minorEastAsia"/>
                <w:color w:val="000000" w:themeColor="text1"/>
              </w:rPr>
            </w:pPr>
          </w:p>
        </w:tc>
        <w:tc>
          <w:tcPr>
            <w:tcW w:w="2195" w:type="dxa"/>
          </w:tcPr>
          <w:p w14:paraId="7618EE94">
            <w:pPr>
              <w:rPr>
                <w:rFonts w:hint="eastAsia" w:asciiTheme="minorEastAsia" w:hAnsiTheme="minorEastAsia" w:eastAsiaTheme="minorEastAsia" w:cstheme="minorEastAsia"/>
                <w:color w:val="000000" w:themeColor="text1"/>
              </w:rPr>
            </w:pPr>
          </w:p>
        </w:tc>
        <w:tc>
          <w:tcPr>
            <w:tcW w:w="1871" w:type="dxa"/>
          </w:tcPr>
          <w:p w14:paraId="2E4D7149">
            <w:pPr>
              <w:rPr>
                <w:rFonts w:hint="eastAsia" w:asciiTheme="minorEastAsia" w:hAnsiTheme="minorEastAsia" w:eastAsiaTheme="minorEastAsia" w:cstheme="minorEastAsia"/>
                <w:color w:val="000000" w:themeColor="text1"/>
              </w:rPr>
            </w:pPr>
          </w:p>
        </w:tc>
        <w:tc>
          <w:tcPr>
            <w:tcW w:w="1375" w:type="dxa"/>
          </w:tcPr>
          <w:p w14:paraId="72C4F930">
            <w:pPr>
              <w:rPr>
                <w:rFonts w:hint="eastAsia" w:asciiTheme="minorEastAsia" w:hAnsiTheme="minorEastAsia" w:eastAsiaTheme="minorEastAsia" w:cstheme="minorEastAsia"/>
                <w:color w:val="000000" w:themeColor="text1"/>
              </w:rPr>
            </w:pPr>
          </w:p>
        </w:tc>
        <w:tc>
          <w:tcPr>
            <w:tcW w:w="1361" w:type="dxa"/>
          </w:tcPr>
          <w:p w14:paraId="678A98DF">
            <w:pPr>
              <w:rPr>
                <w:rFonts w:hint="eastAsia" w:asciiTheme="minorEastAsia" w:hAnsiTheme="minorEastAsia" w:eastAsiaTheme="minorEastAsia" w:cstheme="minorEastAsia"/>
                <w:color w:val="000000" w:themeColor="text1"/>
              </w:rPr>
            </w:pPr>
          </w:p>
        </w:tc>
      </w:tr>
      <w:tr w14:paraId="6974862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6" w:hRule="atLeast"/>
        </w:trPr>
        <w:tc>
          <w:tcPr>
            <w:tcW w:w="995" w:type="dxa"/>
            <w:vMerge w:val="continue"/>
            <w:tcBorders>
              <w:top w:val="nil"/>
            </w:tcBorders>
          </w:tcPr>
          <w:p w14:paraId="231BD4EC">
            <w:pPr>
              <w:rPr>
                <w:rFonts w:hint="eastAsia" w:asciiTheme="minorEastAsia" w:hAnsiTheme="minorEastAsia" w:eastAsiaTheme="minorEastAsia" w:cstheme="minorEastAsia"/>
                <w:color w:val="000000" w:themeColor="text1"/>
              </w:rPr>
            </w:pPr>
          </w:p>
        </w:tc>
        <w:tc>
          <w:tcPr>
            <w:tcW w:w="709" w:type="dxa"/>
          </w:tcPr>
          <w:p w14:paraId="408FE4DB">
            <w:pPr>
              <w:rPr>
                <w:rFonts w:hint="eastAsia" w:asciiTheme="minorEastAsia" w:hAnsiTheme="minorEastAsia" w:eastAsiaTheme="minorEastAsia" w:cstheme="minorEastAsia"/>
                <w:color w:val="000000" w:themeColor="text1"/>
              </w:rPr>
            </w:pPr>
          </w:p>
        </w:tc>
        <w:tc>
          <w:tcPr>
            <w:tcW w:w="2195" w:type="dxa"/>
          </w:tcPr>
          <w:p w14:paraId="53DF5B86">
            <w:pPr>
              <w:rPr>
                <w:rFonts w:hint="eastAsia" w:asciiTheme="minorEastAsia" w:hAnsiTheme="minorEastAsia" w:eastAsiaTheme="minorEastAsia" w:cstheme="minorEastAsia"/>
                <w:color w:val="000000" w:themeColor="text1"/>
              </w:rPr>
            </w:pPr>
          </w:p>
        </w:tc>
        <w:tc>
          <w:tcPr>
            <w:tcW w:w="1871" w:type="dxa"/>
          </w:tcPr>
          <w:p w14:paraId="6B834132">
            <w:pPr>
              <w:rPr>
                <w:rFonts w:hint="eastAsia" w:asciiTheme="minorEastAsia" w:hAnsiTheme="minorEastAsia" w:eastAsiaTheme="minorEastAsia" w:cstheme="minorEastAsia"/>
                <w:color w:val="000000" w:themeColor="text1"/>
              </w:rPr>
            </w:pPr>
          </w:p>
        </w:tc>
        <w:tc>
          <w:tcPr>
            <w:tcW w:w="1375" w:type="dxa"/>
          </w:tcPr>
          <w:p w14:paraId="70321E55">
            <w:pPr>
              <w:rPr>
                <w:rFonts w:hint="eastAsia" w:asciiTheme="minorEastAsia" w:hAnsiTheme="minorEastAsia" w:eastAsiaTheme="minorEastAsia" w:cstheme="minorEastAsia"/>
                <w:color w:val="000000" w:themeColor="text1"/>
              </w:rPr>
            </w:pPr>
          </w:p>
        </w:tc>
        <w:tc>
          <w:tcPr>
            <w:tcW w:w="1361" w:type="dxa"/>
          </w:tcPr>
          <w:p w14:paraId="73AA82BB">
            <w:pPr>
              <w:rPr>
                <w:rFonts w:hint="eastAsia" w:asciiTheme="minorEastAsia" w:hAnsiTheme="minorEastAsia" w:eastAsiaTheme="minorEastAsia" w:cstheme="minorEastAsia"/>
                <w:color w:val="000000" w:themeColor="text1"/>
              </w:rPr>
            </w:pPr>
          </w:p>
        </w:tc>
      </w:tr>
    </w:tbl>
    <w:p w14:paraId="15EAE199">
      <w:pPr>
        <w:spacing w:before="98" w:line="224" w:lineRule="auto"/>
        <w:ind w:left="162"/>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4"/>
          <w:sz w:val="24"/>
          <w:szCs w:val="24"/>
        </w:rPr>
        <w:t>★注意：</w:t>
      </w:r>
    </w:p>
    <w:p w14:paraId="315E0345">
      <w:pPr>
        <w:spacing w:before="87" w:line="219" w:lineRule="auto"/>
        <w:ind w:left="1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1、本表应按照下列规定填写：</w:t>
      </w:r>
    </w:p>
    <w:p w14:paraId="3B68EBA0">
      <w:pPr>
        <w:spacing w:before="97" w:line="219" w:lineRule="auto"/>
        <w:ind w:left="1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1.1“商务条件</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”项下填写的内容应与招标文件第五章</w:t>
      </w:r>
      <w:r>
        <w:rPr>
          <w:rFonts w:hint="eastAsia" w:asciiTheme="minorEastAsia" w:hAnsiTheme="minorEastAsia" w:eastAsiaTheme="minorEastAsia" w:cstheme="minorEastAsia"/>
          <w:color w:val="000000" w:themeColor="text1"/>
          <w:spacing w:val="-3"/>
          <w:sz w:val="24"/>
          <w:szCs w:val="24"/>
          <w:lang w:eastAsia="zh-CN"/>
        </w:rPr>
        <w:t>“商务条件</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”的内容保持一致。</w:t>
      </w:r>
    </w:p>
    <w:p w14:paraId="6E2C16F6">
      <w:pPr>
        <w:spacing w:before="96" w:line="268" w:lineRule="auto"/>
        <w:ind w:left="158" w:right="152" w:firstLine="17"/>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1.2“投标响应</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”项下应填写具体的响应内容并与“商</w:t>
      </w:r>
      <w:r>
        <w:rPr>
          <w:rFonts w:hint="eastAsia" w:asciiTheme="minorEastAsia" w:hAnsiTheme="minorEastAsia" w:eastAsiaTheme="minorEastAsia" w:cstheme="minorEastAsia"/>
          <w:color w:val="000000" w:themeColor="text1"/>
          <w:spacing w:val="-3"/>
          <w:sz w:val="24"/>
          <w:szCs w:val="24"/>
          <w:lang w:eastAsia="zh-CN"/>
        </w:rPr>
        <w:t>务条件</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”项下填写的内容逐项对</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应；对“商务条件</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”项下涉及“</w:t>
      </w:r>
      <w:r>
        <w:rPr>
          <w:rFonts w:hint="eastAsia" w:asciiTheme="minorEastAsia" w:hAnsiTheme="minorEastAsia" w:eastAsiaTheme="minorEastAsia" w:cstheme="minorEastAsia"/>
          <w:color w:val="000000" w:themeColor="text1"/>
          <w:spacing w:val="-90"/>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≥或＞</w:t>
      </w:r>
      <w:r>
        <w:rPr>
          <w:rFonts w:hint="eastAsia" w:asciiTheme="minorEastAsia" w:hAnsiTheme="minorEastAsia" w:eastAsiaTheme="minorEastAsia" w:cstheme="minorEastAsia"/>
          <w:color w:val="000000" w:themeColor="text1"/>
          <w:spacing w:val="-59"/>
          <w:sz w:val="24"/>
          <w:szCs w:val="24"/>
          <w:lang w:eastAsia="zh-CN"/>
        </w:rPr>
        <w:t xml:space="preserve"> </w:t>
      </w:r>
      <w:r>
        <w:rPr>
          <w:rFonts w:hint="eastAsia" w:asciiTheme="minorEastAsia" w:hAnsiTheme="minorEastAsia" w:eastAsiaTheme="minorEastAsia" w:cstheme="minorEastAsia"/>
          <w:color w:val="000000" w:themeColor="text1"/>
          <w:spacing w:val="-6"/>
          <w:sz w:val="24"/>
          <w:szCs w:val="24"/>
          <w:lang w:eastAsia="zh-CN"/>
        </w:rPr>
        <w:t>”、“≤或＜</w:t>
      </w:r>
      <w:r>
        <w:rPr>
          <w:rFonts w:hint="eastAsia" w:asciiTheme="minorEastAsia" w:hAnsiTheme="minorEastAsia" w:eastAsiaTheme="minorEastAsia" w:cstheme="minorEastAsia"/>
          <w:color w:val="000000" w:themeColor="text1"/>
          <w:spacing w:val="-59"/>
          <w:sz w:val="24"/>
          <w:szCs w:val="24"/>
          <w:lang w:eastAsia="zh-CN"/>
        </w:rPr>
        <w:t xml:space="preserve"> </w:t>
      </w:r>
      <w:r>
        <w:rPr>
          <w:rFonts w:hint="eastAsia" w:asciiTheme="minorEastAsia" w:hAnsiTheme="minorEastAsia" w:eastAsiaTheme="minorEastAsia" w:cstheme="minorEastAsia"/>
          <w:color w:val="000000" w:themeColor="text1"/>
          <w:spacing w:val="-7"/>
          <w:sz w:val="24"/>
          <w:szCs w:val="24"/>
          <w:lang w:eastAsia="zh-CN"/>
        </w:rPr>
        <w:t>”及某个区间值范围内的内容，应</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填写具体的数值。</w:t>
      </w:r>
    </w:p>
    <w:p w14:paraId="567F4055">
      <w:pPr>
        <w:spacing w:before="95" w:line="219" w:lineRule="auto"/>
        <w:ind w:left="17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1.3“是否偏离及说明</w:t>
      </w:r>
      <w:r>
        <w:rPr>
          <w:rFonts w:hint="eastAsia" w:asciiTheme="minorEastAsia" w:hAnsiTheme="minorEastAsia" w:eastAsiaTheme="minorEastAsia" w:cstheme="minorEastAsia"/>
          <w:color w:val="000000" w:themeColor="text1"/>
          <w:spacing w:val="-89"/>
          <w:sz w:val="24"/>
          <w:szCs w:val="24"/>
          <w:lang w:eastAsia="zh-CN"/>
        </w:rPr>
        <w:t xml:space="preserve"> </w:t>
      </w:r>
      <w:r>
        <w:rPr>
          <w:rFonts w:hint="eastAsia" w:asciiTheme="minorEastAsia" w:hAnsiTheme="minorEastAsia" w:eastAsiaTheme="minorEastAsia" w:cstheme="minorEastAsia"/>
          <w:color w:val="000000" w:themeColor="text1"/>
          <w:spacing w:val="-2"/>
          <w:sz w:val="24"/>
          <w:szCs w:val="24"/>
          <w:lang w:eastAsia="zh-CN"/>
        </w:rPr>
        <w:t>”项下应按下列规定填写：优于</w:t>
      </w:r>
      <w:r>
        <w:rPr>
          <w:rFonts w:hint="eastAsia" w:asciiTheme="minorEastAsia" w:hAnsiTheme="minorEastAsia" w:eastAsiaTheme="minorEastAsia" w:cstheme="minorEastAsia"/>
          <w:color w:val="000000" w:themeColor="text1"/>
          <w:spacing w:val="-3"/>
          <w:sz w:val="24"/>
          <w:szCs w:val="24"/>
          <w:lang w:eastAsia="zh-CN"/>
        </w:rPr>
        <w:t>的，填写“正偏离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”；符合的，</w:t>
      </w:r>
    </w:p>
    <w:p w14:paraId="7E759814">
      <w:pPr>
        <w:spacing w:before="94" w:line="257" w:lineRule="auto"/>
        <w:ind w:left="159" w:right="15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填写“无偏离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”；低于的，填写“负偏离</w:t>
      </w:r>
      <w:r>
        <w:rPr>
          <w:rFonts w:hint="eastAsia" w:asciiTheme="minorEastAsia" w:hAnsiTheme="minorEastAsia" w:eastAsiaTheme="minorEastAsia" w:cstheme="minorEastAsia"/>
          <w:color w:val="000000" w:themeColor="text1"/>
          <w:spacing w:val="-88"/>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”。没有明确应答的</w:t>
      </w:r>
      <w:r>
        <w:rPr>
          <w:rFonts w:hint="eastAsia" w:asciiTheme="minorEastAsia" w:hAnsiTheme="minorEastAsia" w:eastAsiaTheme="minorEastAsia" w:cstheme="minorEastAsia"/>
          <w:color w:val="000000" w:themeColor="text1"/>
          <w:spacing w:val="-4"/>
          <w:sz w:val="24"/>
          <w:szCs w:val="24"/>
          <w:lang w:eastAsia="zh-CN"/>
        </w:rPr>
        <w:t>，视为完全接受招标文件</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4"/>
          <w:sz w:val="24"/>
          <w:szCs w:val="24"/>
          <w:lang w:eastAsia="zh-CN"/>
        </w:rPr>
        <w:t>要求。</w:t>
      </w:r>
    </w:p>
    <w:p w14:paraId="5E7AC9E1">
      <w:pPr>
        <w:spacing w:before="92" w:line="256" w:lineRule="auto"/>
        <w:ind w:left="165" w:right="283" w:hanging="4"/>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2、投标人需要说明的内容若需特殊表达，应先在本表中进行相应说明，再另页应答</w:t>
      </w:r>
      <w:r>
        <w:rPr>
          <w:rFonts w:hint="eastAsia" w:asciiTheme="minorEastAsia" w:hAnsiTheme="minorEastAsia" w:eastAsiaTheme="minorEastAsia" w:cstheme="minorEastAsia"/>
          <w:color w:val="000000" w:themeColor="text1"/>
          <w:spacing w:val="-4"/>
          <w:sz w:val="24"/>
          <w:szCs w:val="24"/>
          <w:lang w:eastAsia="zh-CN"/>
        </w:rPr>
        <w:t>。</w:t>
      </w:r>
    </w:p>
    <w:p w14:paraId="487A5D31">
      <w:pPr>
        <w:spacing w:before="95" w:line="219" w:lineRule="auto"/>
        <w:ind w:left="16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3、投标文件正本中的本表应为原件。</w:t>
      </w:r>
    </w:p>
    <w:p w14:paraId="4463E590">
      <w:pPr>
        <w:pStyle w:val="8"/>
        <w:spacing w:line="257" w:lineRule="auto"/>
        <w:rPr>
          <w:rFonts w:hint="eastAsia" w:asciiTheme="minorEastAsia" w:hAnsiTheme="minorEastAsia" w:eastAsiaTheme="minorEastAsia" w:cstheme="minorEastAsia"/>
          <w:color w:val="000000" w:themeColor="text1"/>
          <w:lang w:eastAsia="zh-CN"/>
        </w:rPr>
      </w:pPr>
    </w:p>
    <w:p w14:paraId="1E5E4FD6">
      <w:pPr>
        <w:pStyle w:val="8"/>
        <w:spacing w:line="257" w:lineRule="auto"/>
        <w:rPr>
          <w:rFonts w:hint="eastAsia" w:asciiTheme="minorEastAsia" w:hAnsiTheme="minorEastAsia" w:eastAsiaTheme="minorEastAsia" w:cstheme="minorEastAsia"/>
          <w:color w:val="000000" w:themeColor="text1"/>
          <w:lang w:eastAsia="zh-CN"/>
        </w:rPr>
      </w:pPr>
    </w:p>
    <w:p w14:paraId="1B030A05">
      <w:pPr>
        <w:pStyle w:val="8"/>
        <w:spacing w:line="258" w:lineRule="auto"/>
        <w:rPr>
          <w:rFonts w:hint="eastAsia" w:asciiTheme="minorEastAsia" w:hAnsiTheme="minorEastAsia" w:eastAsiaTheme="minorEastAsia" w:cstheme="minorEastAsia"/>
          <w:color w:val="000000" w:themeColor="text1"/>
          <w:lang w:eastAsia="zh-CN"/>
        </w:rPr>
      </w:pPr>
    </w:p>
    <w:p w14:paraId="7611B696">
      <w:pPr>
        <w:spacing w:before="78" w:line="219" w:lineRule="auto"/>
        <w:ind w:left="1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投标人</w:t>
      </w:r>
      <w:r>
        <w:rPr>
          <w:rFonts w:hint="eastAsia" w:asciiTheme="minorEastAsia" w:hAnsiTheme="minorEastAsia" w:eastAsiaTheme="minorEastAsia" w:cstheme="minorEastAsia"/>
          <w:color w:val="000000" w:themeColor="text1"/>
          <w:spacing w:val="-14"/>
          <w:sz w:val="24"/>
          <w:szCs w:val="24"/>
          <w:lang w:eastAsia="zh-CN"/>
        </w:rPr>
        <w:t>：</w:t>
      </w:r>
      <w:r>
        <w:rPr>
          <w:rFonts w:hint="eastAsia" w:asciiTheme="minorEastAsia" w:hAnsiTheme="minorEastAsia" w:eastAsiaTheme="minorEastAsia" w:cstheme="minorEastAsia"/>
          <w:color w:val="000000" w:themeColor="text1"/>
          <w:spacing w:val="-14"/>
          <w:sz w:val="24"/>
          <w:szCs w:val="24"/>
          <w:u w:val="single"/>
          <w:lang w:eastAsia="zh-CN"/>
        </w:rPr>
        <w:t>（</w:t>
      </w:r>
      <w:r>
        <w:rPr>
          <w:rFonts w:hint="eastAsia" w:asciiTheme="minorEastAsia" w:hAnsiTheme="minorEastAsia" w:eastAsiaTheme="minorEastAsia" w:cstheme="minorEastAsia"/>
          <w:color w:val="000000" w:themeColor="text1"/>
          <w:spacing w:val="1"/>
          <w:sz w:val="24"/>
          <w:szCs w:val="24"/>
          <w:u w:val="single"/>
          <w:lang w:eastAsia="zh-CN"/>
        </w:rPr>
        <w:t>全称并加盖单位公章）</w:t>
      </w:r>
    </w:p>
    <w:p w14:paraId="7C9883FB">
      <w:pPr>
        <w:spacing w:before="96" w:line="219" w:lineRule="auto"/>
        <w:ind w:left="161"/>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2"/>
          <w:sz w:val="24"/>
          <w:szCs w:val="24"/>
          <w:lang w:eastAsia="zh-CN"/>
        </w:rPr>
        <w:t>投标人代表签字：</w:t>
      </w:r>
      <w:r>
        <w:rPr>
          <w:rFonts w:hint="eastAsia" w:asciiTheme="minorEastAsia" w:hAnsiTheme="minorEastAsia" w:eastAsiaTheme="minorEastAsia" w:cstheme="minorEastAsia"/>
          <w:color w:val="000000" w:themeColor="text1"/>
          <w:sz w:val="24"/>
          <w:szCs w:val="24"/>
          <w:u w:val="single"/>
          <w:lang w:eastAsia="zh-CN"/>
        </w:rPr>
        <w:t xml:space="preserve">                  </w:t>
      </w:r>
    </w:p>
    <w:p w14:paraId="77385E69">
      <w:pPr>
        <w:spacing w:before="94" w:line="219" w:lineRule="auto"/>
        <w:ind w:left="19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3"/>
          <w:sz w:val="24"/>
          <w:szCs w:val="24"/>
          <w:lang w:eastAsia="zh-CN"/>
        </w:rPr>
        <w:t>日期：</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年</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105"/>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月</w:t>
      </w:r>
      <w:r>
        <w:rPr>
          <w:rFonts w:hint="eastAsia" w:asciiTheme="minorEastAsia" w:hAnsiTheme="minorEastAsia" w:eastAsiaTheme="minorEastAsia" w:cstheme="minorEastAsia"/>
          <w:color w:val="000000" w:themeColor="text1"/>
          <w:sz w:val="24"/>
          <w:szCs w:val="24"/>
          <w:u w:val="single"/>
          <w:lang w:eastAsia="zh-CN"/>
        </w:rPr>
        <w:t xml:space="preserve">      </w:t>
      </w:r>
      <w:r>
        <w:rPr>
          <w:rFonts w:hint="eastAsia" w:asciiTheme="minorEastAsia" w:hAnsiTheme="minorEastAsia" w:eastAsiaTheme="minorEastAsia" w:cstheme="minorEastAsia"/>
          <w:color w:val="000000" w:themeColor="text1"/>
          <w:spacing w:val="-69"/>
          <w:sz w:val="24"/>
          <w:szCs w:val="24"/>
          <w:lang w:eastAsia="zh-CN"/>
        </w:rPr>
        <w:t xml:space="preserve"> </w:t>
      </w:r>
      <w:r>
        <w:rPr>
          <w:rFonts w:hint="eastAsia" w:asciiTheme="minorEastAsia" w:hAnsiTheme="minorEastAsia" w:eastAsiaTheme="minorEastAsia" w:cstheme="minorEastAsia"/>
          <w:color w:val="000000" w:themeColor="text1"/>
          <w:spacing w:val="-13"/>
          <w:sz w:val="24"/>
          <w:szCs w:val="24"/>
          <w:lang w:eastAsia="zh-CN"/>
        </w:rPr>
        <w:t>日</w:t>
      </w:r>
    </w:p>
    <w:p w14:paraId="0E430D3B">
      <w:pPr>
        <w:spacing w:line="219" w:lineRule="auto"/>
        <w:rPr>
          <w:rFonts w:hint="eastAsia" w:asciiTheme="minorEastAsia" w:hAnsiTheme="minorEastAsia" w:eastAsiaTheme="minorEastAsia" w:cstheme="minorEastAsia"/>
          <w:color w:val="000000" w:themeColor="text1"/>
          <w:sz w:val="24"/>
          <w:szCs w:val="24"/>
          <w:lang w:eastAsia="zh-CN"/>
        </w:rPr>
        <w:sectPr>
          <w:footerReference r:id="rId38" w:type="default"/>
          <w:pgSz w:w="11906" w:h="16839"/>
          <w:pgMar w:top="1431" w:right="1265" w:bottom="1260" w:left="1267" w:header="0" w:footer="1013" w:gutter="0"/>
          <w:pgNumType w:fmt="decimal"/>
          <w:cols w:space="720" w:num="1"/>
        </w:sectPr>
      </w:pPr>
    </w:p>
    <w:p w14:paraId="7635DB43">
      <w:pPr>
        <w:spacing w:before="108" w:line="220" w:lineRule="auto"/>
        <w:ind w:left="266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bCs/>
          <w:color w:val="000000" w:themeColor="text1"/>
          <w:spacing w:val="-3"/>
          <w:sz w:val="24"/>
          <w:szCs w:val="24"/>
          <w:lang w:eastAsia="zh-CN"/>
        </w:rPr>
        <w:t>4、投标人提交的其他资料（若有）</w:t>
      </w:r>
    </w:p>
    <w:p w14:paraId="2BE575AB">
      <w:pPr>
        <w:pStyle w:val="8"/>
        <w:spacing w:line="257" w:lineRule="auto"/>
        <w:rPr>
          <w:rFonts w:hint="eastAsia" w:asciiTheme="minorEastAsia" w:hAnsiTheme="minorEastAsia" w:eastAsiaTheme="minorEastAsia" w:cstheme="minorEastAsia"/>
          <w:color w:val="000000" w:themeColor="text1"/>
          <w:lang w:eastAsia="zh-CN"/>
        </w:rPr>
      </w:pPr>
    </w:p>
    <w:p w14:paraId="3275CAF2">
      <w:pPr>
        <w:pStyle w:val="8"/>
        <w:spacing w:line="257" w:lineRule="auto"/>
        <w:rPr>
          <w:rFonts w:hint="eastAsia" w:asciiTheme="minorEastAsia" w:hAnsiTheme="minorEastAsia" w:eastAsiaTheme="minorEastAsia" w:cstheme="minorEastAsia"/>
          <w:color w:val="000000" w:themeColor="text1"/>
          <w:lang w:eastAsia="zh-CN"/>
        </w:rPr>
      </w:pPr>
    </w:p>
    <w:p w14:paraId="62EA5EC5">
      <w:pPr>
        <w:pStyle w:val="8"/>
        <w:spacing w:line="257" w:lineRule="auto"/>
        <w:rPr>
          <w:rFonts w:hint="eastAsia" w:asciiTheme="minorEastAsia" w:hAnsiTheme="minorEastAsia" w:eastAsiaTheme="minorEastAsia" w:cstheme="minorEastAsia"/>
          <w:color w:val="000000" w:themeColor="text1"/>
          <w:lang w:eastAsia="zh-CN"/>
        </w:rPr>
      </w:pPr>
    </w:p>
    <w:p w14:paraId="0C1029BE">
      <w:pPr>
        <w:spacing w:before="78" w:line="219" w:lineRule="auto"/>
        <w:ind w:left="4055"/>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编制说明</w:t>
      </w:r>
    </w:p>
    <w:p w14:paraId="3968DB1A">
      <w:pPr>
        <w:pStyle w:val="8"/>
        <w:spacing w:line="392" w:lineRule="auto"/>
        <w:rPr>
          <w:rFonts w:hint="eastAsia" w:asciiTheme="minorEastAsia" w:hAnsiTheme="minorEastAsia" w:eastAsiaTheme="minorEastAsia" w:cstheme="minorEastAsia"/>
          <w:color w:val="000000" w:themeColor="text1"/>
          <w:lang w:eastAsia="zh-CN"/>
        </w:rPr>
      </w:pPr>
    </w:p>
    <w:p w14:paraId="3D6259AC">
      <w:pPr>
        <w:spacing w:before="78" w:line="218" w:lineRule="auto"/>
        <w:jc w:val="right"/>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3"/>
          <w:sz w:val="24"/>
          <w:szCs w:val="24"/>
          <w:lang w:eastAsia="zh-CN"/>
        </w:rPr>
        <w:t>1、招标文件要求提交的除</w:t>
      </w:r>
      <w:r>
        <w:rPr>
          <w:rFonts w:hint="eastAsia" w:asciiTheme="minorEastAsia" w:hAnsiTheme="minorEastAsia" w:eastAsiaTheme="minorEastAsia" w:cstheme="minorEastAsia"/>
          <w:b/>
          <w:bCs/>
          <w:color w:val="000000" w:themeColor="text1"/>
          <w:spacing w:val="-3"/>
          <w:sz w:val="24"/>
          <w:szCs w:val="24"/>
          <w:lang w:eastAsia="zh-CN"/>
        </w:rPr>
        <w:t>“资格及资信证明部分</w:t>
      </w:r>
      <w:r>
        <w:rPr>
          <w:rFonts w:hint="eastAsia" w:asciiTheme="minorEastAsia" w:hAnsiTheme="minorEastAsia" w:eastAsiaTheme="minorEastAsia" w:cstheme="minorEastAsia"/>
          <w:color w:val="000000" w:themeColor="text1"/>
          <w:spacing w:val="-86"/>
          <w:sz w:val="24"/>
          <w:szCs w:val="24"/>
          <w:lang w:eastAsia="zh-CN"/>
        </w:rPr>
        <w:t xml:space="preserve"> </w:t>
      </w:r>
      <w:r>
        <w:rPr>
          <w:rFonts w:hint="eastAsia" w:asciiTheme="minorEastAsia" w:hAnsiTheme="minorEastAsia" w:eastAsiaTheme="minorEastAsia" w:cstheme="minorEastAsia"/>
          <w:b/>
          <w:bCs/>
          <w:color w:val="000000" w:themeColor="text1"/>
          <w:spacing w:val="-3"/>
          <w:sz w:val="24"/>
          <w:szCs w:val="24"/>
          <w:lang w:eastAsia="zh-CN"/>
        </w:rPr>
        <w:t>”、“报</w:t>
      </w:r>
      <w:r>
        <w:rPr>
          <w:rFonts w:hint="eastAsia" w:asciiTheme="minorEastAsia" w:hAnsiTheme="minorEastAsia" w:eastAsiaTheme="minorEastAsia" w:cstheme="minorEastAsia"/>
          <w:b/>
          <w:bCs/>
          <w:color w:val="000000" w:themeColor="text1"/>
          <w:spacing w:val="-4"/>
          <w:sz w:val="24"/>
          <w:szCs w:val="24"/>
          <w:lang w:eastAsia="zh-CN"/>
        </w:rPr>
        <w:t>价部分</w:t>
      </w:r>
      <w:r>
        <w:rPr>
          <w:rFonts w:hint="eastAsia" w:asciiTheme="minorEastAsia" w:hAnsiTheme="minorEastAsia" w:eastAsiaTheme="minorEastAsia" w:cstheme="minorEastAsia"/>
          <w:color w:val="000000" w:themeColor="text1"/>
          <w:spacing w:val="-85"/>
          <w:sz w:val="24"/>
          <w:szCs w:val="24"/>
          <w:lang w:eastAsia="zh-CN"/>
        </w:rPr>
        <w:t xml:space="preserve"> </w:t>
      </w:r>
      <w:r>
        <w:rPr>
          <w:rFonts w:hint="eastAsia" w:asciiTheme="minorEastAsia" w:hAnsiTheme="minorEastAsia" w:eastAsiaTheme="minorEastAsia" w:cstheme="minorEastAsia"/>
          <w:b/>
          <w:bCs/>
          <w:color w:val="000000" w:themeColor="text1"/>
          <w:spacing w:val="-4"/>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rPr>
        <w:t>外的其他证明材料</w:t>
      </w:r>
    </w:p>
    <w:p w14:paraId="5BA04C85">
      <w:pPr>
        <w:spacing w:before="97" w:line="219"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或资料加盖投标人的单位公章后应在此项下提交。</w:t>
      </w:r>
    </w:p>
    <w:p w14:paraId="269CDE44">
      <w:pPr>
        <w:spacing w:before="95" w:line="256" w:lineRule="auto"/>
        <w:ind w:left="16" w:right="37" w:hanging="16"/>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pacing w:val="-1"/>
          <w:sz w:val="24"/>
          <w:szCs w:val="24"/>
          <w:lang w:eastAsia="zh-CN"/>
        </w:rPr>
        <w:t>2、招标文件要求投标人提供方案（包括但不限于：组织、实施、技术、服务方案等）</w:t>
      </w:r>
      <w:r>
        <w:rPr>
          <w:rFonts w:hint="eastAsia" w:asciiTheme="minorEastAsia" w:hAnsiTheme="minorEastAsia" w:eastAsiaTheme="minorEastAsia" w:cstheme="minorEastAsia"/>
          <w:color w:val="000000" w:themeColor="text1"/>
          <w:spacing w:val="3"/>
          <w:sz w:val="24"/>
          <w:szCs w:val="24"/>
          <w:lang w:eastAsia="zh-CN"/>
        </w:rPr>
        <w:t xml:space="preserve"> </w:t>
      </w:r>
      <w:r>
        <w:rPr>
          <w:rFonts w:hint="eastAsia" w:asciiTheme="minorEastAsia" w:hAnsiTheme="minorEastAsia" w:eastAsiaTheme="minorEastAsia" w:cstheme="minorEastAsia"/>
          <w:color w:val="000000" w:themeColor="text1"/>
          <w:spacing w:val="-3"/>
          <w:sz w:val="24"/>
          <w:szCs w:val="24"/>
          <w:lang w:eastAsia="zh-CN"/>
        </w:rPr>
        <w:t>的，投标人应在此项下提交。</w:t>
      </w:r>
    </w:p>
    <w:p w14:paraId="1779117C">
      <w:pPr>
        <w:spacing w:before="96" w:line="255" w:lineRule="auto"/>
        <w:ind w:right="16" w:firstLine="2"/>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3、除招标文件另有规定外，投标人认为需要提交</w:t>
      </w:r>
      <w:r>
        <w:rPr>
          <w:rFonts w:hint="eastAsia" w:asciiTheme="minorEastAsia" w:hAnsiTheme="minorEastAsia" w:eastAsiaTheme="minorEastAsia" w:cstheme="minorEastAsia"/>
          <w:color w:val="000000" w:themeColor="text1"/>
          <w:spacing w:val="-1"/>
          <w:sz w:val="24"/>
          <w:szCs w:val="24"/>
          <w:lang w:eastAsia="zh-CN"/>
        </w:rPr>
        <w:t>的其他证明材料或资料加盖投标人的</w:t>
      </w:r>
      <w:r>
        <w:rPr>
          <w:rFonts w:hint="eastAsia" w:asciiTheme="minorEastAsia" w:hAnsiTheme="minorEastAsia" w:eastAsiaTheme="minorEastAsia" w:cstheme="minorEastAsia"/>
          <w:color w:val="000000" w:themeColor="text1"/>
          <w:sz w:val="24"/>
          <w:szCs w:val="24"/>
          <w:lang w:eastAsia="zh-CN"/>
        </w:rPr>
        <w:t xml:space="preserve"> </w:t>
      </w:r>
      <w:r>
        <w:rPr>
          <w:rFonts w:hint="eastAsia" w:asciiTheme="minorEastAsia" w:hAnsiTheme="minorEastAsia" w:eastAsiaTheme="minorEastAsia" w:cstheme="minorEastAsia"/>
          <w:color w:val="000000" w:themeColor="text1"/>
          <w:spacing w:val="-1"/>
          <w:sz w:val="24"/>
          <w:szCs w:val="24"/>
          <w:lang w:eastAsia="zh-CN"/>
        </w:rPr>
        <w:t>单位公章后应在此项下提交。</w:t>
      </w:r>
    </w:p>
    <w:sectPr>
      <w:footerReference r:id="rId39" w:type="default"/>
      <w:pgSz w:w="11906" w:h="16839"/>
      <w:pgMar w:top="1431" w:right="1473" w:bottom="1260" w:left="1427" w:header="0" w:footer="101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D4DF">
    <w:pPr>
      <w:spacing w:line="218" w:lineRule="auto"/>
      <w:ind w:left="4364"/>
      <w:rPr>
        <w:rFonts w:ascii="宋体" w:hAnsi="宋体" w:eastAsia="宋体" w:cs="宋体"/>
        <w:sz w:val="20"/>
        <w:szCs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4E62BE0">
                <w:pPr>
                  <w:pStyle w:val="11"/>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BE91">
    <w:pPr>
      <w:spacing w:line="218" w:lineRule="auto"/>
      <w:ind w:left="4366"/>
      <w:rPr>
        <w:rFonts w:ascii="宋体" w:hAnsi="宋体" w:eastAsia="宋体" w:cs="宋体"/>
        <w:sz w:val="20"/>
        <w:szCs w:val="20"/>
      </w:rPr>
    </w:pPr>
    <w:r>
      <w:rPr>
        <w:sz w:val="20"/>
      </w:rPr>
      <w:pict>
        <v:shape id="_x0000_s1057" o:spid="_x0000_s105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14:paraId="1432B487">
                <w:pPr>
                  <w:pStyle w:val="11"/>
                </w:pPr>
                <w:r>
                  <w:fldChar w:fldCharType="begin"/>
                </w:r>
                <w:r>
                  <w:instrText xml:space="preserve"> PAGE  \* MERGEFORMAT </w:instrText>
                </w:r>
                <w:r>
                  <w:fldChar w:fldCharType="separate"/>
                </w:r>
                <w:r>
                  <w:t>15</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56D1">
    <w:pPr>
      <w:spacing w:line="218" w:lineRule="auto"/>
      <w:ind w:left="4365"/>
      <w:rPr>
        <w:rFonts w:ascii="宋体" w:hAnsi="宋体" w:eastAsia="宋体" w:cs="宋体"/>
        <w:sz w:val="20"/>
        <w:szCs w:val="20"/>
      </w:rPr>
    </w:pPr>
    <w:r>
      <w:rPr>
        <w:sz w:val="20"/>
      </w:rPr>
      <w:pict>
        <v:shape id="_x0000_s1056" o:spid="_x0000_s105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0.5pt"/>
          <v:imagedata o:title=""/>
          <o:lock v:ext="edit" aspectratio="f"/>
          <v:textbox inset="0mm,0mm,0mm,0mm" style="mso-fit-shape-to-text:t;">
            <w:txbxContent>
              <w:p w14:paraId="7ABCC5F4">
                <w:pPr>
                  <w:pStyle w:val="11"/>
                </w:pPr>
                <w:r>
                  <w:fldChar w:fldCharType="begin"/>
                </w:r>
                <w:r>
                  <w:instrText xml:space="preserve"> PAGE  \* MERGEFORMAT </w:instrText>
                </w:r>
                <w:r>
                  <w:fldChar w:fldCharType="separate"/>
                </w:r>
                <w:r>
                  <w:t>16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69B5">
    <w:pPr>
      <w:spacing w:line="218" w:lineRule="auto"/>
      <w:ind w:left="4377"/>
      <w:rPr>
        <w:rFonts w:ascii="宋体" w:hAnsi="宋体" w:eastAsia="宋体" w:cs="宋体"/>
        <w:sz w:val="20"/>
        <w:szCs w:val="20"/>
      </w:rPr>
    </w:pPr>
    <w:r>
      <w:rPr>
        <w:sz w:val="20"/>
      </w:rPr>
      <w:pict>
        <v:shape id="_x0000_s1055" o:spid="_x0000_s105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0.5pt"/>
          <v:imagedata o:title=""/>
          <o:lock v:ext="edit" aspectratio="f"/>
          <v:textbox inset="0mm,0mm,0mm,0mm" style="mso-fit-shape-to-text:t;">
            <w:txbxContent>
              <w:p w14:paraId="36049F07">
                <w:pPr>
                  <w:pStyle w:val="11"/>
                </w:pPr>
                <w:r>
                  <w:fldChar w:fldCharType="begin"/>
                </w:r>
                <w:r>
                  <w:instrText xml:space="preserve"> PAGE  \* MERGEFORMAT </w:instrText>
                </w:r>
                <w:r>
                  <w:fldChar w:fldCharType="separate"/>
                </w:r>
                <w:r>
                  <w:t>17</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63D1A">
    <w:pPr>
      <w:spacing w:line="218" w:lineRule="auto"/>
      <w:ind w:left="4366"/>
      <w:rPr>
        <w:rFonts w:ascii="宋体" w:hAnsi="宋体" w:eastAsia="宋体" w:cs="宋体"/>
        <w:sz w:val="20"/>
        <w:szCs w:val="20"/>
      </w:rPr>
    </w:pPr>
    <w:r>
      <w:rPr>
        <w:sz w:val="20"/>
      </w:rPr>
      <w:pict>
        <v:shape id="_x0000_s1054" o:spid="_x0000_s105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0.5pt"/>
          <v:imagedata o:title=""/>
          <o:lock v:ext="edit" aspectratio="f"/>
          <v:textbox inset="0mm,0mm,0mm,0mm" style="mso-fit-shape-to-text:t;">
            <w:txbxContent>
              <w:p w14:paraId="29034DED">
                <w:pPr>
                  <w:pStyle w:val="11"/>
                </w:pPr>
                <w:r>
                  <w:fldChar w:fldCharType="begin"/>
                </w:r>
                <w:r>
                  <w:instrText xml:space="preserve"> PAGE  \* MERGEFORMAT </w:instrText>
                </w:r>
                <w:r>
                  <w:fldChar w:fldCharType="separate"/>
                </w:r>
                <w:r>
                  <w:t>18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A441">
    <w:pPr>
      <w:spacing w:line="218" w:lineRule="auto"/>
      <w:ind w:left="4377"/>
      <w:rPr>
        <w:rFonts w:ascii="宋体" w:hAnsi="宋体" w:eastAsia="宋体" w:cs="宋体"/>
        <w:sz w:val="20"/>
        <w:szCs w:val="20"/>
      </w:rPr>
    </w:pPr>
    <w:r>
      <w:rPr>
        <w:sz w:val="20"/>
      </w:rPr>
      <w:pict>
        <v:shape id="_x0000_s1053" o:spid="_x0000_s1053"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0.5pt"/>
          <v:imagedata o:title=""/>
          <o:lock v:ext="edit" aspectratio="f"/>
          <v:textbox inset="0mm,0mm,0mm,0mm" style="mso-fit-shape-to-text:t;">
            <w:txbxContent>
              <w:p w14:paraId="266EDE8D">
                <w:pPr>
                  <w:pStyle w:val="11"/>
                </w:pPr>
                <w:r>
                  <w:fldChar w:fldCharType="begin"/>
                </w:r>
                <w:r>
                  <w:instrText xml:space="preserve"> PAGE  \* MERGEFORMAT </w:instrText>
                </w:r>
                <w:r>
                  <w:fldChar w:fldCharType="separate"/>
                </w:r>
                <w:r>
                  <w:t>19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964D">
    <w:pPr>
      <w:spacing w:line="218" w:lineRule="auto"/>
      <w:ind w:left="4368"/>
      <w:rPr>
        <w:rFonts w:ascii="宋体" w:hAnsi="宋体" w:eastAsia="宋体" w:cs="宋体"/>
        <w:sz w:val="20"/>
        <w:szCs w:val="20"/>
      </w:rPr>
    </w:pPr>
    <w:r>
      <w:rPr>
        <w:sz w:val="20"/>
      </w:rPr>
      <w:pict>
        <v:shape id="_x0000_s1052" o:spid="_x0000_s1052"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0.5pt"/>
          <v:imagedata o:title=""/>
          <o:lock v:ext="edit" aspectratio="f"/>
          <v:textbox inset="0mm,0mm,0mm,0mm" style="mso-fit-shape-to-text:t;">
            <w:txbxContent>
              <w:p w14:paraId="24ADA12F">
                <w:pPr>
                  <w:pStyle w:val="11"/>
                </w:pPr>
                <w:r>
                  <w:fldChar w:fldCharType="begin"/>
                </w:r>
                <w:r>
                  <w:instrText xml:space="preserve"> PAGE  \* MERGEFORMAT </w:instrText>
                </w:r>
                <w:r>
                  <w:fldChar w:fldCharType="separate"/>
                </w:r>
                <w:r>
                  <w:t>26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2CF0">
    <w:pPr>
      <w:spacing w:line="218" w:lineRule="auto"/>
      <w:ind w:left="4003"/>
      <w:rPr>
        <w:rFonts w:ascii="宋体" w:hAnsi="宋体" w:eastAsia="宋体" w:cs="宋体"/>
        <w:sz w:val="20"/>
        <w:szCs w:val="20"/>
      </w:rPr>
    </w:pPr>
    <w:r>
      <w:rPr>
        <w:sz w:val="20"/>
      </w:rPr>
      <w:pict>
        <v:shape id="_x0000_s1066" o:spid="_x0000_s1066"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14:paraId="1EAA3CB6">
                <w:pPr>
                  <w:pStyle w:val="11"/>
                </w:pPr>
                <w:r>
                  <w:fldChar w:fldCharType="begin"/>
                </w:r>
                <w:r>
                  <w:instrText xml:space="preserve"> PAGE  \* MERGEFORMAT </w:instrText>
                </w:r>
                <w:r>
                  <w:fldChar w:fldCharType="separate"/>
                </w:r>
                <w:r>
                  <w:t>41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5CF6">
    <w:pPr>
      <w:spacing w:line="218" w:lineRule="auto"/>
      <w:ind w:left="4365"/>
      <w:rPr>
        <w:rFonts w:ascii="宋体" w:hAnsi="宋体" w:eastAsia="宋体" w:cs="宋体"/>
        <w:sz w:val="20"/>
        <w:szCs w:val="20"/>
      </w:rPr>
    </w:pPr>
    <w:r>
      <w:rPr>
        <w:sz w:val="20"/>
      </w:rPr>
      <w:pict>
        <v:shape id="_x0000_s1050" o:spid="_x0000_s1050"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0.5pt"/>
          <v:imagedata o:title=""/>
          <o:lock v:ext="edit" aspectratio="f"/>
          <v:textbox inset="0mm,0mm,0mm,0mm" style="mso-fit-shape-to-text:t;">
            <w:txbxContent>
              <w:p w14:paraId="01A38864">
                <w:pPr>
                  <w:pStyle w:val="11"/>
                </w:pPr>
                <w:r>
                  <w:fldChar w:fldCharType="begin"/>
                </w:r>
                <w:r>
                  <w:instrText xml:space="preserve"> PAGE  \* MERGEFORMAT </w:instrText>
                </w:r>
                <w:r>
                  <w:fldChar w:fldCharType="separate"/>
                </w:r>
                <w:r>
                  <w:t>84</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C2E2">
    <w:pPr>
      <w:spacing w:line="218" w:lineRule="auto"/>
      <w:ind w:left="4364"/>
      <w:rPr>
        <w:rFonts w:ascii="宋体" w:hAnsi="宋体" w:eastAsia="宋体" w:cs="宋体"/>
        <w:sz w:val="20"/>
        <w:szCs w:val="20"/>
      </w:rPr>
    </w:pPr>
    <w:r>
      <w:rPr>
        <w:sz w:val="20"/>
      </w:rPr>
      <w:pict>
        <v:shape id="_x0000_s1048" o:spid="_x0000_s1048"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weight="0.5pt"/>
          <v:imagedata o:title=""/>
          <o:lock v:ext="edit" aspectratio="f"/>
          <v:textbox inset="0mm,0mm,0mm,0mm" style="mso-fit-shape-to-text:t;">
            <w:txbxContent>
              <w:p w14:paraId="0439AB25">
                <w:pPr>
                  <w:pStyle w:val="11"/>
                </w:pPr>
                <w:r>
                  <w:fldChar w:fldCharType="begin"/>
                </w:r>
                <w:r>
                  <w:instrText xml:space="preserve"> PAGE  \* MERGEFORMAT </w:instrText>
                </w:r>
                <w:r>
                  <w:fldChar w:fldCharType="separate"/>
                </w:r>
                <w:r>
                  <w:t>86</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A977">
    <w:pPr>
      <w:spacing w:line="218" w:lineRule="auto"/>
      <w:ind w:left="4366"/>
      <w:rPr>
        <w:rFonts w:ascii="宋体" w:hAnsi="宋体" w:eastAsia="宋体" w:cs="宋体"/>
        <w:sz w:val="20"/>
        <w:szCs w:val="20"/>
      </w:rPr>
    </w:pPr>
    <w:r>
      <w:rPr>
        <w:sz w:val="20"/>
      </w:rPr>
      <w:pict>
        <v:shape id="_x0000_s1047" o:spid="_x0000_s1047"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0.5pt"/>
          <v:imagedata o:title=""/>
          <o:lock v:ext="edit" aspectratio="f"/>
          <v:textbox inset="0mm,0mm,0mm,0mm" style="mso-fit-shape-to-text:t;">
            <w:txbxContent>
              <w:p w14:paraId="5C70219A">
                <w:pPr>
                  <w:pStyle w:val="11"/>
                </w:pPr>
                <w:r>
                  <w:fldChar w:fldCharType="begin"/>
                </w:r>
                <w:r>
                  <w:instrText xml:space="preserve"> PAGE  \* MERGEFORMAT </w:instrText>
                </w:r>
                <w:r>
                  <w:fldChar w:fldCharType="separate"/>
                </w:r>
                <w:r>
                  <w:t>87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FD54">
    <w:pPr>
      <w:spacing w:line="218" w:lineRule="auto"/>
      <w:ind w:left="4483"/>
      <w:rPr>
        <w:rFonts w:ascii="宋体" w:hAnsi="宋体" w:eastAsia="宋体" w:cs="宋体"/>
        <w:sz w:val="20"/>
        <w:szCs w:val="20"/>
      </w:rPr>
    </w:pPr>
    <w:r>
      <w:rPr>
        <w:sz w:val="20"/>
      </w:rPr>
      <w:pict>
        <v:shape id="_x0000_s1065" o:spid="_x0000_s106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454FE366">
                <w:pPr>
                  <w:pStyle w:val="11"/>
                </w:pPr>
                <w:r>
                  <w:fldChar w:fldCharType="begin"/>
                </w:r>
                <w:r>
                  <w:instrText xml:space="preserve"> PAGE  \* MERGEFORMAT </w:instrText>
                </w:r>
                <w:r>
                  <w:fldChar w:fldCharType="separate"/>
                </w:r>
                <w:r>
                  <w:t>4</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B990">
    <w:pPr>
      <w:spacing w:line="218" w:lineRule="auto"/>
      <w:ind w:left="4363"/>
      <w:rPr>
        <w:rFonts w:ascii="宋体" w:hAnsi="宋体" w:eastAsia="宋体" w:cs="宋体"/>
        <w:sz w:val="20"/>
        <w:szCs w:val="20"/>
      </w:rPr>
    </w:pPr>
    <w:r>
      <w:rPr>
        <w:sz w:val="20"/>
      </w:rPr>
      <w:pict>
        <v:shape id="_x0000_s1046" o:spid="_x0000_s1046"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0.5pt"/>
          <v:imagedata o:title=""/>
          <o:lock v:ext="edit" aspectratio="f"/>
          <v:textbox inset="0mm,0mm,0mm,0mm" style="mso-fit-shape-to-text:t;">
            <w:txbxContent>
              <w:p w14:paraId="12E4DD73">
                <w:pPr>
                  <w:pStyle w:val="11"/>
                </w:pPr>
                <w:r>
                  <w:fldChar w:fldCharType="begin"/>
                </w:r>
                <w:r>
                  <w:instrText xml:space="preserve"> PAGE  \* MERGEFORMAT </w:instrText>
                </w:r>
                <w:r>
                  <w:fldChar w:fldCharType="separate"/>
                </w:r>
                <w:r>
                  <w:t>88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28C6">
    <w:pPr>
      <w:spacing w:line="218" w:lineRule="auto"/>
      <w:ind w:left="4529"/>
      <w:rPr>
        <w:rFonts w:ascii="宋体" w:hAnsi="宋体" w:eastAsia="宋体" w:cs="宋体"/>
        <w:sz w:val="20"/>
        <w:szCs w:val="20"/>
      </w:rPr>
    </w:pPr>
    <w:r>
      <w:rPr>
        <w:sz w:val="20"/>
      </w:rPr>
      <w:pict>
        <v:shape id="_x0000_s1045" o:spid="_x0000_s1045"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0.5pt"/>
          <v:imagedata o:title=""/>
          <o:lock v:ext="edit" aspectratio="f"/>
          <v:textbox inset="0mm,0mm,0mm,0mm" style="mso-fit-shape-to-text:t;">
            <w:txbxContent>
              <w:p w14:paraId="0CCF87D3">
                <w:pPr>
                  <w:pStyle w:val="11"/>
                </w:pPr>
                <w:r>
                  <w:fldChar w:fldCharType="begin"/>
                </w:r>
                <w:r>
                  <w:instrText xml:space="preserve"> PAGE  \* MERGEFORMAT </w:instrText>
                </w:r>
                <w:r>
                  <w:fldChar w:fldCharType="separate"/>
                </w:r>
                <w:r>
                  <w:t>89</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EB67">
    <w:pPr>
      <w:spacing w:line="218" w:lineRule="auto"/>
      <w:ind w:left="4364"/>
      <w:rPr>
        <w:rFonts w:ascii="宋体" w:hAnsi="宋体" w:eastAsia="宋体" w:cs="宋体"/>
        <w:sz w:val="20"/>
        <w:szCs w:val="20"/>
      </w:rPr>
    </w:pPr>
    <w:r>
      <w:rPr>
        <w:sz w:val="20"/>
      </w:rPr>
      <w:pict>
        <v:shape id="_x0000_s1044" o:spid="_x0000_s1044"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weight="0.5pt"/>
          <v:imagedata o:title=""/>
          <o:lock v:ext="edit" aspectratio="f"/>
          <v:textbox inset="0mm,0mm,0mm,0mm" style="mso-fit-shape-to-text:t;">
            <w:txbxContent>
              <w:p w14:paraId="28567502">
                <w:pPr>
                  <w:pStyle w:val="11"/>
                </w:pPr>
                <w:r>
                  <w:fldChar w:fldCharType="begin"/>
                </w:r>
                <w:r>
                  <w:instrText xml:space="preserve"> PAGE  \* MERGEFORMAT </w:instrText>
                </w:r>
                <w:r>
                  <w:fldChar w:fldCharType="separate"/>
                </w:r>
                <w:r>
                  <w:t>90</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A20C">
    <w:pPr>
      <w:spacing w:line="218" w:lineRule="auto"/>
      <w:ind w:left="4365"/>
      <w:rPr>
        <w:rFonts w:ascii="宋体" w:hAnsi="宋体" w:eastAsia="宋体" w:cs="宋体"/>
        <w:sz w:val="20"/>
        <w:szCs w:val="20"/>
      </w:rPr>
    </w:pPr>
    <w:r>
      <w:rPr>
        <w:sz w:val="20"/>
      </w:rPr>
      <w:pict>
        <v:shape id="_x0000_s1043" o:spid="_x0000_s1043"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weight="0.5pt"/>
          <v:imagedata o:title=""/>
          <o:lock v:ext="edit" aspectratio="f"/>
          <v:textbox inset="0mm,0mm,0mm,0mm" style="mso-fit-shape-to-text:t;">
            <w:txbxContent>
              <w:p w14:paraId="3172D06D">
                <w:pPr>
                  <w:pStyle w:val="11"/>
                </w:pPr>
                <w:r>
                  <w:fldChar w:fldCharType="begin"/>
                </w:r>
                <w:r>
                  <w:instrText xml:space="preserve"> PAGE  \* MERGEFORMAT </w:instrText>
                </w:r>
                <w:r>
                  <w:fldChar w:fldCharType="separate"/>
                </w:r>
                <w:r>
                  <w:t>91</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6FFA">
    <w:pPr>
      <w:spacing w:line="218" w:lineRule="auto"/>
      <w:ind w:left="4365"/>
      <w:rPr>
        <w:rFonts w:ascii="宋体" w:hAnsi="宋体" w:eastAsia="宋体" w:cs="宋体"/>
        <w:sz w:val="20"/>
        <w:szCs w:val="20"/>
      </w:rPr>
    </w:pPr>
    <w:r>
      <w:rPr>
        <w:sz w:val="20"/>
      </w:rPr>
      <w:pict>
        <v:shape id="_x0000_s1042" o:spid="_x0000_s1042"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weight="0.5pt"/>
          <v:imagedata o:title=""/>
          <o:lock v:ext="edit" aspectratio="f"/>
          <v:textbox inset="0mm,0mm,0mm,0mm" style="mso-fit-shape-to-text:t;">
            <w:txbxContent>
              <w:p w14:paraId="4E440E10">
                <w:pPr>
                  <w:pStyle w:val="11"/>
                </w:pPr>
                <w:r>
                  <w:fldChar w:fldCharType="begin"/>
                </w:r>
                <w:r>
                  <w:instrText xml:space="preserve"> PAGE  \* MERGEFORMAT </w:instrText>
                </w:r>
                <w:r>
                  <w:fldChar w:fldCharType="separate"/>
                </w:r>
                <w:r>
                  <w:t>92</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5C7D">
    <w:pPr>
      <w:spacing w:line="218" w:lineRule="auto"/>
      <w:ind w:left="4365"/>
      <w:rPr>
        <w:rFonts w:ascii="宋体" w:hAnsi="宋体" w:eastAsia="宋体" w:cs="宋体"/>
        <w:sz w:val="20"/>
        <w:szCs w:val="20"/>
      </w:rPr>
    </w:pPr>
    <w:r>
      <w:rPr>
        <w:sz w:val="20"/>
      </w:rPr>
      <w:pict>
        <v:shape id="_x0000_s1041" o:spid="_x0000_s1041"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weight="0.5pt"/>
          <v:imagedata o:title=""/>
          <o:lock v:ext="edit" aspectratio="f"/>
          <v:textbox inset="0mm,0mm,0mm,0mm" style="mso-fit-shape-to-text:t;">
            <w:txbxContent>
              <w:p w14:paraId="39B9FAC8">
                <w:pPr>
                  <w:pStyle w:val="11"/>
                </w:pPr>
                <w:r>
                  <w:fldChar w:fldCharType="begin"/>
                </w:r>
                <w:r>
                  <w:instrText xml:space="preserve"> PAGE  \* MERGEFORMAT </w:instrText>
                </w:r>
                <w:r>
                  <w:fldChar w:fldCharType="separate"/>
                </w:r>
                <w:r>
                  <w:t>93</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B938C">
    <w:pPr>
      <w:spacing w:line="218" w:lineRule="auto"/>
      <w:ind w:left="4364"/>
      <w:rPr>
        <w:rFonts w:ascii="宋体" w:hAnsi="宋体" w:eastAsia="宋体" w:cs="宋体"/>
        <w:sz w:val="20"/>
        <w:szCs w:val="20"/>
      </w:rPr>
    </w:pPr>
    <w:r>
      <w:rPr>
        <w:sz w:val="20"/>
      </w:rPr>
      <w:pict>
        <v:shape id="_x0000_s1040" o:spid="_x0000_s1040"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weight="0.5pt"/>
          <v:imagedata o:title=""/>
          <o:lock v:ext="edit" aspectratio="f"/>
          <v:textbox inset="0mm,0mm,0mm,0mm" style="mso-fit-shape-to-text:t;">
            <w:txbxContent>
              <w:p w14:paraId="3E4ABF6E">
                <w:pPr>
                  <w:pStyle w:val="11"/>
                </w:pPr>
                <w:r>
                  <w:fldChar w:fldCharType="begin"/>
                </w:r>
                <w:r>
                  <w:instrText xml:space="preserve"> PAGE  \* MERGEFORMAT </w:instrText>
                </w:r>
                <w:r>
                  <w:fldChar w:fldCharType="separate"/>
                </w:r>
                <w:r>
                  <w:t>94</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642C">
    <w:pPr>
      <w:spacing w:line="218" w:lineRule="auto"/>
      <w:ind w:left="4364"/>
      <w:rPr>
        <w:rFonts w:ascii="宋体" w:hAnsi="宋体" w:eastAsia="宋体" w:cs="宋体"/>
        <w:sz w:val="20"/>
        <w:szCs w:val="20"/>
      </w:rPr>
    </w:pPr>
    <w:r>
      <w:rPr>
        <w:sz w:val="20"/>
      </w:rPr>
      <w:pict>
        <v:shape id="_x0000_s1039" o:spid="_x0000_s103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weight="0.5pt"/>
          <v:imagedata o:title=""/>
          <o:lock v:ext="edit" aspectratio="f"/>
          <v:textbox inset="0mm,0mm,0mm,0mm" style="mso-fit-shape-to-text:t;">
            <w:txbxContent>
              <w:p w14:paraId="1182CC25">
                <w:pPr>
                  <w:pStyle w:val="11"/>
                </w:pPr>
                <w:r>
                  <w:fldChar w:fldCharType="begin"/>
                </w:r>
                <w:r>
                  <w:instrText xml:space="preserve"> PAGE  \* MERGEFORMAT </w:instrText>
                </w:r>
                <w:r>
                  <w:fldChar w:fldCharType="separate"/>
                </w:r>
                <w:r>
                  <w:t>95</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D15D">
    <w:pPr>
      <w:spacing w:line="218" w:lineRule="auto"/>
      <w:ind w:left="4365"/>
      <w:rPr>
        <w:rFonts w:ascii="宋体" w:hAnsi="宋体" w:eastAsia="宋体" w:cs="宋体"/>
        <w:sz w:val="20"/>
        <w:szCs w:val="20"/>
      </w:rPr>
    </w:pPr>
    <w:r>
      <w:rPr>
        <w:sz w:val="20"/>
      </w:rPr>
      <w:pict>
        <v:shape id="_x0000_s1038" o:spid="_x0000_s1038"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weight="0.5pt"/>
          <v:imagedata o:title=""/>
          <o:lock v:ext="edit" aspectratio="f"/>
          <v:textbox inset="0mm,0mm,0mm,0mm" style="mso-fit-shape-to-text:t;">
            <w:txbxContent>
              <w:p w14:paraId="3265908D">
                <w:pPr>
                  <w:pStyle w:val="11"/>
                </w:pPr>
                <w:r>
                  <w:fldChar w:fldCharType="begin"/>
                </w:r>
                <w:r>
                  <w:instrText xml:space="preserve"> PAGE  \* MERGEFORMAT </w:instrText>
                </w:r>
                <w:r>
                  <w:fldChar w:fldCharType="separate"/>
                </w:r>
                <w:r>
                  <w:t>96</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2847">
    <w:pPr>
      <w:spacing w:line="218" w:lineRule="auto"/>
      <w:ind w:left="4366"/>
      <w:rPr>
        <w:rFonts w:ascii="宋体" w:hAnsi="宋体" w:eastAsia="宋体" w:cs="宋体"/>
        <w:sz w:val="20"/>
        <w:szCs w:val="20"/>
      </w:rPr>
    </w:pPr>
    <w:r>
      <w:rPr>
        <w:sz w:val="20"/>
      </w:rPr>
      <w:pict>
        <v:shape id="_x0000_s1036" o:spid="_x0000_s1036"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weight="0.5pt"/>
          <v:imagedata o:title=""/>
          <o:lock v:ext="edit" aspectratio="f"/>
          <v:textbox inset="0mm,0mm,0mm,0mm" style="mso-fit-shape-to-text:t;">
            <w:txbxContent>
              <w:p w14:paraId="44ADC7B0">
                <w:pPr>
                  <w:pStyle w:val="11"/>
                </w:pPr>
                <w:r>
                  <w:fldChar w:fldCharType="begin"/>
                </w:r>
                <w:r>
                  <w:instrText xml:space="preserve"> PAGE  \* MERGEFORMAT </w:instrText>
                </w:r>
                <w:r>
                  <w:fldChar w:fldCharType="separate"/>
                </w:r>
                <w:r>
                  <w:t>98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5ECF3">
    <w:pPr>
      <w:spacing w:line="218" w:lineRule="auto"/>
      <w:ind w:left="4512"/>
      <w:rPr>
        <w:rFonts w:ascii="宋体" w:hAnsi="宋体" w:eastAsia="宋体" w:cs="宋体"/>
        <w:sz w:val="20"/>
        <w:szCs w:val="20"/>
      </w:rPr>
    </w:pPr>
    <w:r>
      <w:rPr>
        <w:sz w:val="20"/>
      </w:rPr>
      <w:pict>
        <v:shape id="_x0000_s1064" o:spid="_x0000_s106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12871984">
                <w:pPr>
                  <w:pStyle w:val="11"/>
                </w:pPr>
                <w:r>
                  <w:fldChar w:fldCharType="begin"/>
                </w:r>
                <w:r>
                  <w:instrText xml:space="preserve"> PAGE  \* MERGEFORMAT </w:instrText>
                </w:r>
                <w:r>
                  <w:fldChar w:fldCharType="separate"/>
                </w:r>
                <w:r>
                  <w:t>8</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76CD">
    <w:pPr>
      <w:spacing w:line="218" w:lineRule="auto"/>
      <w:ind w:left="4365"/>
      <w:rPr>
        <w:rFonts w:ascii="宋体" w:hAnsi="宋体" w:eastAsia="宋体" w:cs="宋体"/>
        <w:sz w:val="20"/>
        <w:szCs w:val="20"/>
      </w:rPr>
    </w:pPr>
    <w:r>
      <w:rPr>
        <w:sz w:val="20"/>
      </w:rPr>
      <w:pict>
        <v:shape id="_x0000_s1035" o:spid="_x0000_s1035"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weight="0.5pt"/>
          <v:imagedata o:title=""/>
          <o:lock v:ext="edit" aspectratio="f"/>
          <v:textbox inset="0mm,0mm,0mm,0mm" style="mso-fit-shape-to-text:t;">
            <w:txbxContent>
              <w:p w14:paraId="443B06D7">
                <w:pPr>
                  <w:pStyle w:val="11"/>
                </w:pPr>
                <w:r>
                  <w:fldChar w:fldCharType="begin"/>
                </w:r>
                <w:r>
                  <w:instrText xml:space="preserve"> PAGE  \* MERGEFORMAT </w:instrText>
                </w:r>
                <w:r>
                  <w:fldChar w:fldCharType="separate"/>
                </w:r>
                <w:r>
                  <w:t>99</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35BB">
    <w:pPr>
      <w:spacing w:line="218" w:lineRule="auto"/>
      <w:ind w:left="4361"/>
      <w:rPr>
        <w:rFonts w:ascii="宋体" w:hAnsi="宋体" w:eastAsia="宋体" w:cs="宋体"/>
        <w:sz w:val="20"/>
        <w:szCs w:val="20"/>
      </w:rPr>
    </w:pPr>
    <w:r>
      <w:rPr>
        <w:sz w:val="20"/>
      </w:rPr>
      <w:pict>
        <v:shape id="_x0000_s1033" o:spid="_x0000_s1033"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weight="0.5pt"/>
          <v:imagedata o:title=""/>
          <o:lock v:ext="edit" aspectratio="f"/>
          <v:textbox inset="0mm,0mm,0mm,0mm" style="mso-fit-shape-to-text:t;">
            <w:txbxContent>
              <w:p w14:paraId="3BE56904">
                <w:pPr>
                  <w:pStyle w:val="11"/>
                </w:pPr>
                <w:r>
                  <w:fldChar w:fldCharType="begin"/>
                </w:r>
                <w:r>
                  <w:instrText xml:space="preserve"> PAGE  \* MERGEFORMAT </w:instrText>
                </w:r>
                <w:r>
                  <w:fldChar w:fldCharType="separate"/>
                </w:r>
                <w:r>
                  <w:t>101</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E577">
    <w:pPr>
      <w:spacing w:line="218" w:lineRule="auto"/>
      <w:ind w:left="4377"/>
      <w:rPr>
        <w:rFonts w:ascii="宋体" w:hAnsi="宋体" w:eastAsia="宋体" w:cs="宋体"/>
        <w:sz w:val="20"/>
        <w:szCs w:val="20"/>
      </w:rPr>
    </w:pPr>
    <w:r>
      <w:rPr>
        <w:sz w:val="20"/>
      </w:rPr>
      <w:pict>
        <v:shape id="_x0000_s1032" o:spid="_x0000_s1032"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weight="0.5pt"/>
          <v:imagedata o:title=""/>
          <o:lock v:ext="edit" aspectratio="f"/>
          <v:textbox inset="0mm,0mm,0mm,0mm" style="mso-fit-shape-to-text:t;">
            <w:txbxContent>
              <w:p w14:paraId="531F2826">
                <w:pPr>
                  <w:pStyle w:val="11"/>
                </w:pPr>
                <w:r>
                  <w:fldChar w:fldCharType="begin"/>
                </w:r>
                <w:r>
                  <w:instrText xml:space="preserve"> PAGE  \* MERGEFORMAT </w:instrText>
                </w:r>
                <w:r>
                  <w:fldChar w:fldCharType="separate"/>
                </w:r>
                <w:r>
                  <w:t>102</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2F48">
    <w:pPr>
      <w:pStyle w:val="8"/>
      <w:spacing w:line="14" w:lineRule="auto"/>
      <w:rPr>
        <w:sz w:val="2"/>
      </w:rPr>
    </w:pPr>
    <w:r>
      <w:rPr>
        <w:sz w:val="2"/>
      </w:rPr>
      <w:pict>
        <v:shape id="_x0000_s1031" o:spid="_x0000_s1031"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weight="0.5pt"/>
          <v:imagedata o:title=""/>
          <o:lock v:ext="edit" aspectratio="f"/>
          <v:textbox inset="0mm,0mm,0mm,0mm" style="mso-fit-shape-to-text:t;">
            <w:txbxContent>
              <w:p w14:paraId="6C260B9F">
                <w:pPr>
                  <w:pStyle w:val="11"/>
                </w:pPr>
                <w:r>
                  <w:fldChar w:fldCharType="begin"/>
                </w:r>
                <w:r>
                  <w:instrText xml:space="preserve"> PAGE  \* MERGEFORMAT </w:instrText>
                </w:r>
                <w:r>
                  <w:fldChar w:fldCharType="separate"/>
                </w:r>
                <w:r>
                  <w:t>105</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0A63">
    <w:pPr>
      <w:spacing w:line="218" w:lineRule="auto"/>
      <w:ind w:left="4537"/>
      <w:rPr>
        <w:rFonts w:ascii="宋体" w:hAnsi="宋体" w:eastAsia="宋体" w:cs="宋体"/>
        <w:sz w:val="20"/>
        <w:szCs w:val="20"/>
      </w:rPr>
    </w:pPr>
    <w:r>
      <w:rPr>
        <w:sz w:val="20"/>
      </w:rPr>
      <w:pict>
        <v:shape id="_x0000_s1030" o:spid="_x0000_s1030"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weight="0.5pt"/>
          <v:imagedata o:title=""/>
          <o:lock v:ext="edit" aspectratio="f"/>
          <v:textbox inset="0mm,0mm,0mm,0mm" style="mso-fit-shape-to-text:t;">
            <w:txbxContent>
              <w:p w14:paraId="7D4794A7">
                <w:pPr>
                  <w:pStyle w:val="11"/>
                </w:pPr>
                <w:r>
                  <w:fldChar w:fldCharType="begin"/>
                </w:r>
                <w:r>
                  <w:instrText xml:space="preserve"> PAGE  \* MERGEFORMAT </w:instrText>
                </w:r>
                <w:r>
                  <w:fldChar w:fldCharType="separate"/>
                </w:r>
                <w:r>
                  <w:t>106</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0B2B">
    <w:pPr>
      <w:spacing w:line="218" w:lineRule="auto"/>
      <w:ind w:left="4522"/>
      <w:rPr>
        <w:rFonts w:ascii="宋体" w:hAnsi="宋体" w:eastAsia="宋体" w:cs="宋体"/>
        <w:sz w:val="20"/>
        <w:szCs w:val="20"/>
      </w:rPr>
    </w:pPr>
    <w:r>
      <w:rPr>
        <w:sz w:val="20"/>
      </w:rPr>
      <w:pict>
        <v:shape id="_x0000_s1029" o:spid="_x0000_s1029"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weight="0.5pt"/>
          <v:imagedata o:title=""/>
          <o:lock v:ext="edit" aspectratio="f"/>
          <v:textbox inset="0mm,0mm,0mm,0mm" style="mso-fit-shape-to-text:t;">
            <w:txbxContent>
              <w:p w14:paraId="63CE9152">
                <w:pPr>
                  <w:pStyle w:val="11"/>
                </w:pPr>
                <w:r>
                  <w:fldChar w:fldCharType="begin"/>
                </w:r>
                <w:r>
                  <w:instrText xml:space="preserve"> PAGE  \* MERGEFORMAT </w:instrText>
                </w:r>
                <w:r>
                  <w:fldChar w:fldCharType="separate"/>
                </w:r>
                <w:r>
                  <w:t>107</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AC91">
    <w:pPr>
      <w:spacing w:line="218" w:lineRule="auto"/>
      <w:ind w:left="4522"/>
      <w:rPr>
        <w:rFonts w:ascii="宋体" w:hAnsi="宋体" w:eastAsia="宋体" w:cs="宋体"/>
        <w:sz w:val="20"/>
        <w:szCs w:val="20"/>
      </w:rPr>
    </w:pPr>
    <w:r>
      <w:rPr>
        <w:sz w:val="20"/>
      </w:rPr>
      <w:pict>
        <v:shape id="_x0000_s1028" o:spid="_x0000_s1028"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weight="0.5pt"/>
          <v:imagedata o:title=""/>
          <o:lock v:ext="edit" aspectratio="f"/>
          <v:textbox inset="0mm,0mm,0mm,0mm" style="mso-fit-shape-to-text:t;">
            <w:txbxContent>
              <w:p w14:paraId="4532D682">
                <w:pPr>
                  <w:pStyle w:val="11"/>
                </w:pPr>
                <w:r>
                  <w:fldChar w:fldCharType="begin"/>
                </w:r>
                <w:r>
                  <w:instrText xml:space="preserve"> PAGE  \* MERGEFORMAT </w:instrText>
                </w:r>
                <w:r>
                  <w:fldChar w:fldCharType="separate"/>
                </w:r>
                <w:r>
                  <w:t>108</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7595">
    <w:pPr>
      <w:spacing w:line="218" w:lineRule="auto"/>
      <w:ind w:left="4362"/>
      <w:rPr>
        <w:rFonts w:ascii="宋体" w:hAnsi="宋体" w:eastAsia="宋体" w:cs="宋体"/>
        <w:sz w:val="20"/>
        <w:szCs w:val="20"/>
      </w:rPr>
    </w:pPr>
    <w:r>
      <w:rPr>
        <w:sz w:val="20"/>
      </w:rPr>
      <w:pict>
        <v:shape id="_x0000_s1027" o:spid="_x0000_s1027"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weight="0.5pt"/>
          <v:imagedata o:title=""/>
          <o:lock v:ext="edit" aspectratio="f"/>
          <v:textbox inset="0mm,0mm,0mm,0mm" style="mso-fit-shape-to-text:t;">
            <w:txbxContent>
              <w:p w14:paraId="34A81FD8">
                <w:pPr>
                  <w:pStyle w:val="11"/>
                </w:pPr>
                <w:r>
                  <w:fldChar w:fldCharType="begin"/>
                </w:r>
                <w:r>
                  <w:instrText xml:space="preserve"> PAGE  \* MERGEFORMAT </w:instrText>
                </w:r>
                <w:r>
                  <w:fldChar w:fldCharType="separate"/>
                </w:r>
                <w:r>
                  <w:t>109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69BE8">
    <w:pPr>
      <w:spacing w:line="218" w:lineRule="auto"/>
      <w:ind w:left="4365"/>
      <w:rPr>
        <w:rFonts w:ascii="宋体" w:hAnsi="宋体" w:eastAsia="宋体" w:cs="宋体"/>
        <w:sz w:val="20"/>
        <w:szCs w:val="20"/>
      </w:rPr>
    </w:pPr>
    <w:r>
      <w:rPr>
        <w:sz w:val="20"/>
      </w:rPr>
      <w:pict>
        <v:shape id="_x0000_s1063" o:spid="_x0000_s106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26625489">
                <w:pPr>
                  <w:pStyle w:val="11"/>
                </w:pPr>
                <w:r>
                  <w:fldChar w:fldCharType="begin"/>
                </w:r>
                <w:r>
                  <w:instrText xml:space="preserve"> PAGE  \* MERGEFORMAT </w:instrText>
                </w:r>
                <w:r>
                  <w:fldChar w:fldCharType="separate"/>
                </w:r>
                <w:r>
                  <w:t>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03FA">
    <w:pPr>
      <w:spacing w:line="218" w:lineRule="auto"/>
      <w:ind w:left="4365"/>
      <w:rPr>
        <w:rFonts w:ascii="宋体" w:hAnsi="宋体" w:eastAsia="宋体" w:cs="宋体"/>
        <w:sz w:val="20"/>
        <w:szCs w:val="20"/>
      </w:rPr>
    </w:pPr>
    <w:r>
      <w:rPr>
        <w:sz w:val="20"/>
      </w:rPr>
      <w:pict>
        <v:shape id="_x0000_s1062" o:spid="_x0000_s106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57DC51EB">
                <w:pPr>
                  <w:pStyle w:val="11"/>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F6EE">
    <w:pPr>
      <w:spacing w:line="218" w:lineRule="auto"/>
      <w:ind w:left="4363"/>
      <w:rPr>
        <w:rFonts w:ascii="宋体" w:hAnsi="宋体" w:eastAsia="宋体" w:cs="宋体"/>
        <w:sz w:val="20"/>
        <w:szCs w:val="20"/>
      </w:rPr>
    </w:pPr>
    <w:r>
      <w:rPr>
        <w:sz w:val="20"/>
      </w:rPr>
      <w:pict>
        <v:shape id="_x0000_s1061" o:spid="_x0000_s10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14:paraId="1CEAE755">
                <w:pPr>
                  <w:pStyle w:val="11"/>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8F64">
    <w:pPr>
      <w:spacing w:line="218" w:lineRule="auto"/>
      <w:ind w:left="4364"/>
      <w:rPr>
        <w:rFonts w:ascii="宋体" w:hAnsi="宋体" w:eastAsia="宋体" w:cs="宋体"/>
        <w:sz w:val="20"/>
        <w:szCs w:val="20"/>
      </w:rPr>
    </w:pPr>
    <w:r>
      <w:rPr>
        <w:sz w:val="20"/>
      </w:rPr>
      <w:pict>
        <v:shape id="_x0000_s1060" o:spid="_x0000_s106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58ADCB7B">
                <w:pPr>
                  <w:pStyle w:val="11"/>
                </w:pPr>
                <w:r>
                  <w:fldChar w:fldCharType="begin"/>
                </w:r>
                <w:r>
                  <w:instrText xml:space="preserve"> PAGE  \* MERGEFORMAT </w:instrText>
                </w:r>
                <w:r>
                  <w:fldChar w:fldCharType="separate"/>
                </w:r>
                <w:r>
                  <w:t>12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2D2B">
    <w:pPr>
      <w:spacing w:line="218" w:lineRule="auto"/>
      <w:ind w:left="4365"/>
      <w:rPr>
        <w:rFonts w:ascii="宋体" w:hAnsi="宋体" w:eastAsia="宋体" w:cs="宋体"/>
        <w:sz w:val="20"/>
        <w:szCs w:val="20"/>
      </w:rPr>
    </w:pPr>
    <w:r>
      <w:rPr>
        <w:sz w:val="20"/>
      </w:rPr>
      <w:pict>
        <v:shape id="_x0000_s1059" o:spid="_x0000_s105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52E81712">
                <w:pPr>
                  <w:pStyle w:val="11"/>
                </w:pPr>
                <w:r>
                  <w:fldChar w:fldCharType="begin"/>
                </w:r>
                <w:r>
                  <w:instrText xml:space="preserve"> PAGE  \* MERGEFORMAT </w:instrText>
                </w:r>
                <w:r>
                  <w:fldChar w:fldCharType="separate"/>
                </w:r>
                <w:r>
                  <w:t>13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97D4">
    <w:pPr>
      <w:spacing w:line="218" w:lineRule="auto"/>
      <w:ind w:left="4366"/>
      <w:rPr>
        <w:rFonts w:ascii="宋体" w:hAnsi="宋体" w:eastAsia="宋体" w:cs="宋体"/>
        <w:sz w:val="20"/>
        <w:szCs w:val="20"/>
      </w:rPr>
    </w:pPr>
    <w:r>
      <w:rPr>
        <w:sz w:val="20"/>
      </w:rPr>
      <w:pict>
        <v:shape id="_x0000_s1058" o:spid="_x0000_s105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0478DE88">
                <w:pPr>
                  <w:pStyle w:val="11"/>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33"/>
      <w:lvlText w:val="%1."/>
      <w:lvlJc w:val="left"/>
      <w:pPr>
        <w:ind w:left="0" w:firstLine="0"/>
      </w:pPr>
      <w:rPr>
        <w:rFonts w:hint="eastAsia" w:ascii="黑体" w:hAnsi="黑体" w:eastAsia="黑体"/>
        <w:b/>
        <w:i w:val="0"/>
        <w:sz w:val="32"/>
      </w:rPr>
    </w:lvl>
    <w:lvl w:ilvl="1" w:tentative="0">
      <w:start w:val="1"/>
      <w:numFmt w:val="decimal"/>
      <w:isLgl/>
      <w:lvlText w:val="%1.%2."/>
      <w:lvlJc w:val="left"/>
      <w:pPr>
        <w:ind w:left="568" w:firstLine="0"/>
      </w:pPr>
      <w:rPr>
        <w:rFonts w:hint="eastAsia" w:ascii="黑体" w:hAnsi="Times New Roman" w:eastAsia="黑体" w:cs="Times New Roman"/>
        <w:b/>
        <w:bCs w:val="0"/>
        <w:i w:val="0"/>
        <w:iCs w:val="0"/>
        <w:caps w:val="0"/>
        <w:smallCaps w:val="0"/>
        <w:vanish w:val="0"/>
        <w:color w:val="000000"/>
        <w:spacing w:val="0"/>
        <w:position w:val="0"/>
        <w:sz w:val="30"/>
        <w:u w:val="none"/>
        <w:vertAlign w:val="baseline"/>
        <w:lang w:bidi="zh-CN"/>
      </w:rPr>
    </w:lvl>
    <w:lvl w:ilvl="2" w:tentative="0">
      <w:start w:val="1"/>
      <w:numFmt w:val="decimal"/>
      <w:isLgl/>
      <w:lvlText w:val="%1.%2.%3."/>
      <w:lvlJc w:val="left"/>
      <w:pPr>
        <w:ind w:left="840" w:firstLine="0"/>
      </w:pPr>
      <w:rPr>
        <w:rFonts w:hint="eastAsia" w:cs="Times New Roman"/>
        <w:bCs w:val="0"/>
        <w:i w:val="0"/>
        <w:iCs w:val="0"/>
        <w:caps w:val="0"/>
        <w:smallCaps w:val="0"/>
        <w:vanish w:val="0"/>
        <w:color w:val="000000"/>
        <w:spacing w:val="0"/>
        <w:position w:val="0"/>
        <w:u w:val="none"/>
        <w:vertAlign w:val="baseline"/>
        <w:lang w:bidi="zh-CN"/>
      </w:rPr>
    </w:lvl>
    <w:lvl w:ilvl="3" w:tentative="0">
      <w:start w:val="1"/>
      <w:numFmt w:val="decimal"/>
      <w:isLgl/>
      <w:lvlText w:val="%1.%2.%3.%4."/>
      <w:lvlJc w:val="left"/>
      <w:pPr>
        <w:ind w:left="6521" w:firstLine="0"/>
      </w:pPr>
      <w:rPr>
        <w:rFonts w:hint="eastAsia" w:cs="Times New Roman"/>
        <w:bCs w:val="0"/>
        <w:i w:val="0"/>
        <w:iCs w:val="0"/>
        <w:caps w:val="0"/>
        <w:smallCaps w:val="0"/>
        <w:vanish w:val="0"/>
        <w:color w:val="000000"/>
        <w:spacing w:val="0"/>
        <w:position w:val="0"/>
        <w:u w:val="none"/>
        <w:vertAlign w:val="baseline"/>
        <w:lang w:bidi="zh-CN"/>
      </w:rPr>
    </w:lvl>
    <w:lvl w:ilvl="4" w:tentative="0">
      <w:start w:val="1"/>
      <w:numFmt w:val="decimal"/>
      <w:isLgl/>
      <w:lvlText w:val="%1.%2.%3.%4.%5."/>
      <w:lvlJc w:val="left"/>
      <w:pPr>
        <w:ind w:left="-2" w:firstLine="0"/>
      </w:pPr>
      <w:rPr>
        <w:rFonts w:hint="eastAsia" w:cs="Times New Roman"/>
        <w:bCs w:val="0"/>
        <w:i w:val="0"/>
        <w:iCs w:val="0"/>
        <w:caps w:val="0"/>
        <w:smallCaps w:val="0"/>
        <w:vanish w:val="0"/>
        <w:color w:val="000000"/>
        <w:spacing w:val="0"/>
        <w:position w:val="0"/>
        <w:u w:val="none"/>
        <w:vertAlign w:val="baseline"/>
        <w:lang w:bidi="zh-CN"/>
      </w:rPr>
    </w:lvl>
    <w:lvl w:ilvl="5" w:tentative="0">
      <w:start w:val="1"/>
      <w:numFmt w:val="decimal"/>
      <w:isLgl/>
      <w:lvlText w:val="%1.%2.%3.%4.%5.%6."/>
      <w:lvlJc w:val="left"/>
      <w:pPr>
        <w:ind w:left="0" w:firstLine="0"/>
      </w:pPr>
      <w:rPr>
        <w:rFonts w:cs="Times New Roman"/>
        <w:bCs w:val="0"/>
        <w:i w:val="0"/>
        <w:iCs w:val="0"/>
        <w:caps w:val="0"/>
        <w:smallCaps w:val="0"/>
        <w:vanish w:val="0"/>
        <w:color w:val="000000"/>
        <w:spacing w:val="0"/>
        <w:position w:val="0"/>
        <w:u w:val="none"/>
        <w:vertAlign w:val="baseline"/>
        <w:lang w:bidi="zh-CN"/>
      </w:rPr>
    </w:lvl>
    <w:lvl w:ilvl="6" w:tentative="0">
      <w:start w:val="1"/>
      <w:numFmt w:val="decimal"/>
      <w:isLgl/>
      <w:lvlText w:val="%1.%2.%3.%4.%5.%6.%7."/>
      <w:lvlJc w:val="left"/>
      <w:pPr>
        <w:ind w:left="0" w:firstLine="0"/>
      </w:pPr>
      <w:rPr>
        <w:rFonts w:hint="eastAsia" w:cs="Times New Roman"/>
        <w:bCs w:val="0"/>
        <w:i w:val="0"/>
        <w:iCs w:val="0"/>
        <w:caps w:val="0"/>
        <w:smallCaps w:val="0"/>
        <w:vanish w:val="0"/>
        <w:color w:val="000000"/>
        <w:spacing w:val="0"/>
        <w:position w:val="0"/>
        <w:u w:val="none"/>
        <w:vertAlign w:val="baseline"/>
        <w:lang w:bidi="zh-CN"/>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000000B"/>
    <w:multiLevelType w:val="singleLevel"/>
    <w:tmpl w:val="0000000B"/>
    <w:lvl w:ilvl="0" w:tentative="0">
      <w:start w:val="1"/>
      <w:numFmt w:val="decimal"/>
      <w:pStyle w:val="5"/>
      <w:lvlText w:val="%1."/>
      <w:lvlJc w:val="left"/>
      <w:pPr>
        <w:tabs>
          <w:tab w:val="left" w:pos="425"/>
        </w:tabs>
        <w:ind w:left="425" w:hanging="425"/>
      </w:pPr>
      <w:rPr>
        <w:rFonts w:hint="eastAsia"/>
      </w:rPr>
    </w:lvl>
  </w:abstractNum>
  <w:abstractNum w:abstractNumId="2">
    <w:nsid w:val="577E4A12"/>
    <w:multiLevelType w:val="multilevel"/>
    <w:tmpl w:val="577E4A12"/>
    <w:lvl w:ilvl="0" w:tentative="0">
      <w:start w:val="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compat>
    <w:spaceForUL/>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k0ODgyOWU2NGU3NDY3YjAxYTEyYTE2ZDUxNTlmOTAifQ=="/>
    <w:docVar w:name="KSO_WPS_MARK_KEY" w:val="dfa3645d-28a7-4718-b6b2-93ab3f4b7bfc"/>
  </w:docVars>
  <w:rsids>
    <w:rsidRoot w:val="00CF06DB"/>
    <w:rsid w:val="001856EE"/>
    <w:rsid w:val="0039542E"/>
    <w:rsid w:val="003A1632"/>
    <w:rsid w:val="00802528"/>
    <w:rsid w:val="00A00677"/>
    <w:rsid w:val="00B912A8"/>
    <w:rsid w:val="00BF4F95"/>
    <w:rsid w:val="00C3335D"/>
    <w:rsid w:val="00CF06DB"/>
    <w:rsid w:val="01323CE1"/>
    <w:rsid w:val="02E64DD0"/>
    <w:rsid w:val="034A1224"/>
    <w:rsid w:val="0350712E"/>
    <w:rsid w:val="07A11279"/>
    <w:rsid w:val="08D0577F"/>
    <w:rsid w:val="08E51106"/>
    <w:rsid w:val="09C83B71"/>
    <w:rsid w:val="0A9D6E50"/>
    <w:rsid w:val="0AA07092"/>
    <w:rsid w:val="0B3B332F"/>
    <w:rsid w:val="0C450F5D"/>
    <w:rsid w:val="0CBB030B"/>
    <w:rsid w:val="0E543CFB"/>
    <w:rsid w:val="10FB0CD9"/>
    <w:rsid w:val="1182211B"/>
    <w:rsid w:val="11AF7C48"/>
    <w:rsid w:val="17604A0F"/>
    <w:rsid w:val="17F91CCA"/>
    <w:rsid w:val="18622CA6"/>
    <w:rsid w:val="188E5745"/>
    <w:rsid w:val="193D70CE"/>
    <w:rsid w:val="1BBD7C92"/>
    <w:rsid w:val="1DD047E8"/>
    <w:rsid w:val="1E9A3921"/>
    <w:rsid w:val="1F74489A"/>
    <w:rsid w:val="2097329E"/>
    <w:rsid w:val="20BB035D"/>
    <w:rsid w:val="219B3A9F"/>
    <w:rsid w:val="25515018"/>
    <w:rsid w:val="256256AA"/>
    <w:rsid w:val="25825657"/>
    <w:rsid w:val="25DE36E5"/>
    <w:rsid w:val="278B61B4"/>
    <w:rsid w:val="28BB2C11"/>
    <w:rsid w:val="29D302DA"/>
    <w:rsid w:val="2B9B72D2"/>
    <w:rsid w:val="2FFE1162"/>
    <w:rsid w:val="359378F4"/>
    <w:rsid w:val="38DF57AF"/>
    <w:rsid w:val="3A36701B"/>
    <w:rsid w:val="3AA23F9F"/>
    <w:rsid w:val="3C4B432D"/>
    <w:rsid w:val="3E0F3EBC"/>
    <w:rsid w:val="3F934A87"/>
    <w:rsid w:val="3FF1217E"/>
    <w:rsid w:val="40287A75"/>
    <w:rsid w:val="4039015C"/>
    <w:rsid w:val="44266C6F"/>
    <w:rsid w:val="461056B3"/>
    <w:rsid w:val="47507FEA"/>
    <w:rsid w:val="47645462"/>
    <w:rsid w:val="47BA4A16"/>
    <w:rsid w:val="47E75BD9"/>
    <w:rsid w:val="4A0423A1"/>
    <w:rsid w:val="4AA8583B"/>
    <w:rsid w:val="4AD30C6C"/>
    <w:rsid w:val="4E877607"/>
    <w:rsid w:val="4EFF1B0A"/>
    <w:rsid w:val="50B32504"/>
    <w:rsid w:val="513D1F27"/>
    <w:rsid w:val="51447A43"/>
    <w:rsid w:val="51F57C80"/>
    <w:rsid w:val="530D1465"/>
    <w:rsid w:val="539C7FED"/>
    <w:rsid w:val="54642E23"/>
    <w:rsid w:val="54B90E9C"/>
    <w:rsid w:val="553A6CB0"/>
    <w:rsid w:val="5572737D"/>
    <w:rsid w:val="569C5FA7"/>
    <w:rsid w:val="57E21F37"/>
    <w:rsid w:val="59614B21"/>
    <w:rsid w:val="5A5860E8"/>
    <w:rsid w:val="5CCD6334"/>
    <w:rsid w:val="5D170D7E"/>
    <w:rsid w:val="5D97409B"/>
    <w:rsid w:val="5E3503A4"/>
    <w:rsid w:val="603E20F6"/>
    <w:rsid w:val="612754C0"/>
    <w:rsid w:val="631C415D"/>
    <w:rsid w:val="634375F0"/>
    <w:rsid w:val="66531505"/>
    <w:rsid w:val="66B375AF"/>
    <w:rsid w:val="6AB9187F"/>
    <w:rsid w:val="6B347157"/>
    <w:rsid w:val="6CAD5941"/>
    <w:rsid w:val="6F5A6049"/>
    <w:rsid w:val="714300F4"/>
    <w:rsid w:val="72571FDE"/>
    <w:rsid w:val="74A533CF"/>
    <w:rsid w:val="75D87B50"/>
    <w:rsid w:val="786D555D"/>
    <w:rsid w:val="7BC25254"/>
    <w:rsid w:val="7BC70F46"/>
    <w:rsid w:val="7D59780A"/>
    <w:rsid w:val="7E14702F"/>
    <w:rsid w:val="7EFD6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keepNext/>
      <w:keepLines/>
      <w:spacing w:line="360" w:lineRule="auto"/>
      <w:jc w:val="center"/>
      <w:outlineLvl w:val="0"/>
    </w:pPr>
    <w:rPr>
      <w:rFonts w:eastAsia="宋体"/>
      <w:b/>
      <w:kern w:val="44"/>
      <w:sz w:val="30"/>
    </w:rPr>
  </w:style>
  <w:style w:type="paragraph" w:styleId="5">
    <w:name w:val="heading 3"/>
    <w:basedOn w:val="1"/>
    <w:next w:val="1"/>
    <w:autoRedefine/>
    <w:qFormat/>
    <w:uiPriority w:val="0"/>
    <w:pPr>
      <w:keepNext/>
      <w:keepLines/>
      <w:numPr>
        <w:ilvl w:val="0"/>
        <w:numId w:val="1"/>
      </w:numPr>
      <w:tabs>
        <w:tab w:val="left" w:pos="5852"/>
        <w:tab w:val="clear" w:pos="425"/>
      </w:tabs>
      <w:spacing w:before="360" w:line="240" w:lineRule="exact"/>
      <w:outlineLvl w:val="2"/>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Cs w:val="20"/>
    </w:rPr>
  </w:style>
  <w:style w:type="paragraph" w:styleId="3">
    <w:name w:val="Body Text Indent"/>
    <w:basedOn w:val="1"/>
    <w:autoRedefine/>
    <w:qFormat/>
    <w:uiPriority w:val="0"/>
    <w:pPr>
      <w:spacing w:after="120"/>
      <w:ind w:left="420" w:leftChars="200"/>
    </w:pPr>
    <w:rPr>
      <w:rFonts w:ascii="Calibri" w:hAnsi="Calibri"/>
    </w:rPr>
  </w:style>
  <w:style w:type="paragraph" w:styleId="6">
    <w:name w:val="Normal Indent"/>
    <w:basedOn w:val="1"/>
    <w:autoRedefine/>
    <w:qFormat/>
    <w:uiPriority w:val="99"/>
    <w:pPr>
      <w:ind w:firstLine="420" w:firstLineChars="200"/>
    </w:pPr>
    <w:rPr>
      <w:rFonts w:ascii="Calibri" w:hAnsi="Calibri"/>
      <w:sz w:val="24"/>
      <w:szCs w:val="20"/>
    </w:rPr>
  </w:style>
  <w:style w:type="paragraph" w:styleId="7">
    <w:name w:val="annotation text"/>
    <w:basedOn w:val="1"/>
    <w:autoRedefine/>
    <w:qFormat/>
    <w:uiPriority w:val="0"/>
  </w:style>
  <w:style w:type="paragraph" w:styleId="8">
    <w:name w:val="Body Text"/>
    <w:basedOn w:val="1"/>
    <w:next w:val="1"/>
    <w:autoRedefine/>
    <w:semiHidden/>
    <w:qFormat/>
    <w:uiPriority w:val="0"/>
  </w:style>
  <w:style w:type="paragraph" w:styleId="9">
    <w:name w:val="Plain Text"/>
    <w:basedOn w:val="1"/>
    <w:autoRedefine/>
    <w:qFormat/>
    <w:uiPriority w:val="99"/>
    <w:rPr>
      <w:rFonts w:ascii="宋体" w:hAnsi="Courier New"/>
      <w:szCs w:val="20"/>
    </w:rPr>
  </w:style>
  <w:style w:type="paragraph" w:styleId="10">
    <w:name w:val="Balloon Text"/>
    <w:basedOn w:val="1"/>
    <w:link w:val="36"/>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autoRedefine/>
    <w:qFormat/>
    <w:uiPriority w:val="99"/>
  </w:style>
  <w:style w:type="paragraph" w:styleId="14">
    <w:name w:val="toc 2"/>
    <w:basedOn w:val="1"/>
    <w:next w:val="1"/>
    <w:autoRedefine/>
    <w:qFormat/>
    <w:uiPriority w:val="0"/>
    <w:pPr>
      <w:ind w:left="420" w:leftChars="200"/>
    </w:pPr>
  </w:style>
  <w:style w:type="paragraph" w:styleId="15">
    <w:name w:val="Normal (Web)"/>
    <w:basedOn w:val="1"/>
    <w:next w:val="1"/>
    <w:autoRedefine/>
    <w:qFormat/>
    <w:uiPriority w:val="99"/>
    <w:pPr>
      <w:spacing w:before="100" w:beforeAutospacing="1" w:after="100" w:afterAutospacing="1"/>
    </w:pPr>
    <w:rPr>
      <w:sz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99"/>
    <w:rPr>
      <w:rFonts w:cs="Times New Roman"/>
      <w:b/>
    </w:rPr>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样式 标题 3 + (中文) 黑体 小四 非加粗 段前: 7.8 磅 段后: 0 磅 行距: 固定值 20 磅"/>
    <w:basedOn w:val="5"/>
    <w:autoRedefine/>
    <w:qFormat/>
    <w:uiPriority w:val="0"/>
    <w:pPr>
      <w:tabs>
        <w:tab w:val="left" w:pos="425"/>
        <w:tab w:val="clear" w:pos="5852"/>
      </w:tabs>
      <w:spacing w:before="0" w:line="400" w:lineRule="exact"/>
    </w:pPr>
    <w:rPr>
      <w:rFonts w:eastAsia="黑体" w:cs="宋体"/>
      <w:b w:val="0"/>
      <w:sz w:val="24"/>
    </w:rPr>
  </w:style>
  <w:style w:type="paragraph" w:customStyle="1" w:styleId="23">
    <w:name w:val="Fließtext"/>
    <w:basedOn w:val="1"/>
    <w:autoRedefine/>
    <w:qFormat/>
    <w:uiPriority w:val="99"/>
    <w:pPr>
      <w:overflowPunct w:val="0"/>
    </w:pPr>
    <w:rPr>
      <w:kern w:val="28"/>
      <w:szCs w:val="20"/>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4"/>
      <w:szCs w:val="24"/>
    </w:rPr>
  </w:style>
  <w:style w:type="paragraph" w:customStyle="1" w:styleId="26">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null3"/>
    <w:autoRedefine/>
    <w:hidden/>
    <w:qFormat/>
    <w:uiPriority w:val="0"/>
    <w:rPr>
      <w:rFonts w:hint="eastAsia" w:asciiTheme="minorHAnsi" w:hAnsiTheme="minorHAnsi" w:eastAsiaTheme="minorEastAsia" w:cstheme="minorBidi"/>
      <w:lang w:val="en-US" w:eastAsia="zh-CN" w:bidi="ar-SA"/>
    </w:rPr>
  </w:style>
  <w:style w:type="character" w:customStyle="1" w:styleId="28">
    <w:name w:val="edittexttarea"/>
    <w:basedOn w:val="18"/>
    <w:autoRedefine/>
    <w:qFormat/>
    <w:uiPriority w:val="99"/>
    <w:rPr>
      <w:rFonts w:cs="Times New Roman"/>
    </w:rPr>
  </w:style>
  <w:style w:type="paragraph" w:styleId="29">
    <w:name w:val="List Paragraph"/>
    <w:basedOn w:val="1"/>
    <w:autoRedefine/>
    <w:qFormat/>
    <w:uiPriority w:val="0"/>
    <w:pPr>
      <w:ind w:firstLine="420" w:firstLineChars="200"/>
    </w:pPr>
    <w:rPr>
      <w:rFonts w:ascii="Calibri" w:hAnsi="Calibri"/>
      <w:szCs w:val="20"/>
    </w:rPr>
  </w:style>
  <w:style w:type="paragraph" w:customStyle="1" w:styleId="30">
    <w:name w:val="市数办4"/>
    <w:basedOn w:val="31"/>
    <w:autoRedefine/>
    <w:qFormat/>
    <w:uiPriority w:val="0"/>
    <w:pPr>
      <w:numPr>
        <w:ilvl w:val="3"/>
      </w:numPr>
      <w:outlineLvl w:val="3"/>
    </w:pPr>
    <w:rPr>
      <w:szCs w:val="24"/>
    </w:rPr>
  </w:style>
  <w:style w:type="paragraph" w:customStyle="1" w:styleId="31">
    <w:name w:val="市数办3"/>
    <w:basedOn w:val="32"/>
    <w:autoRedefine/>
    <w:qFormat/>
    <w:uiPriority w:val="0"/>
    <w:pPr>
      <w:numPr>
        <w:ilvl w:val="2"/>
      </w:numPr>
      <w:outlineLvl w:val="2"/>
    </w:pPr>
    <w:rPr>
      <w:sz w:val="28"/>
      <w:szCs w:val="28"/>
    </w:rPr>
  </w:style>
  <w:style w:type="paragraph" w:customStyle="1" w:styleId="32">
    <w:name w:val="市数办2"/>
    <w:basedOn w:val="33"/>
    <w:autoRedefine/>
    <w:qFormat/>
    <w:uiPriority w:val="0"/>
    <w:pPr>
      <w:numPr>
        <w:ilvl w:val="1"/>
        <w:numId w:val="0"/>
      </w:numPr>
      <w:outlineLvl w:val="1"/>
    </w:pPr>
    <w:rPr>
      <w:sz w:val="30"/>
      <w:szCs w:val="30"/>
    </w:rPr>
  </w:style>
  <w:style w:type="paragraph" w:customStyle="1" w:styleId="33">
    <w:name w:val="市数办1"/>
    <w:basedOn w:val="34"/>
    <w:autoRedefine/>
    <w:qFormat/>
    <w:uiPriority w:val="0"/>
    <w:pPr>
      <w:numPr>
        <w:ilvl w:val="0"/>
        <w:numId w:val="2"/>
      </w:numPr>
      <w:ind w:firstLine="200" w:firstLineChars="200"/>
      <w:outlineLvl w:val="0"/>
    </w:pPr>
    <w:rPr>
      <w:rFonts w:ascii="黑体" w:hAnsi="黑体" w:eastAsia="黑体" w:cs="宋体"/>
      <w:b/>
      <w:sz w:val="32"/>
      <w:szCs w:val="32"/>
    </w:rPr>
  </w:style>
  <w:style w:type="paragraph" w:customStyle="1" w:styleId="34">
    <w:name w:val="列表段落1"/>
    <w:basedOn w:val="1"/>
    <w:autoRedefine/>
    <w:qFormat/>
    <w:uiPriority w:val="99"/>
    <w:pPr>
      <w:ind w:firstLine="420"/>
    </w:pPr>
  </w:style>
  <w:style w:type="character" w:customStyle="1" w:styleId="35">
    <w:name w:val="font31"/>
    <w:basedOn w:val="18"/>
    <w:autoRedefine/>
    <w:qFormat/>
    <w:uiPriority w:val="0"/>
    <w:rPr>
      <w:rFonts w:hint="eastAsia" w:ascii="宋体" w:hAnsi="宋体" w:eastAsia="宋体" w:cs="宋体"/>
      <w:b/>
      <w:bCs/>
      <w:color w:val="FF0000"/>
      <w:sz w:val="22"/>
      <w:szCs w:val="22"/>
      <w:u w:val="none"/>
    </w:rPr>
  </w:style>
  <w:style w:type="character" w:customStyle="1" w:styleId="36">
    <w:name w:val="批注框文本 Char"/>
    <w:basedOn w:val="18"/>
    <w:link w:val="10"/>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66"/>
    <customShpInfo spid="_x0000_s1050"/>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6"/>
    <customShpInfo spid="_x0000_s1035"/>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112</Pages>
  <Words>15035</Words>
  <Characters>15668</Characters>
  <Lines>568</Lines>
  <Paragraphs>160</Paragraphs>
  <TotalTime>1</TotalTime>
  <ScaleCrop>false</ScaleCrop>
  <LinksUpToDate>false</LinksUpToDate>
  <CharactersWithSpaces>16313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2023-12-29T15:39:00Z</dcterms:created>
  <dc:creator>Kingsoft-PDF</dc:creator>
  <cp:lastModifiedBy>阿郑</cp:lastModifiedBy>
  <dcterms:modified xsi:type="dcterms:W3CDTF">2025-08-01T00:51:10Z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2023-12-29T15:39:22Z</vt:filetime>
  </property>
  <property fmtid="{D5CDD505-2E9C-101B-9397-08002B2CF9AE}" pid="4" name="UsrData">
    <vt:lpwstr>658e77994d394d001fed63f1wl</vt:lpwstr>
  </property>
  <property fmtid="{D5CDD505-2E9C-101B-9397-08002B2CF9AE}" pid="5" name="KSOProductBuildVer">
    <vt:lpwstr>2052-12.1.0.21171</vt:lpwstr>
  </property>
  <property fmtid="{D5CDD505-2E9C-101B-9397-08002B2CF9AE}" pid="6" name="ICV">
    <vt:lpwstr>2FB1AB3339F640C69A540C072E394685_13</vt:lpwstr>
  </property>
  <property fmtid="{D5CDD505-2E9C-101B-9397-08002B2CF9AE}" pid="7" name="KSOTemplateDocerSaveRecord">
    <vt:lpwstr>eyJoZGlkIjoiODM0YzQzMGFjMjUzMGYwODMwZjhmZTEzMTA0N2U0NTciLCJ1c2VySWQiOiI0Nzg4MDI0NDMifQ==</vt:lpwstr>
  </property>
</Properties>
</file>