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F4" w:rsidRDefault="007C30F4" w:rsidP="007C30F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7C30F4" w:rsidRDefault="007C30F4" w:rsidP="007C30F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7C30F4" w:rsidRPr="00265FBE" w:rsidRDefault="007C30F4" w:rsidP="007C30F4">
      <w:pPr>
        <w:spacing w:line="560" w:lineRule="exact"/>
        <w:jc w:val="right"/>
        <w:rPr>
          <w:rFonts w:ascii="Times New Roman" w:eastAsia="楷体_GB2312" w:hAnsi="Times New Roman" w:cs="楷体_GB2312"/>
          <w:szCs w:val="32"/>
        </w:rPr>
      </w:pPr>
      <w:r>
        <w:rPr>
          <w:rFonts w:ascii="Times New Roman" w:eastAsia="楷体_GB2312" w:hAnsi="Times New Roman" w:cs="楷体_GB2312" w:hint="eastAsia"/>
          <w:szCs w:val="32"/>
        </w:rPr>
        <w:t>（</w:t>
      </w:r>
      <w:r>
        <w:rPr>
          <w:rFonts w:ascii="Times New Roman" w:eastAsia="楷体_GB2312" w:hAnsi="Times New Roman" w:cs="楷体_GB2312"/>
          <w:szCs w:val="32"/>
        </w:rPr>
        <w:t>20</w:t>
      </w:r>
      <w:r>
        <w:rPr>
          <w:rFonts w:ascii="Times New Roman" w:eastAsia="楷体_GB2312" w:hAnsi="Times New Roman" w:cs="楷体_GB2312" w:hint="eastAsia"/>
          <w:szCs w:val="32"/>
        </w:rPr>
        <w:t>2</w:t>
      </w:r>
      <w:r>
        <w:rPr>
          <w:rFonts w:ascii="Times New Roman" w:eastAsia="楷体_GB2312" w:hAnsi="Times New Roman" w:cs="楷体_GB2312"/>
          <w:szCs w:val="32"/>
        </w:rPr>
        <w:t>1</w:t>
      </w:r>
      <w:r>
        <w:rPr>
          <w:rFonts w:ascii="Times New Roman" w:eastAsia="楷体_GB2312" w:hAnsi="Times New Roman" w:cs="楷体_GB2312" w:hint="eastAsia"/>
          <w:szCs w:val="32"/>
        </w:rPr>
        <w:t>）闽泉狱减字第</w:t>
      </w:r>
      <w:r>
        <w:rPr>
          <w:rFonts w:ascii="Times New Roman" w:eastAsia="楷体_GB2312" w:hAnsi="Times New Roman" w:cs="楷体_GB2312" w:hint="eastAsia"/>
          <w:szCs w:val="32"/>
        </w:rPr>
        <w:t>133</w:t>
      </w:r>
      <w:r>
        <w:rPr>
          <w:rFonts w:ascii="Times New Roman" w:eastAsia="楷体_GB2312" w:hAnsi="Times New Roman" w:cs="楷体_GB2312" w:hint="eastAsia"/>
          <w:szCs w:val="32"/>
        </w:rPr>
        <w:t>号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罪犯林国敬</w:t>
      </w:r>
      <w:r w:rsidR="00052536">
        <w:rPr>
          <w:rFonts w:ascii="Times New Roman" w:hAnsi="Times New Roman"/>
          <w:szCs w:val="32"/>
        </w:rPr>
        <w:fldChar w:fldCharType="begin"/>
      </w:r>
      <w:r>
        <w:rPr>
          <w:rFonts w:ascii="Times New Roman" w:hAnsi="Times New Roman"/>
          <w:szCs w:val="32"/>
        </w:rPr>
        <w:instrText xml:space="preserve"> AUTOTEXTLIST  \* MERGEFORMAT </w:instrText>
      </w:r>
      <w:r w:rsidR="00052536">
        <w:rPr>
          <w:rFonts w:ascii="Times New Roman" w:hAnsi="Times New Roman"/>
          <w:szCs w:val="32"/>
        </w:rPr>
        <w:fldChar w:fldCharType="end"/>
      </w:r>
      <w:r>
        <w:rPr>
          <w:rFonts w:ascii="Times New Roman" w:hAnsi="Times New Roman" w:hint="eastAsia"/>
          <w:szCs w:val="32"/>
        </w:rPr>
        <w:t>，男，汉族，</w:t>
      </w:r>
      <w:r>
        <w:rPr>
          <w:rFonts w:ascii="Times New Roman" w:hAnsi="Times New Roman" w:hint="eastAsia"/>
          <w:szCs w:val="32"/>
        </w:rPr>
        <w:t>1974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10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30</w:t>
      </w:r>
      <w:r>
        <w:rPr>
          <w:rFonts w:ascii="Times New Roman" w:hAnsi="Times New Roman" w:hint="eastAsia"/>
          <w:szCs w:val="32"/>
        </w:rPr>
        <w:t>日出生，户籍所在地</w:t>
      </w:r>
      <w:r w:rsidRPr="00A024B1">
        <w:rPr>
          <w:rFonts w:ascii="Times New Roman" w:hAnsi="Times New Roman" w:hint="eastAsia"/>
          <w:szCs w:val="32"/>
        </w:rPr>
        <w:t>福建省古田县</w:t>
      </w:r>
      <w:r>
        <w:rPr>
          <w:rFonts w:ascii="Times New Roman" w:hAnsi="Times New Roman" w:hint="eastAsia"/>
          <w:szCs w:val="32"/>
        </w:rPr>
        <w:t>，捕前系农民。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福建省宁德市中级人民法院于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20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）宁刑初字第</w:t>
      </w:r>
      <w:r>
        <w:rPr>
          <w:rFonts w:ascii="Times New Roman" w:hAnsi="Times New Roman" w:hint="eastAsia"/>
          <w:szCs w:val="32"/>
        </w:rPr>
        <w:t>6</w:t>
      </w:r>
      <w:r>
        <w:rPr>
          <w:rFonts w:ascii="Times New Roman" w:hAnsi="Times New Roman" w:hint="eastAsia"/>
          <w:szCs w:val="32"/>
        </w:rPr>
        <w:t>号刑事附带民事判决，以被告人林国敬犯故意杀人罪，判处死刑，缓期二年执行，剥夺政治权利终身，对被告人林国敬限制减刑；被告人林国敬应退赔违法所得人民币</w:t>
      </w:r>
      <w:r>
        <w:rPr>
          <w:rFonts w:ascii="Times New Roman" w:hAnsi="Times New Roman" w:hint="eastAsia"/>
          <w:szCs w:val="32"/>
        </w:rPr>
        <w:t>260</w:t>
      </w:r>
      <w:r>
        <w:rPr>
          <w:rFonts w:ascii="Times New Roman" w:hAnsi="Times New Roman" w:hint="eastAsia"/>
          <w:szCs w:val="32"/>
        </w:rPr>
        <w:t>元，应赔偿附带民事诉讼原告人经济损失人民币</w:t>
      </w:r>
      <w:r>
        <w:rPr>
          <w:rFonts w:ascii="Times New Roman" w:hAnsi="Times New Roman" w:hint="eastAsia"/>
          <w:szCs w:val="32"/>
        </w:rPr>
        <w:t>301730.5</w:t>
      </w:r>
      <w:r>
        <w:rPr>
          <w:rFonts w:ascii="Times New Roman" w:hAnsi="Times New Roman" w:hint="eastAsia"/>
          <w:szCs w:val="32"/>
        </w:rPr>
        <w:t>元。因原审附带民事诉讼原告人对民事判决部分不服，提出上诉。福建省高级人民法院于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）闽刑终字第</w:t>
      </w:r>
      <w:r>
        <w:rPr>
          <w:rFonts w:ascii="Times New Roman" w:hAnsi="Times New Roman" w:hint="eastAsia"/>
          <w:szCs w:val="32"/>
        </w:rPr>
        <w:t>253</w:t>
      </w:r>
      <w:r>
        <w:rPr>
          <w:rFonts w:ascii="Times New Roman" w:hAnsi="Times New Roman" w:hint="eastAsia"/>
          <w:szCs w:val="32"/>
        </w:rPr>
        <w:t>号刑事附带民事裁定，驳回上诉，维持原判。本案刑事部分在法定期限内没有上诉、抗诉。福建省高级人民法院于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17</w:t>
      </w:r>
      <w:r>
        <w:rPr>
          <w:rFonts w:ascii="Times New Roman" w:hAnsi="Times New Roman" w:hint="eastAsia"/>
          <w:szCs w:val="32"/>
        </w:rPr>
        <w:t>日作出（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）闽刑复字第</w:t>
      </w:r>
      <w:r>
        <w:rPr>
          <w:rFonts w:ascii="Times New Roman" w:hAnsi="Times New Roman" w:hint="eastAsia"/>
          <w:szCs w:val="32"/>
        </w:rPr>
        <w:t>37</w:t>
      </w:r>
      <w:r>
        <w:rPr>
          <w:rFonts w:ascii="Times New Roman" w:hAnsi="Times New Roman" w:hint="eastAsia"/>
          <w:szCs w:val="32"/>
        </w:rPr>
        <w:t>号刑事裁定，核准原判。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13</w:t>
      </w:r>
      <w:r>
        <w:rPr>
          <w:rFonts w:ascii="Times New Roman" w:hAnsi="Times New Roman" w:hint="eastAsia"/>
          <w:szCs w:val="32"/>
        </w:rPr>
        <w:t>日交付福建省建阳监狱执行刑罚。</w:t>
      </w:r>
      <w:r>
        <w:rPr>
          <w:rFonts w:ascii="Times New Roman" w:hAnsi="Times New Roman" w:hint="eastAsia"/>
          <w:szCs w:val="32"/>
        </w:rPr>
        <w:t>2018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19</w:t>
      </w:r>
      <w:r>
        <w:rPr>
          <w:rFonts w:ascii="Times New Roman" w:hAnsi="Times New Roman" w:hint="eastAsia"/>
          <w:szCs w:val="32"/>
        </w:rPr>
        <w:t>日调入泉州监狱执行刑罚。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11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23</w:t>
      </w:r>
      <w:r>
        <w:rPr>
          <w:rFonts w:ascii="Times New Roman" w:hAnsi="Times New Roman" w:hint="eastAsia"/>
          <w:szCs w:val="32"/>
        </w:rPr>
        <w:t>日，福建省高级人民法院以（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）闽刑执字第</w:t>
      </w:r>
      <w:r>
        <w:rPr>
          <w:rFonts w:ascii="Times New Roman" w:hAnsi="Times New Roman" w:hint="eastAsia"/>
          <w:szCs w:val="32"/>
        </w:rPr>
        <w:t>841</w:t>
      </w:r>
      <w:r>
        <w:rPr>
          <w:rFonts w:ascii="Times New Roman" w:hAnsi="Times New Roman" w:hint="eastAsia"/>
          <w:szCs w:val="32"/>
        </w:rPr>
        <w:t>号刑事裁定书，将其刑罚减为无期徒刑，剥夺政治权利终身不变。现属普管级罪犯。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罪犯林国敬在死刑缓期执行期间没有故意犯罪，在无期徒刑服刑期间表现如下：</w:t>
      </w:r>
      <w:r>
        <w:rPr>
          <w:rFonts w:ascii="Times New Roman" w:hAnsi="Times New Roman"/>
          <w:szCs w:val="32"/>
        </w:rPr>
        <w:t xml:space="preserve"> 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该犯死刑缓期二年执行期间</w:t>
      </w:r>
      <w:r>
        <w:rPr>
          <w:rFonts w:ascii="Times New Roman" w:hAnsi="Times New Roman" w:hint="eastAsia"/>
          <w:szCs w:val="32"/>
        </w:rPr>
        <w:t>2013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7</w:t>
      </w:r>
      <w:r>
        <w:rPr>
          <w:rFonts w:ascii="Times New Roman" w:hAnsi="Times New Roman" w:hint="eastAsia"/>
          <w:szCs w:val="32"/>
        </w:rPr>
        <w:t>月累计获考核分</w:t>
      </w:r>
      <w:r>
        <w:rPr>
          <w:rFonts w:ascii="Times New Roman" w:hAnsi="Times New Roman" w:hint="eastAsia"/>
          <w:szCs w:val="32"/>
        </w:rPr>
        <w:t>1760</w:t>
      </w:r>
      <w:r>
        <w:rPr>
          <w:rFonts w:ascii="Times New Roman" w:hAnsi="Times New Roman" w:hint="eastAsia"/>
          <w:szCs w:val="32"/>
        </w:rPr>
        <w:t>分；无期徒刑期间</w:t>
      </w:r>
      <w:r>
        <w:rPr>
          <w:rFonts w:ascii="Times New Roman" w:hAnsi="Times New Roman" w:hint="eastAsia"/>
          <w:szCs w:val="32"/>
        </w:rPr>
        <w:t>2015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8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lastRenderedPageBreak/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月累计获</w:t>
      </w:r>
      <w:r>
        <w:rPr>
          <w:rFonts w:ascii="Times New Roman" w:hAnsi="Times New Roman" w:hint="eastAsia"/>
          <w:szCs w:val="32"/>
        </w:rPr>
        <w:t>6880</w:t>
      </w:r>
      <w:r>
        <w:rPr>
          <w:rFonts w:ascii="Times New Roman" w:hAnsi="Times New Roman" w:hint="eastAsia"/>
          <w:szCs w:val="32"/>
        </w:rPr>
        <w:t>分，合计获得</w:t>
      </w:r>
      <w:r>
        <w:rPr>
          <w:rFonts w:ascii="Times New Roman" w:hAnsi="Times New Roman" w:hint="eastAsia"/>
          <w:szCs w:val="32"/>
        </w:rPr>
        <w:t>8640</w:t>
      </w:r>
      <w:r>
        <w:rPr>
          <w:rFonts w:ascii="Times New Roman" w:hAnsi="Times New Roman" w:hint="eastAsia"/>
          <w:szCs w:val="32"/>
        </w:rPr>
        <w:t>分，表扬</w:t>
      </w:r>
      <w:r>
        <w:rPr>
          <w:rFonts w:ascii="Times New Roman" w:hAnsi="Times New Roman" w:hint="eastAsia"/>
          <w:szCs w:val="32"/>
        </w:rPr>
        <w:t>14</w:t>
      </w:r>
      <w:r>
        <w:rPr>
          <w:rFonts w:ascii="Times New Roman" w:hAnsi="Times New Roman" w:hint="eastAsia"/>
          <w:szCs w:val="32"/>
        </w:rPr>
        <w:t>次。间隔期</w:t>
      </w:r>
      <w:r>
        <w:rPr>
          <w:rFonts w:ascii="Times New Roman" w:hAnsi="Times New Roman" w:hint="eastAsia"/>
          <w:szCs w:val="32"/>
        </w:rPr>
        <w:t>2016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4</w:t>
      </w:r>
      <w:r>
        <w:rPr>
          <w:rFonts w:ascii="Times New Roman" w:hAnsi="Times New Roman" w:hint="eastAsia"/>
          <w:szCs w:val="32"/>
        </w:rPr>
        <w:t>月至</w:t>
      </w:r>
      <w:r>
        <w:rPr>
          <w:rFonts w:ascii="Times New Roman" w:hAnsi="Times New Roman" w:hint="eastAsia"/>
          <w:szCs w:val="32"/>
        </w:rPr>
        <w:t>2020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12</w:t>
      </w:r>
      <w:r>
        <w:rPr>
          <w:rFonts w:ascii="Times New Roman" w:hAnsi="Times New Roman" w:hint="eastAsia"/>
          <w:szCs w:val="32"/>
        </w:rPr>
        <w:t>月，获得</w:t>
      </w:r>
      <w:r>
        <w:rPr>
          <w:rFonts w:ascii="Times New Roman" w:hAnsi="Times New Roman" w:hint="eastAsia"/>
          <w:szCs w:val="32"/>
        </w:rPr>
        <w:t>6140</w:t>
      </w:r>
      <w:r>
        <w:rPr>
          <w:rFonts w:ascii="Times New Roman" w:hAnsi="Times New Roman" w:hint="eastAsia"/>
          <w:szCs w:val="32"/>
        </w:rPr>
        <w:t>分。考核期内累计违规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次扣</w:t>
      </w:r>
      <w:r w:rsidRPr="00E03200">
        <w:rPr>
          <w:rFonts w:ascii="Times New Roman" w:hAnsi="Times New Roman" w:hint="eastAsia"/>
          <w:szCs w:val="32"/>
        </w:rPr>
        <w:t xml:space="preserve"> </w:t>
      </w:r>
      <w:r>
        <w:rPr>
          <w:rFonts w:ascii="Times New Roman" w:hAnsi="Times New Roman" w:hint="eastAsia"/>
          <w:szCs w:val="32"/>
        </w:rPr>
        <w:t>16</w:t>
      </w:r>
      <w:r w:rsidRPr="00E03200">
        <w:rPr>
          <w:rFonts w:ascii="Times New Roman" w:hAnsi="Times New Roman" w:hint="eastAsia"/>
          <w:szCs w:val="32"/>
        </w:rPr>
        <w:t>分</w:t>
      </w:r>
      <w:r>
        <w:rPr>
          <w:rFonts w:ascii="Times New Roman" w:hAnsi="Times New Roman" w:hint="eastAsia"/>
          <w:szCs w:val="32"/>
        </w:rPr>
        <w:t>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原判财产性判项已缴纳人民币</w:t>
      </w:r>
      <w:r>
        <w:rPr>
          <w:rFonts w:ascii="Times New Roman" w:hAnsi="Times New Roman" w:hint="eastAsia"/>
          <w:szCs w:val="32"/>
        </w:rPr>
        <w:t>1500</w:t>
      </w:r>
      <w:r>
        <w:rPr>
          <w:rFonts w:ascii="Times New Roman" w:hAnsi="Times New Roman" w:hint="eastAsia"/>
          <w:szCs w:val="32"/>
        </w:rPr>
        <w:t>元；其中本次向福建省泉州市中级人民法院缴纳人民币</w:t>
      </w:r>
      <w:r>
        <w:rPr>
          <w:rFonts w:ascii="Times New Roman" w:hAnsi="Times New Roman" w:hint="eastAsia"/>
          <w:szCs w:val="32"/>
        </w:rPr>
        <w:t>1500</w:t>
      </w:r>
      <w:r>
        <w:rPr>
          <w:rFonts w:ascii="Times New Roman" w:hAnsi="Times New Roman" w:hint="eastAsia"/>
          <w:szCs w:val="32"/>
        </w:rPr>
        <w:t>元。该犯考核期消费人民币</w:t>
      </w:r>
      <w:r>
        <w:rPr>
          <w:rFonts w:ascii="Times New Roman" w:hAnsi="Times New Roman" w:hint="eastAsia"/>
          <w:szCs w:val="32"/>
        </w:rPr>
        <w:t>25170.97</w:t>
      </w:r>
      <w:r>
        <w:rPr>
          <w:rFonts w:ascii="Times New Roman" w:hAnsi="Times New Roman" w:hint="eastAsia"/>
          <w:szCs w:val="32"/>
        </w:rPr>
        <w:t>元，月均消费</w:t>
      </w:r>
      <w:r>
        <w:rPr>
          <w:rFonts w:ascii="Times New Roman" w:hAnsi="Times New Roman" w:hint="eastAsia"/>
          <w:szCs w:val="32"/>
        </w:rPr>
        <w:t>387.25</w:t>
      </w:r>
      <w:r>
        <w:rPr>
          <w:rFonts w:ascii="Times New Roman" w:hAnsi="Times New Roman" w:hint="eastAsia"/>
          <w:szCs w:val="32"/>
        </w:rPr>
        <w:t>元，帐户可用余额人民币</w:t>
      </w:r>
      <w:r>
        <w:rPr>
          <w:rFonts w:ascii="Times New Roman" w:hAnsi="Times New Roman" w:hint="eastAsia"/>
          <w:szCs w:val="32"/>
        </w:rPr>
        <w:t>821.16</w:t>
      </w:r>
      <w:r>
        <w:rPr>
          <w:rFonts w:ascii="Times New Roman" w:hAnsi="Times New Roman" w:hint="eastAsia"/>
          <w:szCs w:val="32"/>
        </w:rPr>
        <w:t>元。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E149A3">
        <w:rPr>
          <w:rFonts w:ascii="Times New Roman" w:hAnsi="Times New Roman" w:hint="eastAsia"/>
          <w:szCs w:val="32"/>
        </w:rPr>
        <w:t>该犯系</w:t>
      </w:r>
      <w:r>
        <w:rPr>
          <w:rFonts w:ascii="Times New Roman" w:hAnsi="Times New Roman" w:hint="eastAsia"/>
          <w:szCs w:val="32"/>
        </w:rPr>
        <w:t>严重暴力犯罪被判处死刑，缓期二年执行</w:t>
      </w:r>
      <w:r w:rsidRPr="00E149A3">
        <w:rPr>
          <w:rFonts w:ascii="Times New Roman" w:hAnsi="Times New Roman" w:hint="eastAsia"/>
          <w:szCs w:val="32"/>
        </w:rPr>
        <w:t>罪犯，属于从严掌握减刑对象。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 w:rsidRPr="0058179B">
        <w:rPr>
          <w:rFonts w:ascii="Times New Roman" w:hAnsi="Times New Roman" w:hint="eastAsia"/>
          <w:szCs w:val="32"/>
        </w:rPr>
        <w:t>本案于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11</w:t>
      </w:r>
      <w:r w:rsidRPr="0058179B">
        <w:rPr>
          <w:rFonts w:ascii="Times New Roman" w:hAnsi="Times New Roman" w:hint="eastAsia"/>
          <w:szCs w:val="32"/>
        </w:rPr>
        <w:t>日至</w:t>
      </w:r>
      <w:r w:rsidRPr="0058179B">
        <w:rPr>
          <w:rFonts w:ascii="Times New Roman" w:hAnsi="Times New Roman" w:hint="eastAsia"/>
          <w:szCs w:val="32"/>
        </w:rPr>
        <w:t>2021</w:t>
      </w:r>
      <w:r w:rsidRPr="0058179B">
        <w:rPr>
          <w:rFonts w:ascii="Times New Roman" w:hAnsi="Times New Roman" w:hint="eastAsia"/>
          <w:szCs w:val="32"/>
        </w:rPr>
        <w:t>年</w:t>
      </w:r>
      <w:r w:rsidRPr="0058179B">
        <w:rPr>
          <w:rFonts w:ascii="Times New Roman" w:hAnsi="Times New Roman" w:hint="eastAsia"/>
          <w:szCs w:val="32"/>
        </w:rPr>
        <w:t>3</w:t>
      </w:r>
      <w:r w:rsidRPr="0058179B">
        <w:rPr>
          <w:rFonts w:ascii="Times New Roman" w:hAnsi="Times New Roman" w:hint="eastAsia"/>
          <w:szCs w:val="32"/>
        </w:rPr>
        <w:t>月</w:t>
      </w:r>
      <w:r w:rsidRPr="0058179B">
        <w:rPr>
          <w:rFonts w:ascii="Times New Roman" w:hAnsi="Times New Roman" w:hint="eastAsia"/>
          <w:szCs w:val="32"/>
        </w:rPr>
        <w:t>17</w:t>
      </w:r>
      <w:r w:rsidRPr="0058179B">
        <w:rPr>
          <w:rFonts w:ascii="Times New Roman" w:hAnsi="Times New Roman" w:hint="eastAsia"/>
          <w:szCs w:val="32"/>
        </w:rPr>
        <w:t>日在狱内公示未收到不同意见</w:t>
      </w:r>
      <w:r>
        <w:rPr>
          <w:rFonts w:ascii="Times New Roman" w:hAnsi="Times New Roman" w:hint="eastAsia"/>
          <w:szCs w:val="32"/>
        </w:rPr>
        <w:t>。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罪犯林国敬在服刑期间，确有悔改表现，依照《中华人民共和国刑法》第七十八条、《中华人民共和国刑事诉讼法》第二百七十三条和《中华人民共和国监狱法》第二十九条之规定，建议对罪犯林国敬减为有期徒刑二十五年，剥夺政治权利改为十年。特提请你院审理裁定。</w:t>
      </w:r>
    </w:p>
    <w:p w:rsidR="007C30F4" w:rsidRDefault="007C30F4" w:rsidP="007C30F4">
      <w:pPr>
        <w:pStyle w:val="a3"/>
        <w:spacing w:line="560" w:lineRule="exact"/>
        <w:ind w:rightChars="-15" w:right="-48" w:firstLineChars="192" w:firstLine="614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此致</w:t>
      </w:r>
    </w:p>
    <w:p w:rsidR="007C30F4" w:rsidRDefault="007C30F4" w:rsidP="007C30F4">
      <w:pPr>
        <w:spacing w:line="560" w:lineRule="exact"/>
        <w:ind w:rightChars="-15" w:right="-48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福建省高级人民法院</w:t>
      </w:r>
    </w:p>
    <w:p w:rsidR="007C30F4" w:rsidRDefault="007C30F4" w:rsidP="007C30F4">
      <w:pPr>
        <w:spacing w:line="560" w:lineRule="exact"/>
        <w:ind w:firstLineChars="200" w:firstLine="64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附件：⒈罪犯林国敬卷宗壹册</w:t>
      </w:r>
    </w:p>
    <w:p w:rsidR="007C30F4" w:rsidRPr="00265FBE" w:rsidRDefault="007C30F4" w:rsidP="007C30F4">
      <w:pPr>
        <w:spacing w:line="560" w:lineRule="exact"/>
        <w:ind w:rightChars="-15" w:right="-48" w:firstLineChars="500" w:firstLine="1600"/>
        <w:rPr>
          <w:rFonts w:ascii="Times New Roman" w:hAnsi="Times New Roman" w:cs="仿宋_GB2312"/>
          <w:szCs w:val="32"/>
        </w:rPr>
      </w:pPr>
      <w:r>
        <w:rPr>
          <w:rFonts w:ascii="Times New Roman" w:hAnsi="Times New Roman" w:cs="仿宋_GB2312" w:hint="eastAsia"/>
          <w:szCs w:val="32"/>
        </w:rPr>
        <w:t>⒉减刑建议书伍份</w:t>
      </w:r>
    </w:p>
    <w:p w:rsidR="007C30F4" w:rsidRDefault="007C30F4" w:rsidP="007C30F4">
      <w:pPr>
        <w:spacing w:line="56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</w:p>
    <w:p w:rsidR="007C30F4" w:rsidRDefault="007C30F4" w:rsidP="007C30F4">
      <w:pPr>
        <w:spacing w:line="560" w:lineRule="exact"/>
        <w:ind w:rightChars="379" w:right="1213" w:firstLineChars="192" w:firstLine="614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t>福建省泉州监狱</w:t>
      </w:r>
    </w:p>
    <w:p w:rsidR="00550C34" w:rsidRPr="007C30F4" w:rsidRDefault="007C30F4" w:rsidP="007C30F4">
      <w:pPr>
        <w:spacing w:line="560" w:lineRule="exact"/>
        <w:ind w:rightChars="400" w:right="1280"/>
        <w:jc w:val="righ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            </w:t>
      </w:r>
      <w:r>
        <w:rPr>
          <w:rFonts w:ascii="Times New Roman" w:hAnsi="Times New Roman" w:hint="eastAsia"/>
          <w:szCs w:val="32"/>
        </w:rPr>
        <w:t>2021</w:t>
      </w:r>
      <w:r>
        <w:rPr>
          <w:rFonts w:ascii="Times New Roman" w:hAnsi="Times New Roman" w:hint="eastAsia"/>
          <w:szCs w:val="32"/>
        </w:rPr>
        <w:t>年</w:t>
      </w:r>
      <w:r>
        <w:rPr>
          <w:rFonts w:ascii="Times New Roman" w:hAnsi="Times New Roman" w:hint="eastAsia"/>
          <w:szCs w:val="32"/>
        </w:rPr>
        <w:t>3</w:t>
      </w:r>
      <w:r>
        <w:rPr>
          <w:rFonts w:ascii="Times New Roman" w:hAnsi="Times New Roman" w:hint="eastAsia"/>
          <w:szCs w:val="32"/>
        </w:rPr>
        <w:t>月</w:t>
      </w:r>
      <w:r>
        <w:rPr>
          <w:rFonts w:ascii="Times New Roman" w:hAnsi="Times New Roman" w:hint="eastAsia"/>
          <w:szCs w:val="32"/>
        </w:rPr>
        <w:t>22</w:t>
      </w:r>
      <w:r>
        <w:rPr>
          <w:rFonts w:ascii="Times New Roman" w:hAnsi="Times New Roman" w:hint="eastAsia"/>
          <w:szCs w:val="32"/>
        </w:rPr>
        <w:t>日</w:t>
      </w:r>
    </w:p>
    <w:sectPr w:rsidR="00550C34" w:rsidRPr="007C30F4" w:rsidSect="00550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FC" w:rsidRPr="00C849C7" w:rsidRDefault="009E18FC" w:rsidP="00A2554B">
      <w:pPr>
        <w:rPr>
          <w:rFonts w:eastAsia="宋体"/>
          <w:sz w:val="21"/>
          <w:szCs w:val="21"/>
        </w:rPr>
      </w:pPr>
      <w:r>
        <w:separator/>
      </w:r>
    </w:p>
  </w:endnote>
  <w:endnote w:type="continuationSeparator" w:id="1">
    <w:p w:rsidR="009E18FC" w:rsidRPr="00C849C7" w:rsidRDefault="009E18FC" w:rsidP="00A2554B">
      <w:pPr>
        <w:rPr>
          <w:rFonts w:eastAsia="宋体"/>
          <w:sz w:val="21"/>
          <w:szCs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FC" w:rsidRPr="00C849C7" w:rsidRDefault="009E18FC" w:rsidP="00A2554B">
      <w:pPr>
        <w:rPr>
          <w:rFonts w:eastAsia="宋体"/>
          <w:sz w:val="21"/>
          <w:szCs w:val="21"/>
        </w:rPr>
      </w:pPr>
      <w:r>
        <w:separator/>
      </w:r>
    </w:p>
  </w:footnote>
  <w:footnote w:type="continuationSeparator" w:id="1">
    <w:p w:rsidR="009E18FC" w:rsidRPr="00C849C7" w:rsidRDefault="009E18FC" w:rsidP="00A2554B">
      <w:pPr>
        <w:rPr>
          <w:rFonts w:eastAsia="宋体"/>
          <w:sz w:val="21"/>
          <w:szCs w:val="21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B7A"/>
    <w:rsid w:val="0002374B"/>
    <w:rsid w:val="00052536"/>
    <w:rsid w:val="002A69C8"/>
    <w:rsid w:val="00475E3D"/>
    <w:rsid w:val="00550C34"/>
    <w:rsid w:val="00622FC4"/>
    <w:rsid w:val="006D63FE"/>
    <w:rsid w:val="007C30F4"/>
    <w:rsid w:val="009E18FC"/>
    <w:rsid w:val="00A2554B"/>
    <w:rsid w:val="00BB1277"/>
    <w:rsid w:val="00C85B8E"/>
    <w:rsid w:val="00D55B75"/>
    <w:rsid w:val="00E32B7A"/>
    <w:rsid w:val="00F1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7A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32B7A"/>
  </w:style>
  <w:style w:type="character" w:customStyle="1" w:styleId="Char">
    <w:name w:val="称呼 Char"/>
    <w:basedOn w:val="a0"/>
    <w:link w:val="a3"/>
    <w:rsid w:val="00E32B7A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A2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554B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2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2554B"/>
    <w:rPr>
      <w:rFonts w:ascii="Calibri" w:eastAsia="仿宋_GB2312" w:hAnsi="Calibri" w:cs="Times New Roman"/>
      <w:kern w:val="3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china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2022-03-19T01:29:00Z</dcterms:created>
  <dcterms:modified xsi:type="dcterms:W3CDTF">2022-06-20T09:41:00Z</dcterms:modified>
</cp:coreProperties>
</file>