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黑体" w:eastAsia="方正大标宋简体"/>
          <w:spacing w:val="20"/>
          <w:sz w:val="96"/>
          <w:szCs w:val="96"/>
        </w:rPr>
      </w:pPr>
    </w:p>
    <w:p>
      <w:pPr>
        <w:rPr>
          <w:rFonts w:hint="eastAsia" w:ascii="方正大标宋简体" w:hAnsi="黑体" w:eastAsia="方正大标宋简体"/>
          <w:spacing w:val="20"/>
          <w:sz w:val="96"/>
          <w:szCs w:val="96"/>
        </w:rPr>
      </w:pPr>
    </w:p>
    <w:p>
      <w:pPr>
        <w:jc w:val="center"/>
        <w:rPr>
          <w:rFonts w:hint="eastAsia" w:ascii="方正大标宋简体" w:hAnsi="黑体" w:eastAsia="方正大标宋简体"/>
          <w:spacing w:val="20"/>
          <w:sz w:val="96"/>
          <w:szCs w:val="96"/>
          <w:lang w:eastAsia="zh-CN"/>
        </w:rPr>
      </w:pPr>
      <w:r>
        <w:rPr>
          <w:rFonts w:hint="eastAsia" w:ascii="方正大标宋简体" w:hAnsi="黑体" w:eastAsia="方正大标宋简体"/>
          <w:spacing w:val="20"/>
          <w:sz w:val="96"/>
          <w:szCs w:val="96"/>
          <w:lang w:eastAsia="zh-CN"/>
        </w:rPr>
        <w:t>福建省榕城监狱</w:t>
      </w:r>
    </w:p>
    <w:p>
      <w:pPr>
        <w:jc w:val="center"/>
        <w:rPr>
          <w:rFonts w:hint="eastAsia"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p>
    <w:p>
      <w:pPr>
        <w:jc w:val="center"/>
        <w:rPr>
          <w:rFonts w:hint="eastAsia" w:ascii="方正大标宋简体" w:hAnsi="黑体" w:eastAsia="方正大标宋简体"/>
          <w:spacing w:val="20"/>
          <w:sz w:val="44"/>
          <w:szCs w:val="44"/>
          <w:lang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jc w:val="center"/>
        <w:rPr>
          <w:rFonts w:hint="eastAsia" w:ascii="方正大标宋简体" w:hAnsi="黑体" w:eastAsia="方正大标宋简体"/>
          <w:spacing w:val="20"/>
          <w:sz w:val="44"/>
          <w:szCs w:val="44"/>
          <w:lang w:eastAsia="zh-CN"/>
        </w:rPr>
      </w:pPr>
      <w:r>
        <w:rPr>
          <w:rFonts w:hint="eastAsia" w:ascii="方正大标宋简体" w:hAnsi="黑体" w:eastAsia="方正大标宋简体"/>
          <w:spacing w:val="20"/>
          <w:sz w:val="44"/>
          <w:szCs w:val="44"/>
          <w:lang w:eastAsia="zh-CN"/>
        </w:rPr>
        <w:t>目</w:t>
      </w:r>
      <w:r>
        <w:rPr>
          <w:rFonts w:hint="eastAsia" w:ascii="方正大标宋简体" w:hAnsi="黑体" w:eastAsia="方正大标宋简体"/>
          <w:spacing w:val="20"/>
          <w:sz w:val="44"/>
          <w:szCs w:val="44"/>
          <w:lang w:val="en-US" w:eastAsia="zh-CN"/>
        </w:rPr>
        <w:t xml:space="preserve">  </w:t>
      </w:r>
      <w:r>
        <w:rPr>
          <w:rFonts w:hint="eastAsia" w:ascii="方正大标宋简体" w:hAnsi="黑体" w:eastAsia="方正大标宋简体"/>
          <w:spacing w:val="20"/>
          <w:sz w:val="44"/>
          <w:szCs w:val="44"/>
          <w:lang w:eastAsia="zh-CN"/>
        </w:rPr>
        <w:t>录</w:t>
      </w:r>
    </w:p>
    <w:p>
      <w:pPr>
        <w:tabs>
          <w:tab w:val="right" w:leader="dot" w:pos="9004"/>
        </w:tabs>
        <w:ind w:firstLine="640" w:firstLineChars="200"/>
        <w:rPr>
          <w:rStyle w:val="14"/>
          <w:rFonts w:hint="eastAsia" w:ascii="仿宋_GB2312" w:hAnsi="仿宋_GB2312" w:eastAsia="仿宋_GB2312" w:cs="仿宋_GB2312"/>
          <w:color w:val="000000"/>
          <w:sz w:val="32"/>
          <w:szCs w:val="32"/>
          <w:u w:val="none"/>
        </w:rPr>
      </w:pPr>
    </w:p>
    <w:p>
      <w:pPr>
        <w:tabs>
          <w:tab w:val="right" w:leader="dot" w:pos="9004"/>
        </w:tabs>
        <w:ind w:firstLine="640" w:firstLineChars="200"/>
        <w:rPr>
          <w:rFonts w:hint="eastAsia" w:ascii="仿宋_GB2312" w:hAnsi="仿宋_GB2312" w:eastAsia="仿宋_GB2312" w:cs="仿宋_GB2312"/>
          <w:color w:val="000000"/>
          <w:sz w:val="32"/>
          <w:szCs w:val="32"/>
          <w:lang w:eastAsia="zh-CN"/>
        </w:rPr>
      </w:pPr>
      <w:r>
        <w:rPr>
          <w:rStyle w:val="14"/>
          <w:rFonts w:hint="eastAsia" w:ascii="仿宋_GB2312" w:hAnsi="仿宋_GB2312" w:eastAsia="仿宋_GB2312" w:cs="仿宋_GB2312"/>
          <w:color w:val="000000"/>
          <w:sz w:val="32"/>
          <w:szCs w:val="32"/>
          <w:u w:val="none"/>
        </w:rPr>
        <w:t>一、监狱的性质、任务</w:t>
      </w:r>
      <w:r>
        <w:rPr>
          <w:rStyle w:val="14"/>
          <w:rFonts w:hint="eastAsia" w:ascii="仿宋_GB2312" w:hAnsi="仿宋_GB2312" w:eastAsia="仿宋_GB2312" w:cs="仿宋_GB2312"/>
          <w:color w:val="000000"/>
          <w:sz w:val="32"/>
          <w:szCs w:val="32"/>
          <w:u w:val="none"/>
          <w:lang w:eastAsia="zh-CN"/>
        </w:rPr>
        <w:t>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rPr>
        <w:t>二、</w:t>
      </w:r>
      <w:r>
        <w:rPr>
          <w:rStyle w:val="14"/>
          <w:rFonts w:hint="eastAsia" w:ascii="仿宋_GB2312" w:hAnsi="仿宋_GB2312" w:eastAsia="仿宋_GB2312" w:cs="仿宋_GB2312"/>
          <w:color w:val="000000"/>
          <w:sz w:val="32"/>
          <w:szCs w:val="32"/>
          <w:u w:val="none"/>
          <w:lang w:eastAsia="zh-CN"/>
        </w:rPr>
        <w:t>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val="en-US" w:eastAsia="zh-CN"/>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八</w:t>
      </w:r>
      <w:r>
        <w:rPr>
          <w:rStyle w:val="14"/>
          <w:rFonts w:hint="eastAsia" w:ascii="仿宋_GB2312" w:hAnsi="仿宋_GB2312" w:eastAsia="仿宋_GB2312" w:cs="仿宋_GB2312"/>
          <w:color w:val="000000"/>
          <w:sz w:val="32"/>
          <w:szCs w:val="32"/>
          <w:u w:val="none"/>
        </w:rPr>
        <w:t>、</w:t>
      </w:r>
      <w:r>
        <w:rPr>
          <w:rStyle w:val="14"/>
          <w:rFonts w:hint="eastAsia" w:ascii="仿宋_GB2312" w:hAnsi="仿宋_GB2312" w:eastAsia="仿宋_GB2312" w:cs="仿宋_GB2312"/>
          <w:color w:val="000000"/>
          <w:sz w:val="32"/>
          <w:szCs w:val="32"/>
          <w:u w:val="none"/>
          <w:lang w:eastAsia="zh-CN"/>
        </w:rPr>
        <w:t>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w:t>
      </w:r>
      <w:r>
        <w:rPr>
          <w:rFonts w:hint="eastAsia" w:ascii="仿宋_GB2312" w:hAnsi="仿宋_GB2312" w:eastAsia="仿宋_GB2312" w:cs="仿宋_GB2312"/>
          <w:color w:val="000000"/>
          <w:sz w:val="32"/>
          <w:szCs w:val="32"/>
          <w:lang w:eastAsia="zh-CN"/>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61</w:t>
      </w:r>
    </w:p>
    <w:p>
      <w:pPr>
        <w:tabs>
          <w:tab w:val="right" w:leader="dot" w:pos="9004"/>
        </w:tabs>
        <w:ind w:firstLine="640" w:firstLineChars="200"/>
        <w:rPr>
          <w:rStyle w:val="14"/>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十一、对罪犯</w:t>
      </w:r>
      <w:r>
        <w:rPr>
          <w:rStyle w:val="14"/>
          <w:rFonts w:hint="eastAsia" w:ascii="仿宋_GB2312" w:hAnsi="仿宋_GB2312" w:eastAsia="仿宋_GB2312" w:cs="仿宋_GB2312"/>
          <w:color w:val="000000"/>
          <w:sz w:val="32"/>
          <w:szCs w:val="32"/>
          <w:u w:val="none"/>
          <w:lang w:eastAsia="zh-CN"/>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十二、罪犯</w:t>
      </w:r>
      <w:r>
        <w:rPr>
          <w:rFonts w:hint="eastAsia" w:ascii="仿宋_GB2312" w:hAnsi="仿宋_GB2312" w:eastAsia="仿宋_GB2312" w:cs="仿宋_GB2312"/>
          <w:color w:val="000000"/>
          <w:sz w:val="32"/>
          <w:szCs w:val="32"/>
          <w:lang w:eastAsia="zh-CN"/>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75</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92</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97</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100</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0"/>
        <w:widowControl w:val="0"/>
        <w:shd w:val="clear" w:color="auto" w:fill="FFFFFF"/>
        <w:spacing w:before="0" w:beforeAutospacing="0" w:after="0" w:afterAutospacing="0"/>
        <w:ind w:firstLine="883" w:firstLineChars="200"/>
        <w:jc w:val="center"/>
        <w:rPr>
          <w:rFonts w:hint="eastAsia" w:ascii="方正小标宋简体" w:hAnsi="方正小标宋简体" w:eastAsia="方正小标宋简体" w:cs="方正小标宋简体"/>
          <w:b w:val="0"/>
          <w:bCs/>
          <w:color w:val="000000"/>
          <w:sz w:val="44"/>
          <w:szCs w:val="44"/>
          <w:lang w:eastAsia="zh-CN"/>
        </w:rPr>
      </w:pPr>
      <w:r>
        <w:rPr>
          <w:rStyle w:val="14"/>
          <w:rFonts w:hint="eastAsia" w:ascii="方正小标宋简体" w:hAnsi="方正小标宋简体" w:eastAsia="方正小标宋简体" w:cs="方正小标宋简体"/>
          <w:b/>
          <w:bCs/>
          <w:color w:val="000000"/>
          <w:sz w:val="44"/>
          <w:szCs w:val="44"/>
          <w:u w:val="none"/>
          <w:lang w:eastAsia="zh-CN"/>
        </w:rPr>
        <w:t>向社会公众依法公开信息</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w:t>
      </w:r>
      <w:r>
        <w:rPr>
          <w:rStyle w:val="14"/>
          <w:rFonts w:hint="eastAsia" w:ascii="黑体" w:hAnsi="黑体" w:eastAsia="黑体" w:cs="黑体"/>
          <w:b w:val="0"/>
          <w:bCs/>
          <w:color w:val="000000"/>
          <w:sz w:val="32"/>
          <w:szCs w:val="32"/>
          <w:u w:val="none"/>
        </w:rPr>
        <w:t>监狱的性质、任务</w:t>
      </w:r>
      <w:r>
        <w:rPr>
          <w:rStyle w:val="14"/>
          <w:rFonts w:hint="eastAsia" w:ascii="黑体" w:hAnsi="黑体" w:eastAsia="黑体" w:cs="黑体"/>
          <w:b w:val="0"/>
          <w:bCs/>
          <w:color w:val="000000"/>
          <w:sz w:val="32"/>
          <w:szCs w:val="32"/>
          <w:u w:val="none"/>
          <w:lang w:eastAsia="zh-CN"/>
        </w:rPr>
        <w:t>和职责权限</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0"/>
        <w:widowControl w:val="0"/>
        <w:shd w:val="clear" w:color="auto" w:fill="FFFFFF"/>
        <w:spacing w:before="0" w:beforeAutospacing="0" w:after="0" w:afterAutospacing="0"/>
        <w:ind w:firstLine="640" w:firstLineChars="200"/>
        <w:jc w:val="both"/>
        <w:outlineLvl w:val="0"/>
        <w:rPr>
          <w:rFonts w:hint="eastAsia" w:ascii="Times New Roman" w:hAnsi="Times New Roman" w:eastAsia="黑体" w:cs="Times New Roman"/>
          <w:color w:val="000000"/>
          <w:sz w:val="32"/>
          <w:szCs w:val="32"/>
          <w:lang w:eastAsia="zh-CN"/>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lang w:eastAsia="zh-CN"/>
        </w:rPr>
        <w:t>监狱人民警察的权利、义务和纪律要求</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《新时代政法干警“十个严禁”》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sz w:val="32"/>
          <w:szCs w:val="32"/>
          <w:lang w:val="en-US" w:eastAsia="zh-CN"/>
        </w:rPr>
        <w:t>坚持以习近平新时代中国特色社会主义思想为指导，深入贯彻习近平法治思想，深入贯彻习近平总书记关于加强政法队伍建设的重要指示和训词精神，坚持党的绝对领导，增强“四个意识”、坚</w:t>
      </w:r>
      <w:r>
        <w:rPr>
          <w:rFonts w:hint="eastAsia" w:ascii="Times New Roman" w:hAnsi="Times New Roman" w:eastAsia="仿宋_GB2312" w:cs="Times New Roman"/>
          <w:color w:val="000000"/>
          <w:kern w:val="0"/>
          <w:sz w:val="32"/>
          <w:szCs w:val="32"/>
          <w:lang w:val="en-US" w:eastAsia="zh-CN" w:bidi="ar-SA"/>
        </w:rPr>
        <w:t>定“四个自信”、做到“两个维护”，不断提高政治判断力、政治领悟力、政治执行力，自觉遵守“十个严禁”。</w:t>
      </w:r>
    </w:p>
    <w:p>
      <w:pPr>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一、严禁搞两面派、做两面人。</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二、严禁有令不行、有禁不止。</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三、严禁放任错误思潮侵蚀影响。</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四、严禁不当交往、干预执法司法。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五、严禁玩忽职守、徇私枉法。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六、严禁违规参与营利活动。</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七、严禁包庇纵容黑恶势力。</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八、严禁滥用执法司法权。</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九、严禁不作为乱作为、耍特权抖威风。</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十、严禁跑风漏气、失密泄密。</w:t>
      </w:r>
    </w:p>
    <w:p>
      <w:pPr>
        <w:ind w:firstLine="643" w:firstLineChars="200"/>
        <w:jc w:val="left"/>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《监狱人民警察六条禁令》</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一、严禁殴打、体罚或者指使他人殴打、体罚服刑人员；</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二、严禁违规使用枪支、警械、警车；</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三、严禁索要、收受服刑人员及其亲属的财物；</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四、严禁为服刑人员传递、提供违禁物品；</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五、严禁工作期间饮酒；</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六、严禁参与赌博。</w:t>
      </w:r>
    </w:p>
    <w:p>
      <w:pPr>
        <w:numPr>
          <w:ilvl w:val="0"/>
          <w:numId w:val="0"/>
        </w:numPr>
        <w:ind w:firstLine="72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违反上述禁令者，视其情节轻重予以相应纪律处分或者辞退，构成犯罪的，依法追究刑事责任。</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kern w:val="0"/>
          <w:sz w:val="32"/>
          <w:szCs w:val="32"/>
          <w:lang w:val="en-US" w:eastAsia="zh-CN" w:bidi="ar-SA"/>
        </w:rPr>
      </w:pP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黑体" w:hAnsi="黑体" w:eastAsia="黑体" w:cs="黑体"/>
          <w:color w:val="000000"/>
          <w:sz w:val="32"/>
          <w:szCs w:val="32"/>
          <w:lang w:val="en-US" w:eastAsia="zh-CN"/>
        </w:rPr>
        <w:t>三、</w:t>
      </w:r>
      <w:r>
        <w:rPr>
          <w:rStyle w:val="14"/>
          <w:rFonts w:hint="eastAsia" w:ascii="黑体" w:hAnsi="黑体" w:eastAsia="黑体" w:cs="黑体"/>
          <w:color w:val="000000"/>
          <w:sz w:val="32"/>
          <w:szCs w:val="32"/>
          <w:u w:val="none"/>
          <w:lang w:val="en-US" w:eastAsia="zh-CN"/>
        </w:rPr>
        <w:t>对监狱机关和监狱人民警察执法、管理工作进行举报投诉的方式和途径</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电话举报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举报人拨打福建省榕城监狱纪委举报电话反映问题。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0591-88193000</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（二）来信举报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举报人将举报材料以信件形式邮寄至福建省榕城监狱纪检监察室。</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地址：福建省福州市金山工业区金亭路6号</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邮编：350002</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（三）来访举报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举报人携带本人身份证和举报材料到福建省榕城监狱纪检监察室，当面反映问题。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地址：福建省福州市金山工业区金亭路6号</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（四）网络举报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登录福建省监狱管理局网站，进入纪检</w:t>
      </w:r>
      <w:bookmarkStart w:id="1" w:name="_GoBack"/>
      <w:bookmarkEnd w:id="1"/>
      <w:r>
        <w:rPr>
          <w:rFonts w:hint="eastAsia" w:ascii="Arial" w:hAnsi="Arial" w:eastAsia="仿宋_GB2312" w:cs="Arial"/>
          <w:sz w:val="32"/>
          <w:szCs w:val="32"/>
          <w:lang w:val="en-US" w:eastAsia="zh-CN"/>
        </w:rPr>
        <w:t>监察信箱反映问题。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网址：</w:t>
      </w:r>
      <w:r>
        <w:rPr>
          <w:rFonts w:hint="eastAsia" w:ascii="Arial" w:hAnsi="Arial" w:eastAsia="仿宋_GB2312" w:cs="Arial"/>
          <w:b w:val="0"/>
          <w:bCs w:val="0"/>
          <w:color w:val="0D0D0D" w:themeColor="text1" w:themeTint="F2"/>
          <w:sz w:val="32"/>
          <w:szCs w:val="32"/>
          <w:lang w:val="en-US" w:eastAsia="zh-CN"/>
          <w14:textFill>
            <w14:solidFill>
              <w14:schemeClr w14:val="tx1">
                <w14:lumMod w14:val="95000"/>
                <w14:lumOff w14:val="5000"/>
              </w14:schemeClr>
            </w14:solidFill>
          </w14:textFill>
        </w:rPr>
        <w:t xml:space="preserve">jyj.sft.fujian.gov.cn </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四、罪犯收监、释放的法定条件和程序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刑事诉讼法》相关</w:t>
      </w:r>
      <w:r>
        <w:rPr>
          <w:rFonts w:hint="eastAsia" w:ascii="Times New Roman" w:hAnsi="Times New Roman" w:eastAsia="楷体_GB2312" w:cs="Times New Roman"/>
          <w:b/>
          <w:color w:val="000000"/>
          <w:sz w:val="32"/>
          <w:szCs w:val="32"/>
          <w:lang w:eastAsia="zh-CN"/>
        </w:rPr>
        <w:t>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第二百五十三条　罪犯被交付执行刑罚的时候，应当由交付执行的人民法院在判决生效后十日以内将有关的法律文书送达公安机关、监狱或者其他执行机关。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对未成年犯应当在未成年犯管教所执行刑罚。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执行机关应当将罪犯及时收押，并且通知罪犯家属。</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判处有期徒刑、拘役的罪犯，执行期满，应当由执行机关发给释放证明书。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第二百五十七条对暂予监外执行的罪犯，有下列情形之一的，应当及时收监：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（一）发现不符合暂予监外执行条件的；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（二）严重违反有关暂予监外执行监督管理规定的；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（三）暂予监外执行的情形消失后，罪犯刑期未满的。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对于人民法院决定暂予监外执行的罪犯应当予以收监的，由人民法院作出决定，将有关的法律文书送达公安机关、监狱或者其他执行机关。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罪犯在暂予监外执行期间死亡的，执行机关应当及时通知监狱或者看守所。</w:t>
      </w:r>
    </w:p>
    <w:p>
      <w:pPr>
        <w:ind w:firstLine="643"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（二）《中华人民共和国监狱法》相关条款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罪犯在被交付执行刑罚前，剩余刑期在三个月以下的，由看守所代为执行。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第十八条　罪犯收监，应当严格检查其人身和所携带的物品。非生活必需品，由监狱代为保管或者征得罪犯同意退回其家属，违禁品予以没收。</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女犯由女性人民警察检查。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第十九条　罪犯不得携带子女在监内服刑。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第二十条　罪犯收监后，监狱应当通知罪犯家属。通知书应当自收监之日起五日内发出。</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第三十五条　罪犯服刑期满，监狱应当按期释放并发给释放证明书。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第三十六条　罪犯释放后，公安机关凭释放证明书办理户籍登记。</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罪犯的基本权利和义务</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（一）罪犯的基本权利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⒈罪犯有人格不受侮辱、人身安全和合法财产不受侵犯的权利；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⒉罪犯有辩护、申诉、控告和检举的权利；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⒊未被剥夺政治权利的罪犯，有选举的权利；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⒋罪犯有维护身体健康，有病得到诊治的权利；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⒌罪犯有按规定通信、会见的权利；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⒍罪犯有依法获得行政和刑事奖励的权利；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⒎罪犯有刑满依法获得按期释放的权利；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⒏罪犯有法律未剥夺或限制的其它权利。</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（二）罪犯的基本义务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⒈罪犯有遵守国家法律法规的义务；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⒉罪犯有遵守监规纪律的义务；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⒊罪犯有服从监狱人民警察依法管理的义务；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⒋有劳动能力的罪犯，有参加劳动的义务；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⒌罪犯有接受思想、文化和技术教育的义务；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⒍罪犯有爱护国家财产，保护公共设施的义务；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⒎罪犯有维护正常改造秩序，自觉接受改造的义务；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⒏罪犯有检举违法犯罪活动的义务；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⒐罪犯有法律法规规定的其它义务。</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000000"/>
          <w:sz w:val="32"/>
          <w:szCs w:val="32"/>
          <w:lang w:val="en-US" w:eastAsia="zh-CN"/>
        </w:rPr>
        <w:t>罪犯申诉、控告、检举的方式和途径</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（一）通过狱内综合信箱反映问题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罪犯可以将控告、检举材料，以信件形式投入狱内综合信箱中的纪检监察投递口。</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综合信箱位置：分监区监舍</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罪犯可以将申诉材料，以信件形式投入狱内综合信箱中的检察机关投递口或者以普通信件形式寄往相关法院和检察机关。</w:t>
      </w:r>
    </w:p>
    <w:p>
      <w:pPr>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（二）通过纪检监察接待日反映问题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控告和检举还可以通过纪检监察接待日反映问题。纪检监察接待日每两个月开展一次，罪犯可以在纪检监察接待日向监狱纪检监察干部反映问题。</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（三）通过刑满释放前谈话反映问题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监狱对</w:t>
      </w:r>
      <w:r>
        <w:rPr>
          <w:rFonts w:hint="default" w:ascii="仿宋_GB2312" w:hAnsi="仿宋_GB2312" w:eastAsia="仿宋_GB2312" w:cs="仿宋_GB2312"/>
          <w:sz w:val="32"/>
          <w:szCs w:val="32"/>
          <w:lang w:val="en-US" w:eastAsia="zh-CN"/>
        </w:rPr>
        <w:t>余刑</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一个月内的罪犯</w:t>
      </w:r>
      <w:r>
        <w:rPr>
          <w:rFonts w:hint="eastAsia" w:ascii="仿宋_GB2312" w:hAnsi="仿宋_GB2312" w:eastAsia="仿宋_GB2312" w:cs="仿宋_GB2312"/>
          <w:sz w:val="32"/>
          <w:szCs w:val="32"/>
          <w:lang w:val="en-US" w:eastAsia="zh-CN"/>
        </w:rPr>
        <w:t>开展谈话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罪犯可以在谈话时向监狱纪检监察干部反映问题。</w:t>
      </w:r>
    </w:p>
    <w:p>
      <w:pPr>
        <w:numPr>
          <w:ilvl w:val="0"/>
          <w:numId w:val="2"/>
        </w:numPr>
        <w:ind w:left="0" w:leftChars="0" w:firstLine="640" w:firstLineChars="200"/>
        <w:rPr>
          <w:rStyle w:val="14"/>
          <w:rFonts w:hint="eastAsia" w:ascii="黑体" w:hAnsi="黑体" w:eastAsia="黑体" w:cs="黑体"/>
          <w:color w:val="000000"/>
          <w:sz w:val="32"/>
          <w:szCs w:val="32"/>
          <w:u w:val="none"/>
          <w:lang w:eastAsia="zh-CN"/>
        </w:rPr>
      </w:pPr>
      <w:r>
        <w:rPr>
          <w:rStyle w:val="14"/>
          <w:rFonts w:hint="eastAsia" w:ascii="黑体" w:hAnsi="黑体" w:eastAsia="黑体" w:cs="黑体"/>
          <w:color w:val="000000"/>
          <w:sz w:val="32"/>
          <w:szCs w:val="32"/>
          <w:u w:val="none"/>
          <w:lang w:eastAsia="zh-CN"/>
        </w:rPr>
        <w:t>罪犯减刑、假释的法定条件、程序和结果，监狱向人民法院提请罪犯减刑、假释的建议书</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六十九</w:t>
      </w:r>
      <w:r>
        <w:rPr>
          <w:rFonts w:hint="eastAsia" w:ascii="Times New Roman" w:hAnsi="Times New Roman" w:eastAsia="楷体_GB2312" w:cs="Times New Roman"/>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七十三</w:t>
      </w:r>
      <w:r>
        <w:rPr>
          <w:rFonts w:hint="eastAsia" w:ascii="Times New Roman" w:hAnsi="Times New Roman" w:eastAsia="楷体_GB2312" w:cs="Times New Roman"/>
          <w:color w:val="000000"/>
          <w:sz w:val="32"/>
          <w:szCs w:val="32"/>
        </w:rPr>
        <w:t>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sz w:val="32"/>
          <w:szCs w:val="32"/>
        </w:rPr>
        <w:t>（四）最高人民法院关于办理减刑假释案件具体应用法律的规定</w:t>
      </w:r>
      <w:r>
        <w:rPr>
          <w:rFonts w:hint="eastAsia" w:ascii="楷体_GB2312" w:hAnsi="楷体_GB2312" w:eastAsia="楷体_GB2312" w:cs="楷体_GB2312"/>
          <w:b/>
          <w:bCs w:val="0"/>
          <w:color w:val="000000"/>
          <w:kern w:val="0"/>
          <w:sz w:val="32"/>
          <w:szCs w:val="32"/>
        </w:rPr>
        <w:t>（法释〔2016〕23号）</w:t>
      </w:r>
      <w:r>
        <w:rPr>
          <w:rFonts w:hint="eastAsia" w:ascii="楷体_GB2312" w:hAnsi="楷体_GB2312" w:eastAsia="楷体_GB2312" w:cs="楷体_GB2312"/>
          <w:b/>
          <w:bCs w:val="0"/>
          <w:color w:val="000000"/>
          <w:kern w:val="0"/>
          <w:sz w:val="32"/>
          <w:szCs w:val="32"/>
          <w:lang w:eastAsia="zh-CN"/>
        </w:rPr>
        <w:t>全文</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widowControl w:val="0"/>
        <w:numPr>
          <w:ilvl w:val="0"/>
          <w:numId w:val="0"/>
        </w:numPr>
        <w:ind w:firstLine="640" w:firstLineChars="200"/>
        <w:jc w:val="both"/>
        <w:rPr>
          <w:rStyle w:val="14"/>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（五）</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九</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第九条　本解释自2015年11月1日起施行。</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（六）</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八</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第七条　2011年4月30日以前犯罪，被判处无期徒刑的罪犯，减刑以后或者假释前实际执行的刑期，适用修正前刑法第七十八条第二款、第八十一条第一款的规定。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0"/>
        <w:widowControl w:val="0"/>
        <w:numPr>
          <w:ilvl w:val="0"/>
          <w:numId w:val="3"/>
        </w:numPr>
        <w:shd w:val="clear" w:color="auto" w:fill="FFFFFF"/>
        <w:spacing w:before="0" w:beforeAutospacing="0" w:after="0" w:afterAutospacing="0"/>
        <w:ind w:left="213" w:leftChars="0" w:firstLine="627" w:firstLineChars="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提请罪犯减刑、假释建议书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详见各单位网站狱务公开栏</w:t>
      </w:r>
    </w:p>
    <w:p>
      <w:pPr>
        <w:pStyle w:val="10"/>
        <w:widowControl w:val="0"/>
        <w:numPr>
          <w:ilvl w:val="0"/>
          <w:numId w:val="0"/>
        </w:numPr>
        <w:shd w:val="clear" w:color="auto" w:fill="FFFFFF"/>
        <w:spacing w:before="0" w:beforeAutospacing="0" w:after="0" w:afterAutospacing="0"/>
        <w:ind w:firstLine="624"/>
        <w:jc w:val="both"/>
        <w:rPr>
          <w:rFonts w:hint="eastAsia" w:ascii="黑体" w:hAnsi="黑体" w:eastAsia="黑体" w:cs="黑体"/>
          <w:b w:val="0"/>
          <w:color w:val="000000" w:themeColor="text1"/>
          <w:kern w:val="2"/>
          <w:sz w:val="32"/>
          <w:szCs w:val="32"/>
          <w:lang w:val="en-US" w:eastAsia="zh-CN"/>
          <w14:textFill>
            <w14:solidFill>
              <w14:schemeClr w14:val="tx1"/>
            </w14:solidFill>
          </w14:textFill>
        </w:rPr>
      </w:pPr>
      <w:r>
        <w:rPr>
          <w:rStyle w:val="14"/>
          <w:rFonts w:hint="eastAsia" w:ascii="黑体" w:hAnsi="黑体" w:eastAsia="黑体" w:cs="黑体"/>
          <w:color w:val="000000"/>
          <w:sz w:val="32"/>
          <w:szCs w:val="32"/>
          <w:u w:val="none"/>
          <w:lang w:eastAsia="zh-CN"/>
        </w:rPr>
        <w:t>八、罪犯暂予监外执行的法定条件、程序和结果，罪犯暂予监外执行决定书</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最高人民法院 最高人民检察院 公安部 司法部 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0"/>
        <w:widowControl w:val="0"/>
        <w:numPr>
          <w:ilvl w:val="0"/>
          <w:numId w:val="0"/>
        </w:numPr>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（二）提请罪犯暂予监外执行决定书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详见各网站狱务公开栏</w:t>
      </w:r>
    </w:p>
    <w:p>
      <w:pPr>
        <w:widowControl w:val="0"/>
        <w:numPr>
          <w:ilvl w:val="0"/>
          <w:numId w:val="0"/>
        </w:numPr>
        <w:ind w:firstLine="640" w:firstLineChars="200"/>
        <w:jc w:val="both"/>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九、</w:t>
      </w:r>
      <w:r>
        <w:rPr>
          <w:rFonts w:hint="eastAsia" w:ascii="黑体" w:hAnsi="黑体" w:eastAsia="黑体" w:cs="黑体"/>
          <w:color w:val="000000"/>
          <w:sz w:val="32"/>
          <w:szCs w:val="32"/>
          <w:lang w:eastAsia="zh-CN"/>
        </w:rPr>
        <w:t>罪犯狱内又犯罪的处理程序和结果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left"/>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Times New Roman" w:hAnsi="Times New Roman" w:eastAsia="楷体_GB2312" w:cs="Times New Roman"/>
          <w:b/>
          <w:color w:val="000000"/>
          <w:sz w:val="32"/>
          <w:szCs w:val="32"/>
        </w:rPr>
        <w:t>《监狱法》相关规定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widowControl w:val="0"/>
        <w:numPr>
          <w:ilvl w:val="0"/>
          <w:numId w:val="0"/>
        </w:numPr>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十、罪犯服刑期间应当遵守的行为规范</w:t>
      </w:r>
    </w:p>
    <w:p>
      <w:pPr>
        <w:widowControl/>
        <w:numPr>
          <w:ilvl w:val="0"/>
          <w:numId w:val="0"/>
        </w:numPr>
        <w:shd w:val="clear" w:color="auto" w:fill="FFFFFF"/>
        <w:spacing w:line="375" w:lineRule="atLeast"/>
        <w:ind w:firstLine="643" w:firstLineChars="200"/>
        <w:jc w:val="left"/>
        <w:textAlignment w:val="baseline"/>
        <w:rPr>
          <w:rFonts w:hint="default"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《监狱服刑人员行为规范》（司法部令第88号）相关规定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第一条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拥护宪法，遵守法律法规规章和监规纪律。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服从管理，接受教育，参加劳动，认罪悔罪。</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爱祖国，爱人民，爱集体，爱学习，爱劳动。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明礼诚信，互助友善，勤俭自强。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依法行使权利，采用正当方式和程序维护个人合法权益。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服刑期间严格遵守下列纪律：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(一)不超越警戒线和规定区域、脱离监管擅自行动；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(二)不私藏现金、刃具等违禁品；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(三)不私自与外界人员接触，索取、借用、交换、传递钱物；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(四)不在会见时私传信件、现金等物品；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(五)不擅自使用绝缘、攀援、挖掘物品；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(六)不偷窃、赌博；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(七)不打架斗殴、自伤自残；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(八)不拉帮结伙、欺压他人；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(九)不传播犯罪手段、怂恿他人犯罪；</w:t>
      </w:r>
    </w:p>
    <w:p>
      <w:pPr>
        <w:spacing w:line="240" w:lineRule="auto"/>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(十)不习练、传播有害气功、邪教。</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按时起床，有秩序洗漱、如厕，衣被等个人物品摆放整齐。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按要求穿着囚服，佩戴统一标识。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第九条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按时清扫室内外卫生，保持环境整洁。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保持个人卫生，按时洗澡、理发、剃须、剪指甲，衣服、被褥定期换洗。</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按规定时间、地点就餐，爱惜粮食，不乱倒剩余饭菜。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集体行进时，听从警官指挥，保持队形整齐。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不饮酒，不违反规定吸烟。</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患病时向警官报告，看病时遵守纪律，配合治疗。不私藏药品。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需要进入警官办公室时，在门外报告，经允许后进入。</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第十六条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在野外劳动现场需要向警官反映情况时，在三米以外报告。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遇到问题，主动向警官汇报。与警官交谈时，如实陈述、回答问题。</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第十八条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在指定铺位就寝，就寝时保持安静，不影响他人休息。</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第十九条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接受法制、道德、形势、政策等思想教育，认清犯罪危害，矫治恶习。</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第二十条</w:t>
      </w:r>
      <w:r>
        <w:rPr>
          <w:rFonts w:hint="eastAsia" w:ascii="仿宋_GB2312" w:hAnsi="仿宋_GB2312" w:eastAsia="仿宋_GB2312" w:cs="仿宋_GB2312"/>
          <w:color w:val="000000"/>
          <w:kern w:val="0"/>
          <w:sz w:val="32"/>
          <w:szCs w:val="32"/>
          <w:lang w:eastAsia="zh-CN"/>
        </w:rPr>
        <w:t xml:space="preserve">  接受心理健康教育，配合心理测试，养成健康心理。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尊重教师，遵守学习纪律，爱护教学设施、设备。</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接受文化教育，上课认真听讲，按时完成作业，争取良好成绩。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第二十三条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接受技术教育，掌握实用技能，争当劳动能手，增强就业能力。</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第二十四条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阅读健康有益书刊，按规定收听、收看广播电视。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参加文娱活动，增强体质，陶冶情操。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6"/>
          <w:kern w:val="0"/>
          <w:sz w:val="32"/>
          <w:szCs w:val="32"/>
          <w:lang w:eastAsia="zh-CN"/>
        </w:rPr>
        <w:t>积极参加劳动。因故不参加劳动，须经警官批准。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遵守劳动纪律，坚守岗位，服从生产管理和技术指导。</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第二十八</w:t>
      </w:r>
      <w:r>
        <w:rPr>
          <w:rFonts w:hint="eastAsia" w:ascii="仿宋_GB2312" w:hAnsi="仿宋_GB2312" w:eastAsia="仿宋_GB2312" w:cs="仿宋_GB2312"/>
          <w:color w:val="000000"/>
          <w:kern w:val="0"/>
          <w:sz w:val="32"/>
          <w:szCs w:val="32"/>
          <w:lang w:eastAsia="zh-CN"/>
        </w:rPr>
        <w:t>条 严格遵守操作规程和安全生产规定，不违章作业。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第二十九条</w:t>
      </w:r>
      <w:r>
        <w:rPr>
          <w:rFonts w:hint="eastAsia" w:ascii="仿宋_GB2312" w:hAnsi="仿宋_GB2312" w:eastAsia="仿宋_GB2312" w:cs="仿宋_GB2312"/>
          <w:color w:val="000000"/>
          <w:kern w:val="0"/>
          <w:sz w:val="32"/>
          <w:szCs w:val="32"/>
          <w:lang w:eastAsia="zh-CN"/>
        </w:rPr>
        <w:t xml:space="preserve"> 爱护设备、工具。厉行节约，减少损耗，杜绝浪费。</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第三十条</w:t>
      </w:r>
      <w:r>
        <w:rPr>
          <w:rFonts w:hint="eastAsia" w:ascii="仿宋_GB2312" w:hAnsi="仿宋_GB2312" w:eastAsia="仿宋_GB2312" w:cs="仿宋_GB2312"/>
          <w:color w:val="000000"/>
          <w:kern w:val="0"/>
          <w:sz w:val="32"/>
          <w:szCs w:val="32"/>
          <w:lang w:eastAsia="zh-CN"/>
        </w:rPr>
        <w:t xml:space="preserve">   保持劳动现场卫生整洁，遵守定置管理规定，工具、材料、产品摆放整齐。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不将劳动工具和危险品、违禁品带进监舍。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完成劳动任务，保证劳动质量，珍惜劳动成果。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第三十三条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爱护公共环境。不随地吐痰，不乱扔杂物，不损坏花草树木。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言谈举止文明。不讲脏话、粗话。</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礼貌称谓他人。对人民警察称“警官”，对其他人员采用相应礼貌称谓。</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罪犯之间互称姓名，不起(叫)绰号。</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来宾、警官进入监舍时，除患病和按规定就寝外，起立致意。</w:t>
      </w:r>
    </w:p>
    <w:p>
      <w:pPr>
        <w:spacing w:line="240" w:lineRule="auto"/>
        <w:ind w:firstLine="640" w:firstLineChars="200"/>
        <w:rPr>
          <w:rFonts w:hint="eastAsia" w:ascii="黑体" w:hAnsi="黑体" w:eastAsia="黑体" w:cs="黑体"/>
          <w:color w:val="000000"/>
          <w:kern w:val="0"/>
          <w:szCs w:val="21"/>
          <w:lang w:eastAsia="zh-CN"/>
        </w:rPr>
      </w:pPr>
      <w:r>
        <w:rPr>
          <w:rFonts w:hint="eastAsia" w:ascii="楷体_GB2312" w:hAnsi="楷体_GB2312" w:eastAsia="楷体_GB2312" w:cs="楷体_GB2312"/>
          <w:color w:val="000000"/>
          <w:kern w:val="0"/>
          <w:sz w:val="32"/>
          <w:szCs w:val="32"/>
          <w:lang w:eastAsia="zh-CN"/>
        </w:rPr>
        <w:t>第三十八条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与来宾、警官相遇时，文明礼让。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rPr>
          <w:rStyle w:val="14"/>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lang w:eastAsia="zh-CN"/>
        </w:rPr>
        <w:t>十一、对罪犯</w:t>
      </w:r>
      <w:r>
        <w:rPr>
          <w:rStyle w:val="14"/>
          <w:rFonts w:hint="eastAsia" w:ascii="黑体" w:hAnsi="黑体" w:eastAsia="黑体" w:cs="黑体"/>
          <w:color w:val="000000"/>
          <w:sz w:val="32"/>
          <w:szCs w:val="32"/>
          <w:u w:val="none"/>
          <w:lang w:eastAsia="zh-CN"/>
        </w:rPr>
        <w:t>服刑改造表现进行考评的条件和程序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w:t>
      </w:r>
      <w:r>
        <w:rPr>
          <w:rFonts w:hint="eastAsia" w:eastAsia="楷体_GB2312"/>
          <w:b/>
          <w:color w:val="000000"/>
          <w:kern w:val="0"/>
          <w:sz w:val="32"/>
          <w:szCs w:val="32"/>
          <w:lang w:val="en-US" w:eastAsia="zh-CN"/>
        </w:rPr>
        <w:t>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w:t>
      </w:r>
      <w:r>
        <w:rPr>
          <w:rFonts w:hint="eastAsia" w:eastAsia="楷体_GB2312"/>
          <w:b/>
          <w:color w:val="000000"/>
          <w:kern w:val="0"/>
          <w:sz w:val="32"/>
          <w:szCs w:val="32"/>
          <w:lang w:val="en-US" w:eastAsia="zh-CN"/>
        </w:rPr>
        <w:t>二）《监狱计分考核罪犯工作规定》（司规〔2021〕3号）相关规定</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_GB2312" w:hAnsi="仿宋_GB2312" w:eastAsia="仿宋_GB2312" w:cs="仿宋_GB2312"/>
          <w:sz w:val="32"/>
          <w:szCs w:val="32"/>
          <w:lang w:val="en-US" w:eastAsia="zh-CN"/>
        </w:rPr>
        <w:t xml:space="preserve">  计分考核罪犯是监狱按照管理和改造要求，以日常计分为基础、等级评定为结果，评价罪犯日常表现的重要工作，是监狱衡量罪犯改造质量的基本尺度，是调动罪犯改造积极性的基本手段。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计分考核自罪犯入监之日起实施，日常计分满600分为一个考核周期，等级评定在一个考核周期结束次月进行。</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监狱应当根据计分考核结果给予罪犯表扬、物质奖励或者不予奖励，并将计分考核结果作为对罪犯实施分级处遇、依法提请减刑假释的重要依据。</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日常计分内容分为监管改造、教育和文化改造、劳动改造三部分，每月基础总分为100分，每月各部分日常加分分值不得超过其基础分的50%，且各部分得分之间不得相互替补。</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lang w:val="en-US" w:eastAsia="zh-CN"/>
        </w:rPr>
        <w:t xml:space="preserve">  罪犯监管改造表现达到以下标准的，当月给予基础分35分：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（一）遵守法律法规、监规纪律和行为规范；</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（二）服从监狱人民警察管理，如实汇报改造情况；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（三）树立正确的服刑意识和身份意识，改造态度端正；</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（四）爱护公共财物和公共卫生，讲究个人卫生和文明礼貌；</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（五）厉行节约，反对浪费，养成节约用水、节约粮食等良好习惯；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（六）其他遵守监规纪律的情形。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罪犯教育和文化改造表现达到以下标准的，当月给予基础分35分：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（一）服从法院判决，认罪悔罪；</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（二）接受思想政治教育和法治教育，认识犯罪危害；</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（三）接受社会主义核心价值观和中华优秀传统文化教育；</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（四）参加文化、职业技术学习，考核成绩合格；</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（五）接受心理健康教育，配合心理测试； </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（六）参加监狱组织的亲情帮教、警示教育等社会化活动；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（七）参加文体活动，树立积极改造心态；</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（八）其他积极接受教育和文化改造的情形。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lang w:val="en-US" w:eastAsia="zh-CN"/>
        </w:rPr>
        <w:t xml:space="preserve">  罪犯劳动改造表现达到以下标准的，当月给予基础分30分：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（一）接受劳动教育，掌握劳动技能，自觉树立正确劳动观念；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（二）服从劳动岗位分配，按时参加劳动；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（三）认真履行劳动岗位职责，按时完成劳动任务，达到劳动质量要求；</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（四）遵守劳动纪律、操作规程和安全生产规定；</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（五）爱护劳动工具和产品，节约原材料；</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（六）其他积极接受劳动改造的情形。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罪犯有下列情形之一，经查证属实且尚不足认定为立功、重大立功的，应当给予专项加分：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（一）检举、揭发他人违法犯罪行为或者提供有价值破案线索的；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（二）及时报告或者当场制止罪犯实施违法犯罪行为的；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（三）检举、揭发、制止罪犯自伤自残、自杀或者预谋脱逃、行凶等行为的；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（四）检举、揭发罪犯私藏或者使用违禁品的；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（五）及时发现和报告重大安全隐患，避免安全事故的；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（六）在抗御自然灾害或者处置安全事故中表现积极的；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（七）进行技术革新或者传授劳动生产技术成绩突出的；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（八）省、自治区、直辖市监狱管理局认定具有其他突出改造行为的。</w:t>
      </w:r>
    </w:p>
    <w:p>
      <w:pPr>
        <w:numPr>
          <w:ilvl w:val="0"/>
          <w:numId w:val="0"/>
        </w:numPr>
        <w:ind w:lef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罪犯每年度专项加分总量原则上不得超过300分，单次加分不得超过100分，有上述第一至五项情形的不受年度加分总量限制。</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罪犯受到警告、记过、禁闭处罚的，分别扣减考核分100分、200分、400分，扣减后考核积分为负分的，保留负分。受到禁闭处罚的，禁闭期间考核基础分记0分。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sz w:val="32"/>
          <w:szCs w:val="32"/>
          <w:lang w:val="en-US" w:eastAsia="zh-CN"/>
        </w:rPr>
        <w:t xml:space="preserve">  对下列罪犯应当从严计分，严格限制加分项目，严格控制加分总量：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（一）职务犯罪罪犯；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（二）破坏金融管理秩序和金融诈骗犯罪罪犯；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（三）组织、领导、参加、包庇、纵容黑社会性质组织犯罪罪犯；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（四）危害国家安全犯罪罪犯；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（五）恐怖活动犯罪罪犯；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（六）毒品犯罪集团的首要分子及毒品再犯；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（七）累犯；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（八）因故意杀人、强奸、抢劫、绑架、放火、爆炸、投放危险物质或者有组织的暴力犯罪被判处十年以上有期徒刑、无期徒刑以及死刑缓期执行的罪犯；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（九）法律法规规定应当从严的罪犯。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对老年、身体残疾、患严重疾病等经鉴定丧失劳动能力的罪犯，不考核劳动改造表现，每月基础分为100分，其中监管改造基础分50分，教育和文化改造基础分50分。</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等级评定是监狱在日常计分考核基础上对罪犯一个考核周期内改造表现的综合评价，分为积极、合格、不合格三个等级。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等级评定结果由计分考核工作小组研究意见，报计分考核工作组审批，其中积极等级的比例由计分考核工作组确定，不得超过监狱本期参加等级评定罪犯总人数的15%。</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第二十六条 </w:t>
      </w:r>
      <w:r>
        <w:rPr>
          <w:rFonts w:hint="eastAsia" w:ascii="仿宋_GB2312" w:hAnsi="仿宋_GB2312" w:eastAsia="仿宋_GB2312" w:cs="仿宋_GB2312"/>
          <w:sz w:val="32"/>
          <w:szCs w:val="32"/>
          <w:lang w:val="en-US" w:eastAsia="zh-CN"/>
        </w:rPr>
        <w:t>日常计分实行“日记载、周评议、月汇总”。监区管教民警每日记载罪犯改造行为加分、扣分情况，计分考核工作小组每周评议罪犯改造表现和考核情况，每月汇总考核分，不足月的按日计算。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十二、罪犯分级处遇的条件和程序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第四十条</w:t>
      </w:r>
      <w:r>
        <w:rPr>
          <w:rFonts w:hint="eastAsia" w:ascii="仿宋_GB2312" w:hAnsi="仿宋_GB2312" w:eastAsia="仿宋_GB2312" w:cs="仿宋_GB2312"/>
          <w:sz w:val="32"/>
          <w:szCs w:val="32"/>
          <w:lang w:val="en-US" w:eastAsia="zh-CN"/>
        </w:rPr>
        <w:t xml:space="preserve">  监狱根据计分考核结果除给予罪犯奖励或者不予奖励外，可以依照有关规定在活动范围、会见通信、生活待遇、文体活动等方面给予罪犯不同的处遇。</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福建</w:t>
      </w:r>
      <w:r>
        <w:rPr>
          <w:rFonts w:hint="eastAsia" w:ascii="楷体_GB2312" w:hAnsi="楷体_GB2312" w:eastAsia="楷体_GB2312" w:cs="楷体_GB2312"/>
          <w:b/>
          <w:bCs/>
          <w:color w:val="000000"/>
          <w:sz w:val="32"/>
          <w:szCs w:val="32"/>
          <w:lang w:eastAsia="zh-CN"/>
        </w:rPr>
        <w:t>省</w:t>
      </w:r>
      <w:r>
        <w:rPr>
          <w:rFonts w:hint="eastAsia" w:ascii="楷体_GB2312" w:hAnsi="楷体_GB2312" w:eastAsia="楷体_GB2312" w:cs="楷体_GB2312"/>
          <w:b/>
          <w:bCs/>
          <w:color w:val="000000"/>
          <w:sz w:val="32"/>
          <w:szCs w:val="32"/>
        </w:rPr>
        <w:t>监狱</w:t>
      </w:r>
      <w:r>
        <w:rPr>
          <w:rFonts w:hint="eastAsia" w:ascii="楷体_GB2312" w:hAnsi="楷体_GB2312" w:eastAsia="楷体_GB2312" w:cs="楷体_GB2312"/>
          <w:b/>
          <w:bCs/>
          <w:color w:val="000000"/>
          <w:sz w:val="32"/>
          <w:szCs w:val="32"/>
          <w:lang w:eastAsia="zh-CN"/>
        </w:rPr>
        <w:t>系统</w:t>
      </w:r>
      <w:r>
        <w:rPr>
          <w:rFonts w:hint="eastAsia" w:ascii="楷体_GB2312" w:hAnsi="楷体_GB2312" w:eastAsia="楷体_GB2312" w:cs="楷体_GB2312"/>
          <w:b/>
          <w:bCs/>
          <w:color w:val="000000"/>
          <w:sz w:val="32"/>
          <w:szCs w:val="32"/>
        </w:rPr>
        <w:t>罪犯分级处遇</w:t>
      </w:r>
      <w:r>
        <w:rPr>
          <w:rFonts w:hint="eastAsia" w:ascii="楷体_GB2312" w:hAnsi="楷体_GB2312" w:eastAsia="楷体_GB2312" w:cs="楷体_GB2312"/>
          <w:b/>
          <w:bCs/>
          <w:color w:val="000000"/>
          <w:sz w:val="32"/>
          <w:szCs w:val="32"/>
          <w:lang w:eastAsia="zh-CN"/>
        </w:rPr>
        <w:t>实施细则》（闽狱〔</w:t>
      </w:r>
      <w:r>
        <w:rPr>
          <w:rFonts w:hint="eastAsia" w:ascii="楷体_GB2312" w:hAnsi="楷体_GB2312" w:eastAsia="楷体_GB2312" w:cs="楷体_GB2312"/>
          <w:b/>
          <w:bCs/>
          <w:color w:val="000000"/>
          <w:sz w:val="32"/>
          <w:szCs w:val="32"/>
          <w:lang w:val="en-US" w:eastAsia="zh-CN"/>
        </w:rPr>
        <w:t>2022</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5号）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第四条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罪犯分级处遇划分为四个等级，依次为严管级、考察级、普管级、宽管级，处遇内容逐级放宽。</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第五条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定为严管级：</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受到一次性</w:t>
      </w:r>
      <w:r>
        <w:rPr>
          <w:rFonts w:hint="eastAsia" w:ascii="仿宋_GB2312" w:hAnsi="仿宋_GB2312" w:eastAsia="仿宋_GB2312" w:cs="仿宋_GB2312"/>
          <w:color w:val="000000"/>
          <w:spacing w:val="0"/>
          <w:sz w:val="32"/>
          <w:szCs w:val="32"/>
        </w:rPr>
        <w:t>扣</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分以上的。</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　（二）</w:t>
      </w:r>
      <w:r>
        <w:rPr>
          <w:rFonts w:hint="eastAsia" w:ascii="仿宋_GB2312" w:hAnsi="仿宋_GB2312" w:eastAsia="仿宋_GB2312" w:cs="仿宋_GB2312"/>
          <w:color w:val="000000"/>
          <w:spacing w:val="0"/>
          <w:sz w:val="32"/>
          <w:szCs w:val="32"/>
        </w:rPr>
        <w:t>当月累计扣</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0分以上的</w:t>
      </w:r>
      <w:r>
        <w:rPr>
          <w:rFonts w:hint="eastAsia" w:ascii="仿宋_GB2312" w:hAnsi="仿宋_GB2312" w:eastAsia="仿宋_GB2312" w:cs="仿宋_GB2312"/>
          <w:color w:val="000000"/>
          <w:spacing w:val="0"/>
          <w:sz w:val="32"/>
          <w:szCs w:val="32"/>
          <w:lang w:val="en-US" w:eastAsia="zh-CN"/>
        </w:rPr>
        <w:t>。</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　（三）等</w:t>
      </w:r>
      <w:r>
        <w:rPr>
          <w:rFonts w:hint="eastAsia" w:ascii="仿宋_GB2312" w:hAnsi="仿宋_GB2312" w:eastAsia="仿宋_GB2312" w:cs="仿宋_GB2312"/>
          <w:color w:val="000000"/>
          <w:spacing w:val="0"/>
          <w:sz w:val="32"/>
          <w:szCs w:val="32"/>
        </w:rPr>
        <w:t>级评定前三个月</w:t>
      </w:r>
      <w:r>
        <w:rPr>
          <w:rFonts w:hint="eastAsia" w:ascii="仿宋_GB2312" w:hAnsi="仿宋_GB2312" w:eastAsia="仿宋_GB2312" w:cs="仿宋_GB2312"/>
          <w:color w:val="000000"/>
          <w:spacing w:val="0"/>
          <w:sz w:val="32"/>
          <w:szCs w:val="32"/>
          <w:lang w:eastAsia="zh-CN"/>
        </w:rPr>
        <w:t>累计扣</w:t>
      </w:r>
      <w:r>
        <w:rPr>
          <w:rFonts w:hint="eastAsia" w:ascii="仿宋_GB2312" w:hAnsi="仿宋_GB2312" w:eastAsia="仿宋_GB2312" w:cs="仿宋_GB2312"/>
          <w:color w:val="000000"/>
          <w:spacing w:val="0"/>
          <w:sz w:val="32"/>
          <w:szCs w:val="32"/>
          <w:lang w:val="en-US" w:eastAsia="zh-CN"/>
        </w:rPr>
        <w:t>40分以上的。</w:t>
      </w:r>
    </w:p>
    <w:p>
      <w:pPr>
        <w:numPr>
          <w:ilvl w:val="0"/>
          <w:numId w:val="0"/>
        </w:numPr>
        <w:topLinePunct/>
        <w:spacing w:beforeLines="0" w:afterLines="0" w:line="240" w:lineRule="auto"/>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eastAsia="zh-CN"/>
        </w:rPr>
        <w:t>　（四）</w:t>
      </w:r>
      <w:r>
        <w:rPr>
          <w:rFonts w:hint="eastAsia" w:ascii="仿宋_GB2312" w:hAnsi="仿宋_GB2312" w:eastAsia="仿宋_GB2312" w:cs="仿宋_GB2312"/>
          <w:color w:val="000000"/>
          <w:spacing w:val="0"/>
          <w:sz w:val="32"/>
          <w:szCs w:val="32"/>
        </w:rPr>
        <w:t>等级评定前连续三个月每月考核得</w:t>
      </w:r>
      <w:r>
        <w:rPr>
          <w:rFonts w:hint="eastAsia" w:ascii="仿宋_GB2312" w:hAnsi="仿宋_GB2312" w:eastAsia="仿宋_GB2312" w:cs="仿宋_GB2312"/>
          <w:spacing w:val="0"/>
          <w:sz w:val="32"/>
          <w:szCs w:val="32"/>
        </w:rPr>
        <w:t>分</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p>
    <w:p>
      <w:pPr>
        <w:numPr>
          <w:ilvl w:val="0"/>
          <w:numId w:val="0"/>
        </w:numPr>
        <w:topLinePunct/>
        <w:spacing w:beforeLines="0" w:afterLines="0"/>
        <w:ind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（五）</w:t>
      </w:r>
      <w:r>
        <w:rPr>
          <w:rFonts w:hint="eastAsia" w:ascii="仿宋_GB2312" w:hAnsi="仿宋_GB2312" w:eastAsia="仿宋_GB2312" w:cs="仿宋_GB2312"/>
          <w:spacing w:val="0"/>
          <w:sz w:val="32"/>
          <w:szCs w:val="32"/>
        </w:rPr>
        <w:t>受到警告、记过、禁闭处罚的。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（六）</w:t>
      </w:r>
      <w:r>
        <w:rPr>
          <w:rFonts w:hint="eastAsia" w:ascii="仿宋_GB2312" w:hAnsi="仿宋_GB2312" w:eastAsia="仿宋_GB2312" w:cs="仿宋_GB2312"/>
          <w:spacing w:val="0"/>
          <w:sz w:val="32"/>
          <w:szCs w:val="32"/>
        </w:rPr>
        <w:t>假释、暂予监外执行的罪犯因违反有关监督管理规定或者重新犯罪被收监的。</w:t>
      </w:r>
    </w:p>
    <w:p>
      <w:pPr>
        <w:numPr>
          <w:ilvl w:val="0"/>
          <w:numId w:val="0"/>
        </w:numPr>
        <w:topLinePunct/>
        <w:spacing w:beforeLines="0" w:afterLines="0"/>
        <w:ind w:left="0" w:leftChars="0" w:firstLine="644"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狱内又犯罪，或漏罪（除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（八）</w:t>
      </w:r>
      <w:r>
        <w:rPr>
          <w:rFonts w:hint="eastAsia" w:ascii="仿宋_GB2312" w:hAnsi="仿宋_GB2312" w:eastAsia="仿宋_GB2312" w:cs="仿宋_GB2312"/>
          <w:spacing w:val="0"/>
          <w:sz w:val="32"/>
          <w:szCs w:val="32"/>
        </w:rPr>
        <w:t>邪教类、极端宗教思想危安罪犯未转化或者转化后反复的。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FF0000"/>
          <w:spacing w:val="0"/>
          <w:sz w:val="32"/>
          <w:szCs w:val="32"/>
          <w:lang w:eastAsia="zh-CN"/>
        </w:rPr>
        <w:t>　</w:t>
      </w:r>
      <w:r>
        <w:rPr>
          <w:rFonts w:hint="eastAsia" w:ascii="仿宋_GB2312" w:hAnsi="仿宋_GB2312" w:eastAsia="仿宋_GB2312" w:cs="仿宋_GB2312"/>
          <w:spacing w:val="0"/>
          <w:sz w:val="32"/>
          <w:szCs w:val="32"/>
          <w:lang w:eastAsia="zh-CN"/>
        </w:rPr>
        <w:t>　（九）入监教育考核不合格的。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（十）严管级期间累计扣</w:t>
      </w:r>
      <w:r>
        <w:rPr>
          <w:rFonts w:hint="eastAsia" w:ascii="仿宋_GB2312" w:hAnsi="仿宋_GB2312" w:eastAsia="仿宋_GB2312" w:cs="仿宋_GB2312"/>
          <w:spacing w:val="0"/>
          <w:sz w:val="32"/>
          <w:szCs w:val="32"/>
          <w:lang w:val="en-US" w:eastAsia="zh-CN"/>
        </w:rPr>
        <w:t>10分以上的。</w:t>
      </w:r>
    </w:p>
    <w:p>
      <w:pPr>
        <w:numPr>
          <w:ilvl w:val="0"/>
          <w:numId w:val="0"/>
        </w:numPr>
        <w:topLinePunct/>
        <w:spacing w:beforeLines="0" w:afterLines="0"/>
        <w:ind w:left="0" w:leftChars="0" w:firstLine="0" w:firstLineChars="0"/>
        <w:rPr>
          <w:rFonts w:hint="eastAsia" w:ascii="仿宋_GB2312" w:hAnsi="仿宋_GB2312" w:eastAsia="仿宋_GB2312" w:cs="仿宋_GB2312"/>
          <w:color w:val="FF0000"/>
          <w:spacing w:val="0"/>
          <w:sz w:val="32"/>
          <w:szCs w:val="32"/>
        </w:rPr>
      </w:pPr>
      <w:r>
        <w:rPr>
          <w:rFonts w:hint="eastAsia" w:ascii="仿宋_GB2312" w:hAnsi="仿宋_GB2312" w:eastAsia="仿宋_GB2312" w:cs="仿宋_GB2312"/>
          <w:spacing w:val="0"/>
          <w:sz w:val="32"/>
          <w:szCs w:val="32"/>
          <w:lang w:eastAsia="zh-CN"/>
        </w:rPr>
        <w:t>　　（十一）其他监狱认为需要定为严管级情形的。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eastAsia="zh-CN"/>
        </w:rPr>
        <w:t>　　</w:t>
      </w:r>
      <w:r>
        <w:rPr>
          <w:rFonts w:hint="eastAsia" w:ascii="仿宋_GB2312" w:hAnsi="仿宋_GB2312" w:eastAsia="仿宋_GB2312" w:cs="仿宋_GB2312"/>
          <w:b/>
          <w:bCs/>
          <w:spacing w:val="0"/>
          <w:sz w:val="32"/>
          <w:szCs w:val="32"/>
          <w:lang w:eastAsia="zh-CN"/>
        </w:rPr>
        <w:t>第六条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定为考察级：</w:t>
      </w:r>
    </w:p>
    <w:p>
      <w:pPr>
        <w:numPr>
          <w:ilvl w:val="0"/>
          <w:numId w:val="0"/>
        </w:numPr>
        <w:topLinePunct w:val="0"/>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入监教育期间的（入监当月至入监教育结束当月）。</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等级评定前连续三个月考核得分累计2</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r>
        <w:rPr>
          <w:rFonts w:hint="eastAsia" w:ascii="仿宋_GB2312" w:hAnsi="仿宋_GB2312" w:eastAsia="仿宋_GB2312" w:cs="仿宋_GB2312"/>
          <w:spacing w:val="0"/>
          <w:sz w:val="32"/>
          <w:szCs w:val="32"/>
          <w:lang w:eastAsia="zh-CN"/>
        </w:rPr>
        <w:t>（因病住院除外）</w:t>
      </w:r>
      <w:r>
        <w:rPr>
          <w:rFonts w:hint="eastAsia" w:ascii="仿宋_GB2312" w:hAnsi="仿宋_GB2312" w:eastAsia="仿宋_GB2312" w:cs="仿宋_GB2312"/>
          <w:spacing w:val="0"/>
          <w:sz w:val="32"/>
          <w:szCs w:val="32"/>
        </w:rPr>
        <w:t>。</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（三）等</w:t>
      </w:r>
      <w:r>
        <w:rPr>
          <w:rFonts w:hint="eastAsia" w:ascii="仿宋_GB2312" w:hAnsi="仿宋_GB2312" w:eastAsia="仿宋_GB2312" w:cs="仿宋_GB2312"/>
          <w:spacing w:val="0"/>
          <w:sz w:val="32"/>
          <w:szCs w:val="32"/>
        </w:rPr>
        <w:t>级评定前三个月中有一个月考核得分70分以下的。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受到一次性扣</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等级评定前三个月累计扣</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40分以下</w:t>
      </w:r>
      <w:r>
        <w:rPr>
          <w:rFonts w:hint="eastAsia" w:ascii="仿宋_GB2312" w:hAnsi="仿宋_GB2312" w:eastAsia="仿宋_GB2312" w:cs="仿宋_GB2312"/>
          <w:spacing w:val="0"/>
          <w:sz w:val="32"/>
          <w:szCs w:val="32"/>
        </w:rPr>
        <w:t>的。</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罪犯具备下列情形之一的，</w:t>
      </w:r>
      <w:r>
        <w:rPr>
          <w:rFonts w:hint="eastAsia" w:ascii="仿宋_GB2312" w:hAnsi="仿宋_GB2312" w:eastAsia="仿宋_GB2312" w:cs="仿宋_GB2312"/>
          <w:spacing w:val="0"/>
          <w:sz w:val="32"/>
          <w:szCs w:val="32"/>
          <w:lang w:eastAsia="zh-CN"/>
        </w:rPr>
        <w:t>且无违规扣分，可评</w:t>
      </w:r>
      <w:r>
        <w:rPr>
          <w:rFonts w:hint="eastAsia" w:ascii="仿宋_GB2312" w:hAnsi="仿宋_GB2312" w:eastAsia="仿宋_GB2312" w:cs="仿宋_GB2312"/>
          <w:spacing w:val="0"/>
          <w:sz w:val="32"/>
          <w:szCs w:val="32"/>
        </w:rPr>
        <w:t>定为宽管级：</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sz w:val="32"/>
          <w:szCs w:val="32"/>
          <w:lang w:eastAsia="zh-CN"/>
        </w:rPr>
        <w:t>（一）从事技术劳动岗位的罪犯</w:t>
      </w:r>
      <w:r>
        <w:rPr>
          <w:rFonts w:hint="eastAsia" w:ascii="仿宋_GB2312" w:hAnsi="仿宋_GB2312" w:eastAsia="仿宋_GB2312" w:cs="仿宋_GB2312"/>
          <w:spacing w:val="0"/>
          <w:w w:val="100"/>
          <w:sz w:val="32"/>
          <w:szCs w:val="32"/>
          <w:lang w:val="en-US" w:eastAsia="zh-CN"/>
        </w:rPr>
        <w:t>等级评定前连续三个月考核得分累计320分以上，且每月考核得分104分以上；</w:t>
      </w:r>
    </w:p>
    <w:p>
      <w:pPr>
        <w:topLinePunct/>
        <w:spacing w:beforeLines="0" w:afterLines="0"/>
        <w:ind w:firstLine="0" w:firstLineChars="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（二）从事一般劳动岗位的罪犯等级评定前连续三个月考核得分累计300分以上，且每月考核得分100分以上；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（三）经鉴定或评估丧失劳动能力的老病残犯，“艾感”犯和未成年犯等级评定前连续三个月考核得分累计305分以上，且每月考核得分100分以上；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（四）生产辅助犯等级评定前连续三个月考核得分累计315分以上，且每月考核得分104分以上；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（五）后勤犯等级评定前连续三个月考核得分累计308分以上，且每月考核得分100分以上；</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除被评定为严管级、考察级、宽管级的罪犯以外，其他罪犯均评定为普管级。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长期住院病犯以及长期患病、年老体弱但又不符合劳动能力鉴定其无劳动能力的罪犯，如认真遵守监规，服从管理教育，无违规扣分的可以直接评定为普管级。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降级应当按照标准即时评定、及时审批、按时降级。降为严管级</w:t>
      </w:r>
      <w:r>
        <w:rPr>
          <w:rFonts w:hint="eastAsia" w:ascii="仿宋_GB2312" w:hAnsi="仿宋_GB2312" w:eastAsia="仿宋_GB2312" w:cs="仿宋_GB2312"/>
          <w:spacing w:val="0"/>
          <w:sz w:val="32"/>
          <w:szCs w:val="32"/>
          <w:lang w:eastAsia="zh-CN"/>
        </w:rPr>
        <w:t>、考察级</w:t>
      </w:r>
      <w:r>
        <w:rPr>
          <w:rFonts w:hint="eastAsia" w:ascii="仿宋_GB2312" w:hAnsi="仿宋_GB2312" w:eastAsia="仿宋_GB2312" w:cs="仿宋_GB2312"/>
          <w:spacing w:val="0"/>
          <w:sz w:val="32"/>
          <w:szCs w:val="32"/>
        </w:rPr>
        <w:t>的，审批后即时变更处遇；其他升降级于审批后次月变更执行相应处遇。</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罪犯有下列情形之一的，限制其升级期限：</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降为严管级的，重新晋升考察级前应接受严管级管理三个月以上的。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（二）</w:t>
      </w:r>
      <w:r>
        <w:rPr>
          <w:rFonts w:hint="eastAsia" w:ascii="仿宋_GB2312" w:hAnsi="仿宋_GB2312" w:eastAsia="仿宋_GB2312" w:cs="仿宋_GB2312"/>
          <w:spacing w:val="0"/>
          <w:sz w:val="32"/>
          <w:szCs w:val="32"/>
        </w:rPr>
        <w:t>受到记过处罚，或假释、暂予监外执行的罪犯因违反有关监督管理规定或者重新犯罪被收监，或漏罪（除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外）被加刑，降为严管级的，重新晋升普管级前应接受考察级管理六个月以上。</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（三）</w:t>
      </w:r>
      <w:r>
        <w:rPr>
          <w:rFonts w:hint="eastAsia" w:ascii="仿宋_GB2312" w:hAnsi="仿宋_GB2312" w:eastAsia="仿宋_GB2312" w:cs="仿宋_GB2312"/>
          <w:spacing w:val="0"/>
          <w:sz w:val="32"/>
          <w:szCs w:val="32"/>
        </w:rPr>
        <w:t>受到禁闭处罚，或狱内又犯罪，降为严管级的，重新晋升普管级前应接受考察级管理九个月以上。</w:t>
      </w:r>
    </w:p>
    <w:p>
      <w:pPr>
        <w:widowControl w:val="0"/>
        <w:shd w:val="clear" w:color="auto" w:fill="FFFFFF"/>
        <w:topLinePunct/>
        <w:spacing w:before="0" w:beforeLines="0" w:beforeAutospacing="0" w:after="0" w:afterLines="0" w:afterAutospacing="0"/>
        <w:ind w:firstLine="643"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罪犯等级确定和升降级，由分监区民警集体研究，填写相关审批表（一式</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份，分别由分监区和监区保存），报监区集体研究决定。</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rPr>
      </w:pPr>
      <w:r>
        <w:rPr>
          <w:rFonts w:hint="eastAsia" w:ascii="黑体" w:hAnsi="黑体" w:eastAsia="黑体" w:cs="黑体"/>
          <w:spacing w:val="0"/>
          <w:sz w:val="32"/>
          <w:szCs w:val="32"/>
          <w:lang w:eastAsia="zh-CN"/>
        </w:rPr>
        <w:t>十三、</w:t>
      </w:r>
      <w:r>
        <w:rPr>
          <w:rFonts w:hint="eastAsia" w:ascii="黑体" w:hAnsi="黑体" w:eastAsia="黑体" w:cs="黑体"/>
          <w:spacing w:val="0"/>
          <w:sz w:val="32"/>
          <w:szCs w:val="32"/>
        </w:rPr>
        <w:t>罪犯获得表扬、记功或物质奖励等奖励的条件和程序</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（一）《中华人民共和国监狱法》相关条款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第五十七条　罪犯有下列情形之一的，监狱可以给予表扬、物质奖励或者记功：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遵守监规纪律，努力学习，积极劳动，有认罪伏法表现的；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阻止违法犯罪活动的；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超额完成生产任务的；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节约原材料或者爱护公物，有成绩的；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进行技术革新或者传授生产技术，有一定成效的；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在防止或者消除灾害事故中作出一定贡献的；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对国家和社会有其他贡献的。</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（二）《监狱计分考核罪犯工作规定》（司规〔2021〕3号）相关条款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第三十八条  一个考核周期结束，计分考核工作小组应当根据计分考核结果，按照以下原则报计分考核工作组审批：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被评为积极等级的，给予表扬，可以同时给予物质奖励；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被评为合格且每月考核分均不低于基础分的，给予表扬；</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被评为合格等级但有任何一个月考核低于基础分的，给予物质奖励；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被评为不合格等级，不予奖励并应当给予批评教育。</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一个考核周期结束，从考核积分中扣除600分，剩余考核积分转入下一个考核周期。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第三十九条  监狱决定给予罪犯表扬、物质奖励、不予奖励或者取消考核积分和奖励的，应当及时在监区内公示，公示时间不得少于3个工作日，同时应当及时将审批决定抄送检察院。</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十四、罪犯受到警告、记过或者禁闭等处罚的条件和程序</w:t>
      </w:r>
    </w:p>
    <w:p>
      <w:pPr>
        <w:pStyle w:val="10"/>
        <w:widowControl w:val="0"/>
        <w:shd w:val="clear" w:color="auto" w:fill="FFFFFF"/>
        <w:spacing w:before="0" w:beforeAutospacing="0" w:after="0" w:afterAutospacing="0"/>
        <w:ind w:firstLine="643" w:firstLineChars="200"/>
        <w:jc w:val="both"/>
        <w:rPr>
          <w:rFonts w:hint="eastAsia" w:ascii="黑体" w:hAnsi="黑体" w:eastAsia="楷体_GB2312" w:cs="黑体"/>
          <w:color w:val="000000"/>
          <w:sz w:val="32"/>
          <w:szCs w:val="32"/>
          <w:lang w:eastAsia="zh-CN"/>
        </w:rPr>
      </w:pPr>
      <w:r>
        <w:rPr>
          <w:rFonts w:hint="eastAsia" w:ascii="Times New Roman" w:hAnsi="Times New Roman" w:eastAsia="楷体_GB2312" w:cs="Times New Roman"/>
          <w:b/>
          <w:color w:val="000000"/>
          <w:sz w:val="32"/>
          <w:szCs w:val="32"/>
          <w:lang w:val="en-US"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聚众哄闹监狱，扰乱正常秩序的；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辱骂或者殴打人民警察的；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欺压其他罪犯的；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偷窃、赌博、打架斗殴、寻衅滋事的；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有劳动能力拒不参加劳动或者消极怠工，经教育不改的；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以自伤、自残手段逃避劳动的；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在生产劳动中故意违反操作规程，或者有意损坏生产工具的；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有违反监规纪律的其他行为的。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hint="eastAsia" w:eastAsia="楷体_GB2312"/>
          <w:b/>
          <w:color w:val="00000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topLinePunct w:val="0"/>
        <w:snapToGrid/>
        <w:spacing w:line="240" w:lineRule="auto"/>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val="en-US" w:eastAsia="zh-CN"/>
        </w:rPr>
        <w:t>第十五条 罪犯受到警告、记过、禁闭处罚的，分别扣减考核分100分、200分、400分，扣减后考核积分为负分的，保留负分。受到禁闭处罚的，禁闭期间考核基础分记0分。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widowControl w:val="0"/>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十五、认定罪犯立功和重大立功的条件和程序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（一）《中华人民共和国刑法》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（二）《关于办理减刑、假释案件具体应用法律的规定》（法释〔2016〕23号）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具有下列情形之一的，可以认定为有“立功表现”：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（二）检举、揭发监狱内外犯罪活动，或者提供重要的破案线索，经查证属实的；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（四）在生产、科研中进行技术革新，成绩突出的；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（五）在抗御自然灾害或者排除重大事故中，表现积极的；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（六）对国家和社会有其他较大贡献的。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第（四）项、第（六）项中的技术革新或者其他较大贡献应当由罪犯在刑罚执行期间独立或者为主完成，并经省级主管部门确认。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具有下列情形之一的，应当认定为有“重大立功表现”：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（三）协助司法机关抓捕其他重大犯罪嫌疑人的；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（三）《福建监狱罪犯立功重大立功表现认定程序指导意见》（闽狱〔2018〕384号）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（五）监狱狱政管理科或狱内侦查科审核后，应当出具审查报告，并提交监狱计分考核领导小组研究，由分管改造监狱领导在认定审批表上签署意见后，报监狱长办公会议审定；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（六）监狱长办公会议研究决定后，由监狱主要领导在认定审批表上签署意见，加盖监狱公章。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（七）监狱将认定审批表复印件报监狱纪检监察室、驻监检察室和局狱政生活卫生管理处备案。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重大立功表现的认定程序：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（五）监狱狱政管理科或狱内侦查科审核后，应当出具审查报告，提交监狱计分考核领导小组研究，由分管改造监狱领导在认定审批表上签署意见后，报监狱长办公会议研究；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（六）监狱长办公会议研究后，由监狱主要领导在认定审批表上签署意见，加盖监狱公章后，连同证据材料一并报局狱政生活卫生管理处审核；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（七）局狱政生活卫生管理处审核后，报局狱政重要事项审查监督小组研究审议，由分管改造局领导在认定审批表上签署意见后，提交局长办公会议研究。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（八）局长办公会议研究决定后，由局主要领导在认定审批表上签署意见，加盖省局公章。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（九）监狱将认定审批表复印件报监狱纪检监察室和驻监检察室备案。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十六、罪犯通讯、会见的条件和程序</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中华人民共和国</w:t>
      </w:r>
      <w:r>
        <w:rPr>
          <w:rFonts w:hint="eastAsia" w:ascii="楷体_GB2312" w:hAnsi="楷体_GB2312" w:eastAsia="楷体_GB2312" w:cs="楷体_GB2312"/>
          <w:b/>
          <w:color w:val="000000"/>
          <w:sz w:val="32"/>
          <w:szCs w:val="32"/>
        </w:rPr>
        <w:t>监狱法》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福建监狱罪犯会见通信管理办法</w:t>
      </w:r>
      <w:r>
        <w:rPr>
          <w:rFonts w:hint="eastAsia" w:ascii="楷体_GB2312" w:hAnsi="楷体_GB2312" w:eastAsia="楷体_GB2312" w:cs="楷体_GB2312"/>
          <w:b/>
          <w:bCs/>
          <w:color w:val="000000"/>
          <w:sz w:val="32"/>
          <w:szCs w:val="32"/>
          <w:lang w:eastAsia="zh-CN"/>
        </w:rPr>
        <w:t>》（闽狱〔2018〕375号）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监狱应当对罪犯会见、通话进行严格监听监控，对罪犯收寄的信件进行严格检查。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有下列情形之一的，监狱可以暂停会见、通信：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（一）罪犯被立案侦查、起诉、审判期间；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（二）罪犯被禁闭、严管、隔离调查（审查）期间；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（三）其他影响监狱安全或者有碍罪犯改造的情形。</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2"/>
          <w:sz w:val="32"/>
          <w:szCs w:val="32"/>
          <w:lang w:eastAsia="zh-CN"/>
        </w:rPr>
        <w:t>第十四条</w:t>
      </w:r>
      <w:r>
        <w:rPr>
          <w:rFonts w:hint="eastAsia" w:ascii="仿宋_GB2312" w:hAnsi="仿宋_GB2312" w:eastAsia="仿宋_GB2312" w:cs="仿宋_GB2312"/>
          <w:b w:val="0"/>
          <w:bCs w:val="0"/>
          <w:color w:val="000000"/>
          <w:sz w:val="32"/>
          <w:szCs w:val="32"/>
          <w:lang w:eastAsia="zh-CN"/>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有效身份证件包括：中华人民共和国居民身份证（含临时居民身份证）、香港（澳门）特别行政区居民身份证、台湾地区居民身份证、护照。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会见人员持无效证件的，或弄虚作假的，或有明显精神异常的，或酒后及其它异常行为的，可不予安排会见。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  会见管理工作人员应加强现场管控，在会见过程中发现有下列情形之一的，应当立即中止会见：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（一）使用隐语、暗语或者未经批准使用非规定语种交谈，不听劝阻的；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（二）涉及监狱武装看押、警力配备、警戒设施设备等监狱安全防范内容的；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（三）捏造事实诽谤、诬陷、诋毁监狱民警、职工，或散布、传播小道消息、流言蜚语的；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（四）涉及托关系、走门路，以达到调整岗位工种、办理减刑、假释、暂予监外执行等投机改造内容的；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（五）涉及监狱民警家庭住址、社会关系、家庭情况、电话号码等信息的；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（六）罪犯行为可疑、情绪激动或出现不遵守会见纪律及其它严重违纪行为等情况，经制止无效的；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（七）扰乱会见场所秩序的，或无理取闹、滋扰监狱正常工作秩序及其它严重违规违法行为的；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（八）携带或者使用手机、录音、摄影（像）设备的；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（九）传递违禁物品的；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（十）其他违反法律法规、影响罪犯改造、诱发犯罪倾向、威胁监狱安全及违反监狱会见管理规定的。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会见过程有上述情形的，经逐级报狱政管理科审核，监狱分管监管改造领导批准后，可视情暂停罪犯或其亲属、监护人会见一至三个月。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  罪犯通话人员范围包括：配偶及其父母；（养、继）父母；（养、继）子女；（外）祖父母；（外）孙子女；兄弟姐妹；监护人。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罪犯通话应当使用监狱指定的通话设施，通话号码限于已在监狱登记备案的通话人员范围内的电话号码。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罪犯通话时，分监区民警应当全程监听。通话过程中有下列情形之一的，应当立即中止通话：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（一）使用隐语、暗语或者非经批准使用非规定语种交谈，不听劝阻的；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（二）通话内容不利于罪犯改造的；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（三）通话内容违反法律法规或者影响监狱安全的。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通话过程有上述情形的，经报监区分管监管改造领导批准后，可视情暂停罪犯通话一至三个月。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  分监区民警对罪犯收寄信件检查过程中发现有下列内容的，应予以扣留，并按相关规定处理：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（一）夹带违禁、违规、危险品的；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（二）煽动颠覆国家政权、推翻社会主义制度或者分裂国家、破坏国家统一、危害国家安全的；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（三）泄露国家秘密或涉及监狱内部事项的；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（四）散布谣言扰乱社会秩序，破坏社会稳定的；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（五）煽动民族仇恨、民族歧视，破坏民族团结的；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（六）宣扬邪教或者迷信的；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（七）散布淫秽、赌博、恐怖信息或者教唆犯罪的；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（八）使用隐语、暗语、密码书写或在信纸、信封内外做标记的；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（九）涉及监狱民警、职工及其他罪犯家庭住址、通讯号码、账号等个人信息的；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（十）涉及托关系、走门路，影响监管改造秩序内容的；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（十一）其它不利罪犯改造或影响监狱安全内容的。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十七、罪犯离监探亲、特许离监的条件和程序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（一）《中华人民共和国监狱法》相关条款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第五十七条　罪犯有下列情形之一的，监狱可以给予表扬、物质奖励或者记功：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(一)遵守监规纪律，努力学习，积极劳动，有认罪伏法表现的；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(二)阻止违法犯罪活动的；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(三)超额完成生产任务的；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(四)节约原材料或者爱护公物，有成绩的；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(五)进行技术革新或者传授生产技术，有一定成效的；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(六)在防止或者消除灾害事故中作出一定贡献的；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被判处有期徒刑的罪犯有前款所列情形之一，执行原判刑期二分之一以上，在服刑期间一贯表现好，离开监狱不致再危害社会的，监狱可以根据情况准其离监探亲。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（二）《罪犯离监探亲和特许离监规定》(司发通〔2001〕094号)相关条款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第二条  对具有《中华人民共和国监狱法》第五十七条  第一款规定的情形之一，同时具备下列条件的罪犯，可以批准其离监探亲：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(一)原判有期徒刑以及原判死刑缓期二年执行、无期徒刑减为有期徒刑，执行有期徒刑二分之一以上；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(二)宽管级处遇；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(三)服刑期间一贯表现好，离监后不致再危害社会；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(四)探亲对象的常住地在监狱所在的省(区、市)行政区域范围内。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第三条  离监探亲的对象限于父母、子女、配偶。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符合条件的罪犯每年只准离监探亲一次，时间为3至7天(不含路途时间)。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监狱每年可分批准予罪犯离监探亲。每年离监探亲罪犯的比例不得超过监狱押犯总数的2%。女子监狱和未成年犯监狱的离监探亲比例可以适当提高。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批准罪犯离监探亲，应当按照以下程序进行：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(一)监区根据离监探亲的条件组织罪犯按条件申请或推荐。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(二)监区对申请或推荐出的罪犯进行认真审查，对符合条件的，填写《罪犯离监探亲审批表》，经狱政科审核报主管监狱长批准。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(三)对列为重点管理的罪犯离监探亲，须报经省(区、市)监狱管理局批准。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监狱必须对被批准离监探亲的罪犯开展一次集中教育，并进行个别谈话，明确其离监探亲期间应当遵守的纪律，强化其守法意识。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第八条  罪犯回到探亲地后，必须持《罪犯离监探亲证明》及时向当地公安派出所报到，主动接受公安机关的监督。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罪犯离监探亲期间，必须严格遵守国家法律法规和探亲纪律，不得参与和离监探亲无关的活动。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第九条  离监探亲的费用由罪犯自理。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第十条  对逾期不归的罪犯，以脱逃论处，但因不可抗拒的原因未能按期归监的除外。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第十一条  对于同时具有下列情形的罪犯，可以特许其离监回家看望或处理：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(一)剩余刑期10年以下，改造表现较好的；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(二)配偶、直系亲属或监护人病危、死亡，或家中发生重大变故、确需本人回去处理的；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(三)有县级以上医院出具的病危或死亡证明，及当地村民(居民)委员会和派出所签署的意见；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(四)特许离监的去处在监狱所在的省(区、市)行政区域范围内。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罪犯特许离监的时间为1天。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办理特许离监，应由罪犯本人或其亲属提出申请，监狱依照本办法第六条规定的罪犯离监探亲审批程序批准。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对特许离监的罪犯，监狱必须派干警押解并予以严密监管。当晚不能返回监狱的，必须羁押于当地监狱或看守所。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十八、罪犯思想、文化、职业技术教育有关情况</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（二）文化教育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福建</w:t>
      </w:r>
      <w:r>
        <w:rPr>
          <w:rFonts w:hint="default"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lang w:eastAsia="zh-CN"/>
        </w:rPr>
        <w:t>福建</w:t>
      </w:r>
      <w:r>
        <w:rPr>
          <w:rFonts w:hint="eastAsia" w:ascii="Times New Roman" w:hAnsi="Times New Roman" w:cs="Times New Roman"/>
          <w:color w:val="000000"/>
          <w:sz w:val="32"/>
          <w:szCs w:val="32"/>
          <w:lang w:eastAsia="zh-CN"/>
        </w:rPr>
        <w:t>广播电视大学（现福建</w:t>
      </w:r>
      <w:r>
        <w:rPr>
          <w:rFonts w:hint="default"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lang w:eastAsia="zh-CN"/>
        </w:rPr>
        <w:t>曙光学院</w:t>
      </w:r>
      <w:r>
        <w:rPr>
          <w:rFonts w:hint="default" w:ascii="Times New Roman" w:hAnsi="Times New Roman" w:eastAsia="仿宋_GB2312" w:cs="Times New Roman"/>
          <w:color w:val="000000"/>
          <w:sz w:val="32"/>
          <w:szCs w:val="32"/>
        </w:rPr>
        <w:t>，</w:t>
      </w:r>
      <w:r>
        <w:rPr>
          <w:rFonts w:hint="eastAsia" w:cs="Times New Roman"/>
          <w:color w:val="000000"/>
          <w:sz w:val="32"/>
          <w:szCs w:val="32"/>
          <w:lang w:eastAsia="zh-CN"/>
        </w:rPr>
        <w:t>开展</w:t>
      </w:r>
      <w:r>
        <w:rPr>
          <w:rFonts w:hint="eastAsia" w:ascii="Times New Roman" w:hAnsi="Times New Roman" w:eastAsia="仿宋_GB2312" w:cs="Times New Roman"/>
          <w:kern w:val="32"/>
          <w:sz w:val="32"/>
          <w:szCs w:val="32"/>
          <w:lang w:val="en-US" w:eastAsia="zh-CN"/>
        </w:rPr>
        <w:t>中等职业教育和开放教育二元制学历教育。中等职业教育主要招收初中文化程度及同等学历罪犯。</w:t>
      </w:r>
      <w:r>
        <w:rPr>
          <w:rFonts w:hint="eastAsia" w:ascii="仿宋_GB2312" w:hAnsi="仿宋_GB2312" w:eastAsia="仿宋_GB2312" w:cs="仿宋_GB2312"/>
          <w:sz w:val="32"/>
          <w:szCs w:val="32"/>
          <w:lang w:val="en-US" w:eastAsia="zh-CN"/>
        </w:rPr>
        <w:t>开放教育二元制面向初中毕业满三年以上、高中、中职毕业生或同等学力罪犯。罪犯</w:t>
      </w:r>
      <w:r>
        <w:rPr>
          <w:rFonts w:hint="eastAsia" w:ascii="Times New Roman" w:hAnsi="Times New Roman" w:eastAsia="仿宋_GB2312" w:cs="Times New Roman"/>
          <w:kern w:val="32"/>
          <w:sz w:val="32"/>
          <w:szCs w:val="32"/>
          <w:lang w:val="en-US" w:eastAsia="zh-CN"/>
        </w:rPr>
        <w:t>通过入学测试</w:t>
      </w:r>
      <w:r>
        <w:rPr>
          <w:rFonts w:hint="eastAsia" w:ascii="仿宋_GB2312" w:hAnsi="仿宋_GB2312" w:eastAsia="仿宋_GB2312" w:cs="仿宋_GB2312"/>
          <w:sz w:val="32"/>
          <w:szCs w:val="32"/>
          <w:lang w:val="en-US" w:eastAsia="zh-CN"/>
        </w:rPr>
        <w:t>合格后，修满专业计划规定的学分，符合毕业条件的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可以获得学校颁发国家承认的中等职业教育毕业证书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成人高等教育专科毕业证书。</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（三）职业技术教育</w:t>
      </w:r>
    </w:p>
    <w:p>
      <w:pPr>
        <w:pStyle w:val="10"/>
        <w:widowControl w:val="0"/>
        <w:shd w:val="clear" w:color="auto" w:fill="FFFFFF"/>
        <w:spacing w:before="0" w:beforeAutospacing="0" w:after="0" w:afterAutospacing="0"/>
        <w:ind w:firstLine="640" w:firstLineChars="200"/>
        <w:jc w:val="both"/>
        <w:rPr>
          <w:rFonts w:hint="eastAsia" w:ascii="仿宋_GB2312" w:eastAsia="仿宋_GB2312"/>
          <w:sz w:val="32"/>
          <w:szCs w:val="32"/>
        </w:rPr>
      </w:pPr>
      <w:r>
        <w:rPr>
          <w:rFonts w:hint="default"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lang w:eastAsia="zh-CN"/>
        </w:rPr>
        <w:t>。</w:t>
      </w:r>
      <w:r>
        <w:rPr>
          <w:rFonts w:hint="eastAsia" w:ascii="仿宋_GB2312" w:eastAsia="仿宋_GB2312"/>
          <w:sz w:val="32"/>
          <w:szCs w:val="32"/>
        </w:rPr>
        <w:t>对罪犯的职业技能教育应当按照劳动和社会保障部门的标准进行。</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十九、罪犯劳动项目、岗位技能培训、劳动时间、劳动保护和劳动报酬有关情况</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（一）罪犯劳动项目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hint="eastAsia" w:ascii="仿宋_GB2312" w:hAnsi="仿宋_GB2312" w:eastAsia="仿宋_GB2312" w:cs="仿宋_GB2312"/>
          <w:sz w:val="32"/>
          <w:szCs w:val="32"/>
        </w:rPr>
        <w:t>严禁建设或引进下列生产项目：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（二）罪犯岗位技能培训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罪犯岗位技能培训是指监狱帮助罪犯提高本劳动岗位所需要的实际能力，从而使其胜任本岗位工作的一种有目的、有组织的培训活动。包括：入监培训、岗前培训、在岗培训、转岗培训、安全生产培训等。</w:t>
      </w:r>
      <w:r>
        <w:rPr>
          <w:rFonts w:hint="eastAsia" w:ascii="仿宋_GB2312" w:hAnsi="仿宋_GB2312" w:eastAsia="仿宋_GB2312" w:cs="仿宋_GB2312"/>
          <w:sz w:val="32"/>
          <w:szCs w:val="32"/>
        </w:rPr>
        <w:t>监狱应根据监狱组织生产和罪犯刑释就业的需要积极加强罪犯的技术教育，提高罪犯的职业技术水平。</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新入监时在入监队接受基本生产技能和安全操作知识学习，培养劳动观念、端正劳动态度、树立正确劳动思想的理论教育培训；</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从入监队分流到各监区后进行的劳动岗位所需专业知识、安全生产知识和技术操作实践培训。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安全生产培训，</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针对监狱、监区各个不同劳动岗位或工种的罪犯所</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，例如安全操作技能</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、紧急状态事故处理</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、自救互救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、消防演习、逃生自救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使罪犯掌握必备的安全生产技能和技巧，预防和减少安全生产事故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（三）罪犯劳动时间管理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监狱参照国家劳动工时的有关规定，组织安排罪犯从事生产劳动的时间。</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三、监狱</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季节性生产等特殊情况</w:t>
      </w:r>
      <w:r>
        <w:rPr>
          <w:rFonts w:hint="eastAsia" w:ascii="仿宋_GB2312" w:hAnsi="仿宋_GB2312" w:eastAsia="仿宋_GB2312" w:cs="仿宋_GB2312"/>
          <w:sz w:val="32"/>
          <w:szCs w:val="32"/>
          <w:lang w:eastAsia="zh-CN"/>
        </w:rPr>
        <w:t>下，可以</w:t>
      </w:r>
      <w:r>
        <w:rPr>
          <w:rFonts w:hint="eastAsia" w:ascii="仿宋_GB2312" w:hAnsi="仿宋_GB2312" w:eastAsia="仿宋_GB2312" w:cs="仿宋_GB2312"/>
          <w:sz w:val="32"/>
          <w:szCs w:val="32"/>
        </w:rPr>
        <w:t>调整劳动时间的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监狱调整劳动时间的应明确业务流程，要做好相应记录</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（四）罪犯劳动保护</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监狱根据法律规定，在依法组织罪犯劳动改造过程中，保护罪犯安全和健康的一系列活动和措施的总称。</w:t>
      </w:r>
      <w:r>
        <w:rPr>
          <w:rFonts w:hint="eastAsia" w:ascii="仿宋_GB2312" w:hAnsi="仿宋_GB2312" w:eastAsia="仿宋_GB2312" w:cs="仿宋_GB2312"/>
          <w:sz w:val="32"/>
          <w:szCs w:val="32"/>
        </w:rPr>
        <w:t>监狱生产</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从以下三个方面积极地开展工作。</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3.对女犯和未成年犯的特殊劳动保护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监狱参照国家有关法律，</w:t>
      </w:r>
      <w:r>
        <w:rPr>
          <w:rFonts w:hint="eastAsia" w:ascii="仿宋_GB2312" w:hAnsi="仿宋_GB2312" w:eastAsia="仿宋_GB2312" w:cs="仿宋_GB2312"/>
          <w:sz w:val="32"/>
          <w:szCs w:val="32"/>
        </w:rPr>
        <w:t>根据女犯和未成年犯的生理</w:t>
      </w:r>
      <w:r>
        <w:rPr>
          <w:rFonts w:hint="eastAsia" w:ascii="仿宋_GB2312" w:hAnsi="仿宋_GB2312" w:eastAsia="仿宋_GB2312" w:cs="仿宋_GB2312"/>
          <w:sz w:val="32"/>
          <w:szCs w:val="32"/>
          <w:lang w:eastAsia="zh-CN"/>
        </w:rPr>
        <w:t>、心理</w:t>
      </w:r>
      <w:r>
        <w:rPr>
          <w:rFonts w:hint="eastAsia" w:ascii="仿宋_GB2312" w:hAnsi="仿宋_GB2312" w:eastAsia="仿宋_GB2312" w:cs="仿宋_GB2312"/>
          <w:sz w:val="32"/>
          <w:szCs w:val="32"/>
        </w:rPr>
        <w:t>特点，在劳动中给予特殊劳动保护。</w:t>
      </w:r>
      <w:r>
        <w:rPr>
          <w:rFonts w:hint="eastAsia" w:ascii="仿宋_GB2312" w:hAnsi="仿宋_GB2312" w:eastAsia="仿宋_GB2312" w:cs="仿宋_GB2312"/>
          <w:sz w:val="32"/>
          <w:szCs w:val="32"/>
          <w:lang w:eastAsia="zh-CN"/>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（五）罪犯劳动报酬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w:t>
      </w:r>
      <w:r>
        <w:rPr>
          <w:rFonts w:hint="eastAsia" w:ascii="仿宋_GB2312" w:hAnsi="仿宋_GB2312" w:eastAsia="仿宋_GB2312" w:cs="仿宋_GB2312"/>
          <w:sz w:val="32"/>
          <w:szCs w:val="32"/>
          <w:lang w:eastAsia="zh-CN"/>
        </w:rPr>
        <w:t>。劳动报酬分为</w:t>
      </w: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两类，由于罪犯的特殊身份及其劳动的特殊性质，罪犯劳动报酬在根本属性上</w:t>
      </w:r>
      <w:r>
        <w:rPr>
          <w:rFonts w:hint="eastAsia" w:ascii="仿宋_GB2312" w:hAnsi="仿宋_GB2312" w:eastAsia="仿宋_GB2312" w:cs="仿宋_GB2312"/>
          <w:sz w:val="32"/>
          <w:szCs w:val="32"/>
        </w:rPr>
        <w:t>不同于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社会职工的劳动报酬。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出勤报酬、</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出勤报酬，主要用于考核罪犯的劳动出勤情况，出勤报酬按每出工日1元计算，根据罪犯个体当月实际出勤确定发放额度；</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用于考核罪犯的技能水平，</w:t>
      </w:r>
      <w:r>
        <w:rPr>
          <w:rFonts w:hint="eastAsia" w:ascii="仿宋_GB2312" w:hAnsi="仿宋_GB2312" w:eastAsia="仿宋_GB2312" w:cs="仿宋_GB2312"/>
          <w:sz w:val="32"/>
          <w:szCs w:val="32"/>
          <w:lang w:eastAsia="zh-CN"/>
        </w:rPr>
        <w:t>以监狱生产管理部门确认的罪犯</w:t>
      </w:r>
      <w:r>
        <w:rPr>
          <w:rFonts w:hint="eastAsia" w:ascii="仿宋_GB2312" w:hAnsi="仿宋_GB2312" w:eastAsia="仿宋_GB2312" w:cs="仿宋_GB2312"/>
          <w:sz w:val="32"/>
          <w:szCs w:val="32"/>
        </w:rPr>
        <w:t>技术等级</w:t>
      </w:r>
      <w:r>
        <w:rPr>
          <w:rFonts w:hint="eastAsia" w:ascii="仿宋_GB2312" w:hAnsi="仿宋_GB2312" w:eastAsia="仿宋_GB2312" w:cs="仿宋_GB2312"/>
          <w:sz w:val="32"/>
          <w:szCs w:val="32"/>
          <w:lang w:eastAsia="zh-CN"/>
        </w:rPr>
        <w:t>制订发放标准，结合罪犯个体劳动定额完成情况确定发放额度；</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用于考核罪犯的劳动绩效</w:t>
      </w:r>
      <w:r>
        <w:rPr>
          <w:rFonts w:hint="eastAsia" w:ascii="仿宋_GB2312" w:hAnsi="仿宋_GB2312" w:eastAsia="仿宋_GB2312" w:cs="仿宋_GB2312"/>
          <w:sz w:val="32"/>
          <w:szCs w:val="32"/>
          <w:lang w:eastAsia="zh-CN"/>
        </w:rPr>
        <w:t>，以罪犯个体劳动定额完成情况确定发放额度，技术劳动岗位罪犯月劳动改造基础评价分达到</w:t>
      </w:r>
      <w:r>
        <w:rPr>
          <w:rFonts w:hint="eastAsia" w:ascii="仿宋_GB2312" w:hAnsi="仿宋_GB2312" w:eastAsia="仿宋_GB2312" w:cs="仿宋_GB2312"/>
          <w:sz w:val="32"/>
          <w:szCs w:val="32"/>
          <w:lang w:val="en-US" w:eastAsia="zh-CN"/>
        </w:rPr>
        <w:t>42分的，超额部分可提高发放标准。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专项报酬，主要用于兑现开展各项活动给予的</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组织的</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lang w:val="en-US" w:eastAsia="zh-CN"/>
        </w:rPr>
        <w:t>技能比武获奖的；</w:t>
      </w:r>
      <w:r>
        <w:rPr>
          <w:rFonts w:hint="eastAsia" w:ascii="仿宋_GB2312" w:hAnsi="仿宋_GB2312" w:eastAsia="仿宋_GB2312" w:cs="仿宋_GB2312"/>
          <w:sz w:val="32"/>
          <w:szCs w:val="32"/>
          <w:lang w:eastAsia="zh-CN"/>
        </w:rPr>
        <w:t>参加监狱以上部门</w:t>
      </w:r>
      <w:r>
        <w:rPr>
          <w:rFonts w:hint="eastAsia" w:ascii="仿宋_GB2312" w:hAnsi="仿宋_GB2312" w:eastAsia="仿宋_GB2312" w:cs="仿宋_GB2312"/>
          <w:sz w:val="32"/>
          <w:szCs w:val="32"/>
          <w:lang w:val="en-US" w:eastAsia="zh-CN"/>
        </w:rPr>
        <w:t>QC小组活动获奖的；经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部门认可有技术革新或发明创造的；其他经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部门认定可以给予奖励的。</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二十、</w:t>
      </w:r>
      <w:r>
        <w:rPr>
          <w:rFonts w:hint="eastAsia" w:ascii="黑体" w:hAnsi="黑体" w:eastAsia="黑体" w:cs="黑体"/>
          <w:color w:val="000000"/>
          <w:sz w:val="32"/>
          <w:szCs w:val="32"/>
          <w:lang w:eastAsia="zh-CN"/>
        </w:rPr>
        <w:t>罪犯伙食、被服实物量标准，食品安全、疾病预防控制有关情况</w:t>
      </w:r>
    </w:p>
    <w:p>
      <w:pPr>
        <w:pStyle w:val="10"/>
        <w:widowControl w:val="0"/>
        <w:numPr>
          <w:ilvl w:val="0"/>
          <w:numId w:val="0"/>
        </w:numPr>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《财政部</w:t>
      </w:r>
      <w:r>
        <w:rPr>
          <w:rFonts w:hint="eastAsia" w:ascii="楷体_GB2312" w:hAnsi="楷体_GB2312" w:eastAsia="楷体_GB2312" w:cs="楷体_GB2312"/>
          <w:b/>
          <w:bCs/>
          <w:color w:val="000000"/>
          <w:sz w:val="32"/>
          <w:szCs w:val="32"/>
          <w:lang w:val="en-US" w:eastAsia="zh-CN"/>
        </w:rPr>
        <w:t xml:space="preserve"> 司法部关于调整在押罪犯伙食实物量标准的通知</w:t>
      </w:r>
      <w:r>
        <w:rPr>
          <w:rFonts w:hint="eastAsia" w:ascii="楷体_GB2312" w:hAnsi="楷体_GB2312" w:eastAsia="楷体_GB2312" w:cs="楷体_GB2312"/>
          <w:b/>
          <w:bCs/>
          <w:color w:val="000000"/>
          <w:sz w:val="32"/>
          <w:szCs w:val="32"/>
          <w:lang w:eastAsia="zh-CN"/>
        </w:rPr>
        <w:t>》（财行</w:t>
      </w:r>
      <w:r>
        <w:rPr>
          <w:rFonts w:hint="eastAsia" w:ascii="楷体_GB2312" w:hAnsi="楷体_GB2312" w:eastAsia="楷体_GB2312" w:cs="楷体_GB2312"/>
          <w:b/>
          <w:bCs/>
          <w:color w:val="000000"/>
          <w:sz w:val="32"/>
          <w:szCs w:val="32"/>
          <w:lang w:val="en-US" w:eastAsia="zh-CN"/>
        </w:rPr>
        <w:t>[2013]377号</w:t>
      </w:r>
      <w:r>
        <w:rPr>
          <w:rFonts w:hint="eastAsia" w:ascii="楷体_GB2312" w:hAnsi="楷体_GB2312" w:eastAsia="楷体_GB2312" w:cs="楷体_GB2312"/>
          <w:b/>
          <w:bCs/>
          <w:color w:val="000000"/>
          <w:sz w:val="32"/>
          <w:szCs w:val="32"/>
          <w:lang w:eastAsia="zh-CN"/>
        </w:rPr>
        <w:t>）相关条款</w:t>
      </w:r>
    </w:p>
    <w:p>
      <w:pPr>
        <w:pStyle w:val="10"/>
        <w:widowControl w:val="0"/>
        <w:numPr>
          <w:ilvl w:val="0"/>
          <w:numId w:val="0"/>
        </w:numPr>
        <w:shd w:val="clear" w:color="auto" w:fill="FFFFFF"/>
        <w:spacing w:before="0" w:beforeAutospacing="0" w:after="0" w:afterAutospacing="0"/>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10125" cy="5810250"/>
                    </a:xfrm>
                    <a:prstGeom prst="rect">
                      <a:avLst/>
                    </a:prstGeom>
                    <a:noFill/>
                    <a:ln>
                      <a:noFill/>
                    </a:ln>
                  </pic:spPr>
                </pic:pic>
              </a:graphicData>
            </a:graphic>
          </wp:inline>
        </w:drawing>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二十一、监狱执法管理重大事件的处置及调查情况</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监狱执法管理重大事件处置及调查情况将及时专项公告。</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二十二、监狱工作相关法律法规和规章</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《中华人民共和国刑事诉讼法》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《中华人民共和国监狱法》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《中华人民共和国警察法》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《中华人民共和国社区矫正法》</w:t>
      </w:r>
    </w:p>
    <w:p>
      <w:pPr>
        <w:pStyle w:val="10"/>
        <w:widowControl w:val="0"/>
        <w:shd w:val="clear" w:color="auto" w:fill="FFFFFF"/>
        <w:snapToGrid/>
        <w:spacing w:before="0" w:beforeAutospacing="0" w:after="0" w:afterAutospacing="0"/>
        <w:ind w:firstLine="640" w:firstLineChars="200"/>
        <w:jc w:val="both"/>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6.《中华人民共和国劳动法》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《中华人民共和国安全生产法》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《中华人民共和国职业病防治法》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最高人民法院、最高人民检察院、公安部、国家安全部、司法部、全国人大常委会法制工作委员会《关于实施刑事诉讼法若干问题的规定》</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人民检察院、公安部、司法部印发《关于加强减刑、假释案件实质化审理的意见》的通知（法发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〔2021〕31号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11.《最高人民法院关于办理减刑、假释案件具体应用法律的补充规定》（法释〔2019〕6号）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12.《最高人民法院关于办理减刑、假释案件具体应用法律的规定》（法释〔2016〕23号）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13.最高人民法院《关于减刑、假释案件审理程序的规定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》（法释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〔2014〕5号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人民检察院、公安部、司法部、国家卫生计生委《暂予监外执行规定》（司发通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〔2014〕112号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15.司法部关于印发《罪犯会见通信规定》的通知（司发通〔2016〕118号）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《监狱罪犯死亡处理规定》（司法〔2015〕5号）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《外国籍罪犯会见通信规定》（司法部令第76号）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《监狱服刑人员行为规范》（司法部令第88号）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监狱提请减刑假释工作程序规定</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司法部令第130号</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20.《监狱计分考核罪犯工作规定》（司规〔2021〕3号）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21.《律师会见监狱在押罪犯规定》（司发通〔2017〕124号）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22.《财政部 司法部关于调整在押罪犯伙食实物量标准的通知》（财行[2013]377号）</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二十三、法律、法规、规章和其他规范性文件规定的应当向社会公开的内容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详见网站狱务公开、政务公开、公开公示栏内容。</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3264C"/>
    <w:rsid w:val="118E7689"/>
    <w:rsid w:val="12B2107D"/>
    <w:rsid w:val="1313478A"/>
    <w:rsid w:val="1748624C"/>
    <w:rsid w:val="1C9B2EB7"/>
    <w:rsid w:val="1E821C74"/>
    <w:rsid w:val="20FA00E5"/>
    <w:rsid w:val="24DA26F2"/>
    <w:rsid w:val="25C13C7B"/>
    <w:rsid w:val="2AEB7AA5"/>
    <w:rsid w:val="2C982D15"/>
    <w:rsid w:val="318A6EBD"/>
    <w:rsid w:val="34B345ED"/>
    <w:rsid w:val="35E506B6"/>
    <w:rsid w:val="364D254F"/>
    <w:rsid w:val="36966DC7"/>
    <w:rsid w:val="36B367DA"/>
    <w:rsid w:val="397F7BB6"/>
    <w:rsid w:val="3A2F695A"/>
    <w:rsid w:val="3A5279BE"/>
    <w:rsid w:val="3B6308C8"/>
    <w:rsid w:val="3C4630F9"/>
    <w:rsid w:val="3EC546A5"/>
    <w:rsid w:val="3ED457EF"/>
    <w:rsid w:val="3F97612A"/>
    <w:rsid w:val="41C624E2"/>
    <w:rsid w:val="42496E07"/>
    <w:rsid w:val="43912805"/>
    <w:rsid w:val="464E41C0"/>
    <w:rsid w:val="47025587"/>
    <w:rsid w:val="481B06F8"/>
    <w:rsid w:val="4D2219F8"/>
    <w:rsid w:val="4F507C32"/>
    <w:rsid w:val="4FAD5B44"/>
    <w:rsid w:val="4FD37040"/>
    <w:rsid w:val="51191003"/>
    <w:rsid w:val="53607340"/>
    <w:rsid w:val="55461AC0"/>
    <w:rsid w:val="55E07C7E"/>
    <w:rsid w:val="5FA90376"/>
    <w:rsid w:val="61B02E2F"/>
    <w:rsid w:val="62AB4128"/>
    <w:rsid w:val="64477B1D"/>
    <w:rsid w:val="68937883"/>
    <w:rsid w:val="6A62020B"/>
    <w:rsid w:val="6CEF23AF"/>
    <w:rsid w:val="6E33683A"/>
    <w:rsid w:val="70DD18BA"/>
    <w:rsid w:val="7467737F"/>
    <w:rsid w:val="76B749A5"/>
    <w:rsid w:val="78B53B98"/>
    <w:rsid w:val="79CF738C"/>
    <w:rsid w:val="7A1F0A80"/>
    <w:rsid w:val="7AC93DE0"/>
    <w:rsid w:val="7C6F32E2"/>
    <w:rsid w:val="7F7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qFormat/>
    <w:uiPriority w:val="0"/>
    <w:pPr>
      <w:spacing w:after="120" w:afterLines="0"/>
      <w:ind w:left="420" w:leftChars="200"/>
    </w:pPr>
  </w:style>
  <w:style w:type="paragraph" w:styleId="5">
    <w:name w:val="Normal Indent"/>
    <w:basedOn w:val="1"/>
    <w:qFormat/>
    <w:uiPriority w:val="0"/>
    <w:pPr>
      <w:ind w:firstLine="624"/>
    </w:pPr>
    <w:rPr>
      <w:kern w:val="32"/>
      <w:szCs w:val="20"/>
    </w:rPr>
  </w:style>
  <w:style w:type="paragraph" w:styleId="6">
    <w:name w:val="Body Text"/>
    <w:basedOn w:val="1"/>
    <w:next w:val="1"/>
    <w:qFormat/>
    <w:uiPriority w:val="0"/>
    <w:rPr>
      <w:rFonts w:ascii="Times New Roman" w:hAnsi="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Hyperlink"/>
    <w:basedOn w:val="12"/>
    <w:semiHidden/>
    <w:qFormat/>
    <w:uiPriority w:val="0"/>
    <w:rPr>
      <w:rFonts w:cs="Times New Roman"/>
      <w:color w:val="0000FF"/>
      <w:u w:val="single"/>
    </w:rPr>
  </w:style>
  <w:style w:type="character" w:customStyle="1" w:styleId="15">
    <w:name w:val="apple-converted-space"/>
    <w:basedOn w:val="12"/>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lhx</cp:lastModifiedBy>
  <cp:lastPrinted>2022-03-24T08:15:00Z</cp:lastPrinted>
  <dcterms:modified xsi:type="dcterms:W3CDTF">2022-04-24T08:13:50Z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