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val="0"/>
        <w:kinsoku/>
        <w:wordWrap/>
        <w:overflowPunct/>
        <w:topLinePunct w:val="0"/>
        <w:autoSpaceDE/>
        <w:autoSpaceDN/>
        <w:bidi w:val="0"/>
        <w:adjustRightInd/>
        <w:spacing w:line="8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提请假释建议书</w:t>
      </w:r>
    </w:p>
    <w:p>
      <w:pPr>
        <w:pStyle w:val="13"/>
        <w:spacing w:line="430" w:lineRule="exact"/>
        <w:ind w:left="640" w:right="55" w:rightChars="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szCs w:val="32"/>
        </w:rPr>
        <w:t>2</w:t>
      </w:r>
      <w:r>
        <w:rPr>
          <w:rFonts w:hint="eastAsia"/>
          <w:szCs w:val="32"/>
        </w:rPr>
        <w:t>4</w:t>
      </w:r>
      <w:r>
        <w:rPr>
          <w:rFonts w:hint="eastAsia" w:eastAsia="楷体_GB2312" w:cs="楷体_GB2312"/>
          <w:szCs w:val="32"/>
        </w:rPr>
        <w:t>〕闽厦狱假字第6号</w:t>
      </w:r>
    </w:p>
    <w:p>
      <w:pPr>
        <w:pStyle w:val="13"/>
        <w:spacing w:line="430" w:lineRule="exact"/>
        <w:ind w:left="640" w:right="-48" w:rightChars="-15" w:firstLine="0" w:firstLineChars="0"/>
        <w:rPr>
          <w:rFonts w:ascii="仿宋_GB2312"/>
          <w:b/>
          <w:bCs/>
          <w:sz w:val="28"/>
        </w:rPr>
      </w:pP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szCs w:val="32"/>
        </w:rPr>
      </w:pPr>
      <w:r>
        <w:rPr>
          <w:rFonts w:hint="eastAsia" w:ascii="仿宋_GB2312"/>
          <w:szCs w:val="32"/>
        </w:rPr>
        <w:t>罪犯杨连肆，男，1979年4月13日出生，汉族，初中文化，户籍所在地福建省大田县</w:t>
      </w:r>
      <w:bookmarkStart w:id="0" w:name="_GoBack"/>
      <w:bookmarkEnd w:id="0"/>
      <w:r>
        <w:rPr>
          <w:rFonts w:hint="eastAsia" w:ascii="仿宋_GB2312"/>
          <w:szCs w:val="32"/>
        </w:rPr>
        <w:t>。</w:t>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szCs w:val="32"/>
        </w:rPr>
      </w:pPr>
      <w:r>
        <w:rPr>
          <w:rFonts w:hint="eastAsia" w:ascii="仿宋_GB2312"/>
          <w:szCs w:val="32"/>
        </w:rPr>
        <w:t>福建省晋江市人民法院于2018年12月30日作出（2018）闽0582刑初2995号刑事判决书，以被告人杨连肆犯组织卖淫罪，判处有期徒刑八年，并处罚金人民币二十万元，继续追缴违法所得人民币181964元。该犯不服，提出上诉。福建省泉州市中级人民法院于2019年4月19日作出（2019）闽05刑终457号刑事裁定书，裁定：驳回上诉，维持原判。刑期自2018年5月28日起至2026年5月27日止。2019年5月15日交付福建省厦门监狱执行刑罚。2021年5月13日，福建省厦门市中级人民法院作出（2021）闽02刑更230号刑事裁定，对其减刑六个月，2021年5月13日送达；2022年11月29日，福建省厦门市中级人民法院作出（2022）闽02刑更828号刑事裁定，对其减刑七个月，2022年11月30日送达，现刑期至2025年4月27日。现属普管级罪犯。</w:t>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szCs w:val="32"/>
        </w:rPr>
      </w:pPr>
      <w:r>
        <w:rPr>
          <w:rFonts w:hint="eastAsia" w:ascii="仿宋_GB2312"/>
          <w:szCs w:val="32"/>
        </w:rPr>
        <w:t>原判主要犯罪事实：</w:t>
      </w:r>
      <w:r>
        <w:rPr>
          <w:rFonts w:ascii="仿宋_GB2312"/>
          <w:szCs w:val="32"/>
        </w:rPr>
        <w:t>2018年2月至4月间，该犯组织他人利用晋江市青阳街道莲屿社区锦江之星酒店内五楼及部分客房组织、招聘、容留失足妇女进行卖淫活动，从中抽成牟利。期间，窝点制定详细的卖淫项目及价格，雇佣他人负责前台接待、记账、收银等现场管理工作，并让他人介绍嫖客。该犯从中抽成非法获利人民币181964元，其行为已构成组织卖淫罪。</w:t>
      </w:r>
      <w:r>
        <w:rPr>
          <w:rFonts w:ascii="仿宋_GB2312"/>
          <w:szCs w:val="32"/>
        </w:rPr>
        <w:tab/>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r>
        <w:rPr>
          <w:rFonts w:ascii="仿宋_GB2312" w:cs="仿宋_GB2312"/>
          <w:szCs w:val="32"/>
        </w:rPr>
        <w:t xml:space="preserve"> </w:t>
      </w:r>
    </w:p>
    <w:p>
      <w:pPr>
        <w:pStyle w:val="13"/>
        <w:keepNext w:val="0"/>
        <w:keepLines w:val="0"/>
        <w:pageBreakBefore w:val="0"/>
        <w:widowControl w:val="0"/>
        <w:kinsoku/>
        <w:wordWrap/>
        <w:overflowPunct/>
        <w:topLinePunct w:val="0"/>
        <w:autoSpaceDE w:val="0"/>
        <w:autoSpaceDN w:val="0"/>
        <w:bidi w:val="0"/>
        <w:adjustRightInd w:val="0"/>
        <w:snapToGrid/>
        <w:spacing w:line="44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认罪悔罪：能服从法院判决，自书认罪悔罪书。</w:t>
      </w:r>
    </w:p>
    <w:p>
      <w:pPr>
        <w:pStyle w:val="13"/>
        <w:keepNext w:val="0"/>
        <w:keepLines w:val="0"/>
        <w:pageBreakBefore w:val="0"/>
        <w:widowControl w:val="0"/>
        <w:kinsoku/>
        <w:wordWrap/>
        <w:overflowPunct/>
        <w:topLinePunct w:val="0"/>
        <w:autoSpaceDE w:val="0"/>
        <w:autoSpaceDN w:val="0"/>
        <w:bidi w:val="0"/>
        <w:adjustRightInd w:val="0"/>
        <w:snapToGrid/>
        <w:spacing w:line="440" w:lineRule="exact"/>
        <w:ind w:firstLine="640"/>
        <w:jc w:val="left"/>
        <w:textAlignment w:val="auto"/>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w:t>
      </w:r>
      <w:r>
        <w:rPr>
          <w:rFonts w:hint="eastAsia" w:ascii="仿宋_GB2312" w:hAnsi="仿宋_GB2312" w:cs="仿宋_GB2312"/>
          <w:bCs/>
          <w:szCs w:val="32"/>
        </w:rPr>
        <w:t>考核期未违规扣分，</w:t>
      </w:r>
      <w:r>
        <w:rPr>
          <w:rFonts w:hint="eastAsia" w:ascii="仿宋_GB2312" w:hAnsi="仿宋" w:cs="宋体"/>
          <w:szCs w:val="32"/>
          <w:lang w:val="zh-CN"/>
        </w:rPr>
        <w:t>该犯基本能遵守法律法规及监规纪律，接受教育改造。</w:t>
      </w:r>
    </w:p>
    <w:p>
      <w:pPr>
        <w:pStyle w:val="13"/>
        <w:keepNext w:val="0"/>
        <w:keepLines w:val="0"/>
        <w:pageBreakBefore w:val="0"/>
        <w:widowControl w:val="0"/>
        <w:kinsoku/>
        <w:wordWrap/>
        <w:overflowPunct/>
        <w:topLinePunct w:val="0"/>
        <w:autoSpaceDE w:val="0"/>
        <w:autoSpaceDN w:val="0"/>
        <w:bidi w:val="0"/>
        <w:adjustRightInd w:val="0"/>
        <w:snapToGrid/>
        <w:spacing w:line="44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keepNext w:val="0"/>
        <w:keepLines w:val="0"/>
        <w:pageBreakBefore w:val="0"/>
        <w:widowControl w:val="0"/>
        <w:kinsoku/>
        <w:wordWrap/>
        <w:overflowPunct/>
        <w:topLinePunct w:val="0"/>
        <w:autoSpaceDE w:val="0"/>
        <w:autoSpaceDN w:val="0"/>
        <w:bidi w:val="0"/>
        <w:adjustRightInd w:val="0"/>
        <w:snapToGrid/>
        <w:spacing w:line="44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3"/>
        <w:keepNext w:val="0"/>
        <w:keepLines w:val="0"/>
        <w:pageBreakBefore w:val="0"/>
        <w:widowControl w:val="0"/>
        <w:kinsoku/>
        <w:wordWrap/>
        <w:overflowPunct/>
        <w:topLinePunct w:val="0"/>
        <w:bidi w:val="0"/>
        <w:snapToGrid/>
        <w:spacing w:line="440" w:lineRule="exact"/>
        <w:ind w:firstLine="640"/>
        <w:jc w:val="left"/>
        <w:textAlignment w:val="auto"/>
        <w:rPr>
          <w:rFonts w:ascii="仿宋_GB2312" w:hAnsi="仿宋_GB2312" w:cs="仿宋_GB2312"/>
          <w:bCs/>
          <w:szCs w:val="32"/>
        </w:rPr>
      </w:pPr>
      <w:r>
        <w:rPr>
          <w:rFonts w:hint="eastAsia" w:ascii="仿宋_GB2312" w:hAnsi="仿宋" w:cs="宋体"/>
          <w:szCs w:val="32"/>
          <w:lang w:val="zh-CN"/>
        </w:rPr>
        <w:t>奖惩情况：</w:t>
      </w:r>
      <w:r>
        <w:rPr>
          <w:rFonts w:hint="eastAsia" w:ascii="仿宋_GB2312" w:hAnsi="仿宋_GB2312" w:cs="仿宋_GB2312"/>
          <w:bCs/>
          <w:szCs w:val="32"/>
        </w:rPr>
        <w:t>该犯上次评定表扬剩余考核分339.8分，本轮考核期2022年8月至2024年1月累计获考核分1963分，合计获得考核分2302.8分，表扬3次，物质奖励0次；间隔期2022年11月30日至2024年1月，获考核分1505分。考核期内无违规扣分。</w:t>
      </w:r>
    </w:p>
    <w:p>
      <w:pPr>
        <w:pStyle w:val="13"/>
        <w:keepNext w:val="0"/>
        <w:keepLines w:val="0"/>
        <w:pageBreakBefore w:val="0"/>
        <w:widowControl w:val="0"/>
        <w:kinsoku/>
        <w:wordWrap/>
        <w:overflowPunct/>
        <w:topLinePunct w:val="0"/>
        <w:bidi w:val="0"/>
        <w:snapToGrid/>
        <w:spacing w:line="440" w:lineRule="exact"/>
        <w:ind w:firstLine="640"/>
        <w:jc w:val="left"/>
        <w:textAlignment w:val="auto"/>
        <w:rPr>
          <w:rFonts w:ascii="仿宋_GB2312" w:hAnsi="仿宋_GB2312" w:cs="仿宋_GB2312"/>
          <w:bCs/>
          <w:szCs w:val="32"/>
        </w:rPr>
      </w:pPr>
      <w:r>
        <w:rPr>
          <w:rFonts w:hint="eastAsia" w:ascii="仿宋_GB2312" w:hAnsi="仿宋_GB2312" w:cs="仿宋_GB2312"/>
          <w:bCs/>
          <w:szCs w:val="32"/>
        </w:rPr>
        <w:t>罪犯财产性判项履行情况：原判财产性判项：罚金200000元，追缴违法所得181964元。该犯原判财产性判项已于第一次减刑履行完毕，累计履行人民币381964元。</w:t>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hAnsi="仿宋_GB2312" w:cs="仿宋_GB2312"/>
          <w:bCs/>
          <w:szCs w:val="32"/>
        </w:rPr>
      </w:pPr>
      <w:r>
        <w:rPr>
          <w:rFonts w:hint="eastAsia" w:ascii="仿宋_GB2312" w:hAnsi="仿宋_GB2312" w:cs="仿宋_GB2312"/>
          <w:bCs/>
          <w:szCs w:val="32"/>
        </w:rPr>
        <w:t>福建省三明市大田县社区矫正管理局于2024年1月24日出具（2024）田矫调评字第17号调查评估意见书，评估意见为该犯适用社区矫正。</w:t>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hAnsi="仿宋_GB2312" w:cs="仿宋_GB2312"/>
          <w:bCs/>
          <w:szCs w:val="32"/>
        </w:rPr>
      </w:pPr>
      <w:r>
        <w:rPr>
          <w:rFonts w:hint="eastAsia" w:ascii="仿宋_GB2312" w:hAnsi="仿宋_GB2312" w:cs="仿宋_GB2312"/>
          <w:bCs/>
          <w:szCs w:val="32"/>
        </w:rPr>
        <w:t>本案于2024年4月12日至2024年4月18日在狱内公示未收到不同意见。</w:t>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hAnsi="仿宋_GB2312" w:cs="仿宋_GB2312"/>
          <w:bCs/>
          <w:szCs w:val="32"/>
        </w:rPr>
      </w:pPr>
      <w:r>
        <w:rPr>
          <w:rFonts w:hint="eastAsia" w:ascii="仿宋_GB2312" w:hAnsi="仿宋_GB2312" w:cs="仿宋_GB2312"/>
          <w:bCs/>
          <w:szCs w:val="32"/>
        </w:rPr>
        <w:t>本案于2024年3月25日至2024年4月10日移送检察机关征求意见；2024年4月11日福建省厦门市人民检察院派员列席监狱减刑假释评审委员会发表意见情况：无异议。</w:t>
      </w:r>
    </w:p>
    <w:p>
      <w:pPr>
        <w:keepNext w:val="0"/>
        <w:keepLines w:val="0"/>
        <w:pageBreakBefore w:val="0"/>
        <w:widowControl w:val="0"/>
        <w:kinsoku/>
        <w:wordWrap/>
        <w:overflowPunct/>
        <w:topLinePunct w:val="0"/>
        <w:bidi w:val="0"/>
        <w:snapToGrid/>
        <w:spacing w:line="440" w:lineRule="exact"/>
        <w:ind w:firstLine="640" w:firstLineChars="200"/>
        <w:jc w:val="left"/>
        <w:textAlignment w:val="auto"/>
        <w:rPr>
          <w:rFonts w:ascii="仿宋_GB2312" w:cs="仿宋_GB2312"/>
          <w:szCs w:val="32"/>
        </w:rPr>
      </w:pPr>
      <w:r>
        <w:rPr>
          <w:rFonts w:hint="eastAsia"/>
          <w:szCs w:val="32"/>
        </w:rPr>
        <w:t>因此，依照</w:t>
      </w:r>
      <w:r>
        <w:rPr>
          <w:rFonts w:hint="eastAsia" w:ascii="仿宋_GB2312" w:hAnsi="仿宋_GB2312" w:cs="仿宋_GB2312"/>
          <w:szCs w:val="32"/>
        </w:rPr>
        <w:t>《中华人民共和国刑法》第八十一条、八十三条，《中华人民共和国刑事诉讼法》第二百七十三条第二款和《中华人民共和国监狱法》第三十二条规定，建议对罪犯杨连肆予以假释。</w:t>
      </w:r>
      <w:r>
        <w:rPr>
          <w:rFonts w:hint="eastAsia"/>
          <w:szCs w:val="32"/>
        </w:rPr>
        <w:t>特提请你院审理裁定。</w:t>
      </w:r>
    </w:p>
    <w:p>
      <w:pPr>
        <w:pStyle w:val="3"/>
        <w:keepNext w:val="0"/>
        <w:keepLines w:val="0"/>
        <w:pageBreakBefore w:val="0"/>
        <w:widowControl w:val="0"/>
        <w:kinsoku/>
        <w:wordWrap/>
        <w:overflowPunct/>
        <w:topLinePunct w:val="0"/>
        <w:bidi w:val="0"/>
        <w:snapToGrid/>
        <w:spacing w:line="440" w:lineRule="exact"/>
        <w:ind w:right="-48" w:rightChars="-15" w:firstLine="640" w:firstLineChars="200"/>
        <w:jc w:val="left"/>
        <w:textAlignment w:val="auto"/>
        <w:rPr>
          <w:szCs w:val="32"/>
        </w:rPr>
      </w:pPr>
      <w:r>
        <w:rPr>
          <w:rFonts w:hint="eastAsia"/>
          <w:szCs w:val="32"/>
        </w:rPr>
        <w:t>此致</w:t>
      </w:r>
    </w:p>
    <w:p>
      <w:pPr>
        <w:pStyle w:val="13"/>
        <w:keepNext w:val="0"/>
        <w:keepLines w:val="0"/>
        <w:pageBreakBefore w:val="0"/>
        <w:widowControl w:val="0"/>
        <w:kinsoku/>
        <w:wordWrap/>
        <w:overflowPunct/>
        <w:topLinePunct w:val="0"/>
        <w:bidi w:val="0"/>
        <w:snapToGrid/>
        <w:spacing w:line="440" w:lineRule="exact"/>
        <w:ind w:right="-48" w:rightChars="-15" w:firstLine="0" w:firstLineChars="0"/>
        <w:jc w:val="left"/>
        <w:textAlignment w:val="auto"/>
        <w:rPr>
          <w:szCs w:val="32"/>
        </w:rPr>
      </w:pPr>
      <w:r>
        <w:rPr>
          <w:rFonts w:hint="eastAsia"/>
          <w:szCs w:val="32"/>
        </w:rPr>
        <w:t>福建省厦门市中级人民法院</w:t>
      </w:r>
    </w:p>
    <w:p>
      <w:pPr>
        <w:pStyle w:val="13"/>
        <w:keepNext w:val="0"/>
        <w:keepLines w:val="0"/>
        <w:pageBreakBefore w:val="0"/>
        <w:widowControl w:val="0"/>
        <w:kinsoku/>
        <w:wordWrap/>
        <w:overflowPunct/>
        <w:topLinePunct w:val="0"/>
        <w:bidi w:val="0"/>
        <w:snapToGrid/>
        <w:spacing w:line="440" w:lineRule="exact"/>
        <w:ind w:left="640" w:firstLine="0" w:firstLineChars="0"/>
        <w:jc w:val="left"/>
        <w:textAlignment w:val="auto"/>
        <w:rPr>
          <w:rFonts w:cs="仿宋_GB2312"/>
          <w:szCs w:val="32"/>
        </w:rPr>
      </w:pPr>
      <w:r>
        <w:rPr>
          <w:rFonts w:hint="eastAsia" w:cs="仿宋_GB2312"/>
          <w:szCs w:val="32"/>
        </w:rPr>
        <w:t>附件：⒈罪犯杨连肆卷宗4册</w:t>
      </w:r>
    </w:p>
    <w:p>
      <w:pPr>
        <w:pStyle w:val="13"/>
        <w:keepNext w:val="0"/>
        <w:keepLines w:val="0"/>
        <w:pageBreakBefore w:val="0"/>
        <w:widowControl w:val="0"/>
        <w:kinsoku/>
        <w:wordWrap/>
        <w:overflowPunct/>
        <w:topLinePunct w:val="0"/>
        <w:bidi w:val="0"/>
        <w:snapToGrid/>
        <w:spacing w:line="440" w:lineRule="exact"/>
        <w:ind w:left="640" w:right="-48" w:rightChars="-15" w:firstLine="960" w:firstLineChars="300"/>
        <w:jc w:val="left"/>
        <w:textAlignment w:val="auto"/>
        <w:rPr>
          <w:rFonts w:cs="仿宋_GB2312"/>
          <w:szCs w:val="32"/>
        </w:rPr>
      </w:pPr>
      <w:r>
        <w:rPr>
          <w:rFonts w:hint="eastAsia" w:cs="仿宋_GB2312"/>
          <w:szCs w:val="32"/>
        </w:rPr>
        <w:t>⒉</w:t>
      </w:r>
      <w:r>
        <w:rPr>
          <w:rFonts w:hint="eastAsia" w:cs="仿宋_GB2312"/>
          <w:szCs w:val="32"/>
          <w:lang w:val="en-US" w:eastAsia="zh-CN"/>
        </w:rPr>
        <w:t>假释</w:t>
      </w:r>
      <w:r>
        <w:rPr>
          <w:rFonts w:hint="eastAsia" w:cs="仿宋_GB2312"/>
          <w:szCs w:val="32"/>
        </w:rPr>
        <w:t>建议书2份</w:t>
      </w:r>
    </w:p>
    <w:p>
      <w:pPr>
        <w:pStyle w:val="3"/>
        <w:keepNext w:val="0"/>
        <w:keepLines w:val="0"/>
        <w:pageBreakBefore w:val="0"/>
        <w:widowControl w:val="0"/>
        <w:kinsoku/>
        <w:wordWrap/>
        <w:overflowPunct/>
        <w:topLinePunct w:val="0"/>
        <w:bidi w:val="0"/>
        <w:snapToGrid/>
        <w:spacing w:line="440" w:lineRule="exact"/>
        <w:ind w:right="1280" w:rightChars="400"/>
        <w:jc w:val="right"/>
        <w:textAlignment w:val="auto"/>
        <w:rPr>
          <w:szCs w:val="32"/>
        </w:rPr>
      </w:pPr>
      <w:r>
        <w:rPr>
          <w:rFonts w:hint="eastAsia"/>
          <w:szCs w:val="32"/>
        </w:rPr>
        <w:t>福建省厦门监狱</w:t>
      </w:r>
    </w:p>
    <w:p>
      <w:pPr>
        <w:pStyle w:val="3"/>
        <w:keepNext w:val="0"/>
        <w:keepLines w:val="0"/>
        <w:pageBreakBefore w:val="0"/>
        <w:widowControl w:val="0"/>
        <w:tabs>
          <w:tab w:val="left" w:pos="8000"/>
        </w:tabs>
        <w:kinsoku/>
        <w:wordWrap w:val="0"/>
        <w:overflowPunct/>
        <w:topLinePunct w:val="0"/>
        <w:bidi w:val="0"/>
        <w:snapToGrid/>
        <w:spacing w:line="440" w:lineRule="exact"/>
        <w:ind w:right="1014" w:rightChars="317"/>
        <w:jc w:val="right"/>
        <w:textAlignment w:val="auto"/>
        <w:rPr>
          <w:rFonts w:hint="eastAsia" w:eastAsia="仿宋_GB2312" w:cs="楷体_GB2312"/>
          <w:b/>
          <w:bCs/>
          <w:szCs w:val="32"/>
          <w:lang w:val="en-US" w:eastAsia="zh-CN"/>
        </w:rPr>
      </w:pPr>
      <w:r>
        <w:rPr>
          <w:rFonts w:hint="eastAsia"/>
          <w:szCs w:val="32"/>
        </w:rPr>
        <w:t>2024年4月22日</w:t>
      </w:r>
      <w:r>
        <w:rPr>
          <w:rFonts w:hint="eastAsia"/>
          <w:szCs w:val="32"/>
          <w:lang w:val="en-US" w:eastAsia="zh-CN"/>
        </w:rPr>
        <w:t xml:space="preserve"> </w:t>
      </w:r>
    </w:p>
    <w:sectPr>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26271"/>
    <w:rsid w:val="00032F52"/>
    <w:rsid w:val="000528FF"/>
    <w:rsid w:val="000728C5"/>
    <w:rsid w:val="0008015C"/>
    <w:rsid w:val="00083808"/>
    <w:rsid w:val="000A4619"/>
    <w:rsid w:val="000B2143"/>
    <w:rsid w:val="000B3DF3"/>
    <w:rsid w:val="000C4EDB"/>
    <w:rsid w:val="000C4FAC"/>
    <w:rsid w:val="000E7679"/>
    <w:rsid w:val="00105FE2"/>
    <w:rsid w:val="00140097"/>
    <w:rsid w:val="00180916"/>
    <w:rsid w:val="00182835"/>
    <w:rsid w:val="001A51CB"/>
    <w:rsid w:val="001B3BA5"/>
    <w:rsid w:val="001D0B3A"/>
    <w:rsid w:val="001E0B1A"/>
    <w:rsid w:val="00231D86"/>
    <w:rsid w:val="00240796"/>
    <w:rsid w:val="002420B1"/>
    <w:rsid w:val="002766E1"/>
    <w:rsid w:val="00286ACB"/>
    <w:rsid w:val="00292224"/>
    <w:rsid w:val="002B7719"/>
    <w:rsid w:val="002C2DA5"/>
    <w:rsid w:val="002E27DC"/>
    <w:rsid w:val="002F7E73"/>
    <w:rsid w:val="0030315A"/>
    <w:rsid w:val="00325CE3"/>
    <w:rsid w:val="0032782F"/>
    <w:rsid w:val="00343541"/>
    <w:rsid w:val="003512FF"/>
    <w:rsid w:val="00380E79"/>
    <w:rsid w:val="0039039C"/>
    <w:rsid w:val="003946CA"/>
    <w:rsid w:val="003C0B7D"/>
    <w:rsid w:val="003C6893"/>
    <w:rsid w:val="003F1D04"/>
    <w:rsid w:val="003F23FA"/>
    <w:rsid w:val="00400602"/>
    <w:rsid w:val="00403597"/>
    <w:rsid w:val="00416198"/>
    <w:rsid w:val="0042300C"/>
    <w:rsid w:val="0042333B"/>
    <w:rsid w:val="004277B8"/>
    <w:rsid w:val="00434216"/>
    <w:rsid w:val="00434B66"/>
    <w:rsid w:val="00464785"/>
    <w:rsid w:val="00497207"/>
    <w:rsid w:val="004A2B91"/>
    <w:rsid w:val="004A79A9"/>
    <w:rsid w:val="004C06F6"/>
    <w:rsid w:val="004D1E89"/>
    <w:rsid w:val="004F5936"/>
    <w:rsid w:val="00512CE2"/>
    <w:rsid w:val="00540B57"/>
    <w:rsid w:val="005438CE"/>
    <w:rsid w:val="00556774"/>
    <w:rsid w:val="00573B61"/>
    <w:rsid w:val="005941B7"/>
    <w:rsid w:val="005A7AA4"/>
    <w:rsid w:val="005C4192"/>
    <w:rsid w:val="005F65EB"/>
    <w:rsid w:val="00602FBE"/>
    <w:rsid w:val="006052BB"/>
    <w:rsid w:val="006272EB"/>
    <w:rsid w:val="00646065"/>
    <w:rsid w:val="00661F71"/>
    <w:rsid w:val="006A2C20"/>
    <w:rsid w:val="006B3488"/>
    <w:rsid w:val="006C7459"/>
    <w:rsid w:val="006C7A94"/>
    <w:rsid w:val="006F297D"/>
    <w:rsid w:val="006F42ED"/>
    <w:rsid w:val="00700D42"/>
    <w:rsid w:val="00766A71"/>
    <w:rsid w:val="00784E19"/>
    <w:rsid w:val="00794BE9"/>
    <w:rsid w:val="007B06A7"/>
    <w:rsid w:val="007D3005"/>
    <w:rsid w:val="007D488A"/>
    <w:rsid w:val="007D4D6D"/>
    <w:rsid w:val="007E6C01"/>
    <w:rsid w:val="00827D63"/>
    <w:rsid w:val="00834A0C"/>
    <w:rsid w:val="00864CA5"/>
    <w:rsid w:val="00867AD5"/>
    <w:rsid w:val="0089359E"/>
    <w:rsid w:val="008C20D9"/>
    <w:rsid w:val="008C256D"/>
    <w:rsid w:val="008C48BD"/>
    <w:rsid w:val="00902E38"/>
    <w:rsid w:val="00903EC4"/>
    <w:rsid w:val="00905858"/>
    <w:rsid w:val="009155FE"/>
    <w:rsid w:val="00972502"/>
    <w:rsid w:val="00977E1C"/>
    <w:rsid w:val="009A619D"/>
    <w:rsid w:val="009A7C69"/>
    <w:rsid w:val="009E319A"/>
    <w:rsid w:val="009F36F9"/>
    <w:rsid w:val="009F60B7"/>
    <w:rsid w:val="00A00D6C"/>
    <w:rsid w:val="00A07C13"/>
    <w:rsid w:val="00A15374"/>
    <w:rsid w:val="00A22480"/>
    <w:rsid w:val="00A623F8"/>
    <w:rsid w:val="00A668F6"/>
    <w:rsid w:val="00A75106"/>
    <w:rsid w:val="00AC65B2"/>
    <w:rsid w:val="00AF351B"/>
    <w:rsid w:val="00AF78BF"/>
    <w:rsid w:val="00B43DBC"/>
    <w:rsid w:val="00B45A58"/>
    <w:rsid w:val="00B47E4C"/>
    <w:rsid w:val="00B61129"/>
    <w:rsid w:val="00B86A17"/>
    <w:rsid w:val="00B90B03"/>
    <w:rsid w:val="00B95C0C"/>
    <w:rsid w:val="00BD7706"/>
    <w:rsid w:val="00BE50D1"/>
    <w:rsid w:val="00BE7A9B"/>
    <w:rsid w:val="00C01199"/>
    <w:rsid w:val="00C1324A"/>
    <w:rsid w:val="00C22100"/>
    <w:rsid w:val="00C53F05"/>
    <w:rsid w:val="00C6136F"/>
    <w:rsid w:val="00C734A0"/>
    <w:rsid w:val="00C772FF"/>
    <w:rsid w:val="00C93961"/>
    <w:rsid w:val="00CD0C09"/>
    <w:rsid w:val="00CE65E7"/>
    <w:rsid w:val="00D4343B"/>
    <w:rsid w:val="00D96567"/>
    <w:rsid w:val="00D96960"/>
    <w:rsid w:val="00DA2FC7"/>
    <w:rsid w:val="00DA4408"/>
    <w:rsid w:val="00DA5A15"/>
    <w:rsid w:val="00DA6D32"/>
    <w:rsid w:val="00DC589A"/>
    <w:rsid w:val="00DD21CC"/>
    <w:rsid w:val="00DD4D27"/>
    <w:rsid w:val="00E10E32"/>
    <w:rsid w:val="00E23970"/>
    <w:rsid w:val="00E27071"/>
    <w:rsid w:val="00E35EB2"/>
    <w:rsid w:val="00E411B4"/>
    <w:rsid w:val="00E56FD5"/>
    <w:rsid w:val="00E57ACE"/>
    <w:rsid w:val="00EA4AD5"/>
    <w:rsid w:val="00EA640A"/>
    <w:rsid w:val="00EC3D2B"/>
    <w:rsid w:val="00EE45FE"/>
    <w:rsid w:val="00F0420B"/>
    <w:rsid w:val="00F31A87"/>
    <w:rsid w:val="00F4068F"/>
    <w:rsid w:val="00F41686"/>
    <w:rsid w:val="00F50147"/>
    <w:rsid w:val="00F727EE"/>
    <w:rsid w:val="00F767F6"/>
    <w:rsid w:val="00F903FF"/>
    <w:rsid w:val="00F958BC"/>
    <w:rsid w:val="00FA51A3"/>
    <w:rsid w:val="00FC137F"/>
    <w:rsid w:val="00FC53A9"/>
    <w:rsid w:val="00FD3011"/>
    <w:rsid w:val="00FE0126"/>
    <w:rsid w:val="00FE1818"/>
    <w:rsid w:val="00FE7691"/>
    <w:rsid w:val="00FF1520"/>
    <w:rsid w:val="00FF5FFA"/>
    <w:rsid w:val="00FF7459"/>
    <w:rsid w:val="027D12FB"/>
    <w:rsid w:val="068233F5"/>
    <w:rsid w:val="07AF789A"/>
    <w:rsid w:val="07B61CB8"/>
    <w:rsid w:val="081648E2"/>
    <w:rsid w:val="09227170"/>
    <w:rsid w:val="0B3926E1"/>
    <w:rsid w:val="0C3E42D9"/>
    <w:rsid w:val="0C4F75DC"/>
    <w:rsid w:val="0C533497"/>
    <w:rsid w:val="0C9C0BFA"/>
    <w:rsid w:val="0D9F4467"/>
    <w:rsid w:val="0EB305C3"/>
    <w:rsid w:val="0F137CB5"/>
    <w:rsid w:val="0F2F70D8"/>
    <w:rsid w:val="123256F8"/>
    <w:rsid w:val="12D37334"/>
    <w:rsid w:val="12FD5513"/>
    <w:rsid w:val="13266B46"/>
    <w:rsid w:val="152B74B3"/>
    <w:rsid w:val="16695B42"/>
    <w:rsid w:val="1672618E"/>
    <w:rsid w:val="16B164BB"/>
    <w:rsid w:val="18672CAA"/>
    <w:rsid w:val="1A3A0366"/>
    <w:rsid w:val="1A797B98"/>
    <w:rsid w:val="1C9B58CA"/>
    <w:rsid w:val="1CF81B82"/>
    <w:rsid w:val="1E1E4170"/>
    <w:rsid w:val="1E254562"/>
    <w:rsid w:val="1ECB0040"/>
    <w:rsid w:val="1EF06AE1"/>
    <w:rsid w:val="20C10415"/>
    <w:rsid w:val="234818AA"/>
    <w:rsid w:val="27181640"/>
    <w:rsid w:val="27682819"/>
    <w:rsid w:val="29587091"/>
    <w:rsid w:val="2BFD2379"/>
    <w:rsid w:val="2C7845C8"/>
    <w:rsid w:val="2D5B3696"/>
    <w:rsid w:val="36653D31"/>
    <w:rsid w:val="36986D96"/>
    <w:rsid w:val="373C6C4A"/>
    <w:rsid w:val="39545F92"/>
    <w:rsid w:val="42CF6EF1"/>
    <w:rsid w:val="43021637"/>
    <w:rsid w:val="45266F69"/>
    <w:rsid w:val="45C25924"/>
    <w:rsid w:val="469C4BB4"/>
    <w:rsid w:val="48E92855"/>
    <w:rsid w:val="49FD60CF"/>
    <w:rsid w:val="4A937854"/>
    <w:rsid w:val="4C0C55BD"/>
    <w:rsid w:val="4CAA121D"/>
    <w:rsid w:val="4DBE49B0"/>
    <w:rsid w:val="4FDA015F"/>
    <w:rsid w:val="50DC6110"/>
    <w:rsid w:val="533D0693"/>
    <w:rsid w:val="53EC7365"/>
    <w:rsid w:val="5C7D3B00"/>
    <w:rsid w:val="5D2B27E7"/>
    <w:rsid w:val="5EAA156D"/>
    <w:rsid w:val="5EFD0E28"/>
    <w:rsid w:val="5FB32327"/>
    <w:rsid w:val="6385269A"/>
    <w:rsid w:val="63997AC2"/>
    <w:rsid w:val="64061DAE"/>
    <w:rsid w:val="64F2539B"/>
    <w:rsid w:val="68C05E06"/>
    <w:rsid w:val="6A243776"/>
    <w:rsid w:val="6E5724CC"/>
    <w:rsid w:val="6FA16DDA"/>
    <w:rsid w:val="71277157"/>
    <w:rsid w:val="71743704"/>
    <w:rsid w:val="73991756"/>
    <w:rsid w:val="73AB002E"/>
    <w:rsid w:val="77564B75"/>
    <w:rsid w:val="7B711D81"/>
    <w:rsid w:val="7EA52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Salutation"/>
    <w:basedOn w:val="1"/>
    <w:next w:val="1"/>
    <w:link w:val="11"/>
    <w:qFormat/>
    <w:uiPriority w:val="99"/>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basedOn w:val="8"/>
    <w:qFormat/>
    <w:uiPriority w:val="0"/>
    <w:rPr>
      <w:sz w:val="21"/>
      <w:szCs w:val="21"/>
    </w:rPr>
  </w:style>
  <w:style w:type="character" w:customStyle="1" w:styleId="11">
    <w:name w:val="称呼 Char"/>
    <w:link w:val="3"/>
    <w:qFormat/>
    <w:locked/>
    <w:uiPriority w:val="99"/>
    <w:rPr>
      <w:rFonts w:eastAsia="仿宋_GB2312"/>
      <w:kern w:val="32"/>
      <w:sz w:val="32"/>
    </w:rPr>
  </w:style>
  <w:style w:type="character" w:customStyle="1" w:styleId="12">
    <w:name w:val="批注框文本 Char"/>
    <w:link w:val="4"/>
    <w:qFormat/>
    <w:uiPriority w:val="0"/>
    <w:rPr>
      <w:rFonts w:eastAsia="仿宋_GB2312"/>
      <w:kern w:val="32"/>
      <w:sz w:val="18"/>
      <w:szCs w:val="18"/>
    </w:rPr>
  </w:style>
  <w:style w:type="paragraph" w:customStyle="1" w:styleId="13">
    <w:name w:val="列表段落1"/>
    <w:basedOn w:val="1"/>
    <w:qFormat/>
    <w:uiPriority w:val="99"/>
    <w:pPr>
      <w:ind w:firstLine="420" w:firstLineChars="200"/>
    </w:pPr>
  </w:style>
  <w:style w:type="character" w:customStyle="1" w:styleId="14">
    <w:name w:val="批注文字 Char"/>
    <w:basedOn w:val="8"/>
    <w:link w:val="2"/>
    <w:qFormat/>
    <w:uiPriority w:val="0"/>
    <w:rPr>
      <w:rFonts w:eastAsia="仿宋_GB2312"/>
      <w:kern w:val="3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96436-0C7D-4D61-BAC3-CCAA73AA549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207</Words>
  <Characters>1180</Characters>
  <Lines>9</Lines>
  <Paragraphs>2</Paragraphs>
  <TotalTime>94</TotalTime>
  <ScaleCrop>false</ScaleCrop>
  <LinksUpToDate>false</LinksUpToDate>
  <CharactersWithSpaces>1385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2024-01-03T06:58:00Z</dcterms:created>
  <dc:creator>對方正在找表情...</dc:creator>
  <cp:lastModifiedBy>周文娟</cp:lastModifiedBy>
  <cp:lastPrinted>2024-04-29T00:44:00Z</cp:lastPrinted>
  <dcterms:modified xsi:type="dcterms:W3CDTF">2024-04-29T09:17:22Z</dcterms:modified>
  <dc:title>福建省监狱系统</dc:title>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3CBD2C60660D4BB08AEE5E84638668B8</vt:lpwstr>
  </property>
</Properties>
</file>