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3080" w:firstLineChars="700"/>
        <w:jc w:val="both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right="320" w:firstLine="4480" w:firstLineChars="1400"/>
        <w:jc w:val="left"/>
        <w:textAlignment w:val="auto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2024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229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right="320"/>
        <w:jc w:val="left"/>
        <w:textAlignment w:val="auto"/>
        <w:rPr>
          <w:rFonts w:ascii="楷体_GB2312" w:hAnsi="楷体" w:eastAsia="楷体_GB2312" w:cs="楷体_GB2312"/>
          <w:szCs w:val="32"/>
        </w:rPr>
      </w:pP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罪犯洪峰，男，</w:t>
      </w:r>
      <w:r>
        <w:rPr>
          <w:szCs w:val="32"/>
        </w:rPr>
        <w:t>1997</w:t>
      </w:r>
      <w:r>
        <w:rPr>
          <w:rFonts w:hint="eastAsia"/>
          <w:szCs w:val="32"/>
        </w:rPr>
        <w:t>年</w:t>
      </w:r>
      <w:r>
        <w:rPr>
          <w:szCs w:val="32"/>
        </w:rPr>
        <w:t>5</w:t>
      </w:r>
      <w:r>
        <w:rPr>
          <w:rFonts w:hint="eastAsia"/>
          <w:szCs w:val="32"/>
        </w:rPr>
        <w:t>月</w:t>
      </w:r>
      <w:r>
        <w:rPr>
          <w:szCs w:val="32"/>
        </w:rPr>
        <w:t>29</w:t>
      </w:r>
      <w:r>
        <w:rPr>
          <w:rFonts w:hint="eastAsia"/>
          <w:szCs w:val="32"/>
        </w:rPr>
        <w:t>日出生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，汉族，</w:t>
      </w:r>
      <w:r>
        <w:rPr>
          <w:rFonts w:hint="eastAsia"/>
          <w:szCs w:val="32"/>
        </w:rPr>
        <w:t>初中文化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，</w:t>
      </w:r>
      <w:r>
        <w:rPr>
          <w:rFonts w:hint="eastAsia"/>
          <w:szCs w:val="32"/>
        </w:rPr>
        <w:t>户籍所在地贵州省松桃苗族自治县。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/>
          <w:szCs w:val="32"/>
        </w:rPr>
        <w:t>福建省厦门市集美区人民法院于</w:t>
      </w:r>
      <w:r>
        <w:rPr>
          <w:szCs w:val="32"/>
        </w:rPr>
        <w:t>2017</w:t>
      </w:r>
      <w:r>
        <w:rPr>
          <w:rFonts w:hint="eastAsia"/>
          <w:szCs w:val="32"/>
        </w:rPr>
        <w:t>年10月11日作出（2017）闽0211刑初489号刑事附带民事判决，以被告人洪峰犯故意伤害罪，判处有期徒刑八年十一个月，共同赔偿附带民事诉讼原告人经济损失2541384.05元。刑期自</w:t>
      </w:r>
      <w:r>
        <w:rPr>
          <w:szCs w:val="32"/>
        </w:rPr>
        <w:t>2016</w:t>
      </w:r>
      <w:r>
        <w:rPr>
          <w:rFonts w:hint="eastAsia"/>
          <w:szCs w:val="32"/>
        </w:rPr>
        <w:t>年</w:t>
      </w:r>
      <w:r>
        <w:rPr>
          <w:szCs w:val="32"/>
        </w:rPr>
        <w:t>12</w:t>
      </w:r>
      <w:r>
        <w:rPr>
          <w:rFonts w:hint="eastAsia"/>
          <w:szCs w:val="32"/>
        </w:rPr>
        <w:t>月</w:t>
      </w:r>
      <w:r>
        <w:rPr>
          <w:szCs w:val="32"/>
        </w:rPr>
        <w:t>19</w:t>
      </w:r>
      <w:r>
        <w:rPr>
          <w:rFonts w:hint="eastAsia"/>
          <w:szCs w:val="32"/>
        </w:rPr>
        <w:t>日起至</w:t>
      </w:r>
      <w:r>
        <w:rPr>
          <w:szCs w:val="32"/>
        </w:rPr>
        <w:t>2025</w:t>
      </w:r>
      <w:r>
        <w:rPr>
          <w:rFonts w:hint="eastAsia"/>
          <w:szCs w:val="32"/>
        </w:rPr>
        <w:t>年</w:t>
      </w:r>
      <w:r>
        <w:rPr>
          <w:szCs w:val="32"/>
        </w:rPr>
        <w:t>11</w:t>
      </w:r>
      <w:r>
        <w:rPr>
          <w:rFonts w:hint="eastAsia"/>
          <w:szCs w:val="32"/>
        </w:rPr>
        <w:t>月</w:t>
      </w:r>
      <w:r>
        <w:rPr>
          <w:szCs w:val="32"/>
        </w:rPr>
        <w:t>18</w:t>
      </w:r>
      <w:r>
        <w:rPr>
          <w:rFonts w:hint="eastAsia"/>
          <w:szCs w:val="32"/>
        </w:rPr>
        <w:t>日止。</w:t>
      </w:r>
      <w:r>
        <w:rPr>
          <w:szCs w:val="32"/>
        </w:rPr>
        <w:t>2017</w:t>
      </w:r>
      <w:r>
        <w:rPr>
          <w:rFonts w:hint="eastAsia"/>
          <w:szCs w:val="32"/>
        </w:rPr>
        <w:t>年</w:t>
      </w:r>
      <w:r>
        <w:rPr>
          <w:szCs w:val="32"/>
        </w:rPr>
        <w:t>11</w:t>
      </w:r>
      <w:r>
        <w:rPr>
          <w:rFonts w:hint="eastAsia"/>
          <w:szCs w:val="32"/>
        </w:rPr>
        <w:t>月</w:t>
      </w:r>
      <w:r>
        <w:rPr>
          <w:szCs w:val="32"/>
        </w:rPr>
        <w:t>9</w:t>
      </w:r>
      <w:r>
        <w:rPr>
          <w:rFonts w:hint="eastAsia"/>
          <w:szCs w:val="32"/>
        </w:rPr>
        <w:t>日交付福建省厦门监狱执行刑罚。2020年7月29日，福建省厦门市中级人民法院以（2020）闽02刑更495号刑事裁定书，对其减刑六个月；</w:t>
      </w:r>
      <w:r>
        <w:rPr>
          <w:szCs w:val="32"/>
        </w:rPr>
        <w:t>2022</w:t>
      </w:r>
      <w:r>
        <w:rPr>
          <w:rFonts w:hint="eastAsia"/>
          <w:szCs w:val="32"/>
        </w:rPr>
        <w:t>年</w:t>
      </w:r>
      <w:r>
        <w:rPr>
          <w:szCs w:val="32"/>
        </w:rPr>
        <w:t>03</w:t>
      </w:r>
      <w:r>
        <w:rPr>
          <w:rFonts w:hint="eastAsia"/>
          <w:szCs w:val="32"/>
        </w:rPr>
        <w:t>月</w:t>
      </w:r>
      <w:r>
        <w:rPr>
          <w:szCs w:val="32"/>
        </w:rPr>
        <w:t>30</w:t>
      </w:r>
      <w:r>
        <w:rPr>
          <w:rFonts w:hint="eastAsia"/>
          <w:szCs w:val="32"/>
        </w:rPr>
        <w:t>日，福建省厦门市中级人民法院以（2022）闽02刑更257号刑事裁定书，对其减刑五个月，于</w:t>
      </w:r>
      <w:r>
        <w:rPr>
          <w:szCs w:val="32"/>
        </w:rPr>
        <w:t>2022</w:t>
      </w:r>
      <w:r>
        <w:rPr>
          <w:rFonts w:hint="eastAsia"/>
          <w:szCs w:val="32"/>
        </w:rPr>
        <w:t>年</w:t>
      </w:r>
      <w:r>
        <w:rPr>
          <w:szCs w:val="32"/>
        </w:rPr>
        <w:t>03</w:t>
      </w:r>
      <w:r>
        <w:rPr>
          <w:rFonts w:hint="eastAsia"/>
          <w:szCs w:val="32"/>
        </w:rPr>
        <w:t>月</w:t>
      </w:r>
      <w:r>
        <w:rPr>
          <w:szCs w:val="32"/>
        </w:rPr>
        <w:t>30</w:t>
      </w:r>
      <w:r>
        <w:rPr>
          <w:rFonts w:hint="eastAsia"/>
          <w:szCs w:val="32"/>
        </w:rPr>
        <w:t>日送达，现刑期至2024年12月18日止</w:t>
      </w:r>
      <w:r>
        <w:rPr>
          <w:rFonts w:hint="eastAsia"/>
          <w:szCs w:val="32"/>
          <w:lang w:val="zh-CN"/>
        </w:rPr>
        <w:t>。现属宽管级罪犯。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该犯自上次减刑以来确有悔改表现，具体事实如下：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认罪悔罪：能服从法院判决，自书认罪悔罪书。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遵守监规：能遵守法律法规及监规纪律，接受教育改造。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学习情况：能参加思想、文化、职业技术教育。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劳动改造：能参加劳动，努力完成劳动任务。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奖惩情况：该犯上次评定表扬剩余3</w:t>
      </w:r>
      <w:r>
        <w:rPr>
          <w:rFonts w:ascii="仿宋_GB2312" w:hAnsi="仿宋_GB2312"/>
          <w:iCs/>
          <w:kern w:val="2"/>
          <w:szCs w:val="32"/>
          <w:lang w:val="zh-CN"/>
        </w:rPr>
        <w:t>4.1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分，本轮考核期2021年12月至</w:t>
      </w:r>
      <w:r>
        <w:rPr>
          <w:rFonts w:ascii="仿宋_GB2312" w:hAnsi="仿宋_GB2312"/>
          <w:iCs/>
          <w:kern w:val="2"/>
          <w:szCs w:val="32"/>
          <w:lang w:val="zh-CN"/>
        </w:rPr>
        <w:t>2024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ascii="仿宋_GB2312" w:hAnsi="仿宋_GB2312"/>
          <w:iCs/>
          <w:kern w:val="2"/>
          <w:szCs w:val="32"/>
          <w:lang w:val="zh-CN"/>
        </w:rPr>
        <w:t>3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月累计获</w:t>
      </w:r>
      <w:r>
        <w:rPr>
          <w:rFonts w:hint="eastAsia" w:ascii="仿宋_GB2312" w:hAnsi="仿宋_GB2312"/>
          <w:iCs/>
          <w:kern w:val="2"/>
          <w:szCs w:val="32"/>
        </w:rPr>
        <w:t>3487.8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分，合计获得</w:t>
      </w:r>
      <w:r>
        <w:rPr>
          <w:rFonts w:hint="eastAsia" w:ascii="仿宋_GB2312" w:hAnsi="仿宋_GB2312"/>
          <w:iCs/>
          <w:kern w:val="2"/>
          <w:szCs w:val="32"/>
        </w:rPr>
        <w:t>3521.9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分，表扬</w:t>
      </w:r>
      <w:r>
        <w:rPr>
          <w:rFonts w:hint="eastAsia" w:ascii="仿宋_GB2312" w:hAnsi="仿宋_GB2312"/>
          <w:iCs/>
          <w:kern w:val="2"/>
          <w:szCs w:val="32"/>
        </w:rPr>
        <w:t>5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次；间隔期2022年</w:t>
      </w:r>
      <w:r>
        <w:rPr>
          <w:rFonts w:hint="eastAsia" w:ascii="仿宋_GB2312" w:hAnsi="仿宋_GB2312"/>
          <w:iCs/>
          <w:kern w:val="2"/>
          <w:szCs w:val="32"/>
        </w:rPr>
        <w:t>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月起至2024年3月，获得</w:t>
      </w:r>
      <w:r>
        <w:rPr>
          <w:rFonts w:hint="eastAsia" w:ascii="仿宋_GB2312" w:hAnsi="仿宋_GB2312"/>
          <w:iCs/>
          <w:kern w:val="2"/>
          <w:szCs w:val="32"/>
        </w:rPr>
        <w:t>3057.9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分，</w:t>
      </w:r>
      <w:r>
        <w:rPr>
          <w:rFonts w:hint="eastAsia" w:ascii="仿宋_GB2312" w:hAnsi="仿宋_GB2312" w:cs="仿宋_GB2312"/>
          <w:bCs/>
          <w:szCs w:val="32"/>
        </w:rPr>
        <w:t>考核期内无违规扣分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/>
          <w:szCs w:val="32"/>
        </w:rPr>
      </w:pPr>
      <w:r>
        <w:rPr>
          <w:rFonts w:hint="eastAsia" w:ascii="仿宋_GB2312" w:hAnsi="仿宋_GB2312"/>
          <w:iCs/>
          <w:color w:val="000000" w:themeColor="text1"/>
          <w:kern w:val="2"/>
          <w:szCs w:val="32"/>
          <w:lang w:val="zh-CN"/>
          <w14:textFill>
            <w14:solidFill>
              <w14:schemeClr w14:val="tx1"/>
            </w14:solidFill>
          </w14:textFill>
        </w:rPr>
        <w:t>该犯财产刑判项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共同赔偿附带民事诉讼原告人经济损失2541384.05元，已履行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263056.8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元（该犯缴交25753.74元，同案犯缴交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237303.06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元）；其中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本人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本次向福建省厦门市集美区人民法院缴纳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11753.74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元。</w:t>
      </w:r>
      <w:r>
        <w:rPr>
          <w:rFonts w:hint="eastAsia" w:ascii="仿宋_GB2312" w:hAnsi="仿宋_GB2312"/>
          <w:iCs/>
          <w:color w:val="000000" w:themeColor="text1"/>
          <w:kern w:val="2"/>
          <w:szCs w:val="32"/>
          <w:lang w:val="zh-CN"/>
          <w14:textFill>
            <w14:solidFill>
              <w14:schemeClr w14:val="tx1"/>
            </w14:solidFill>
          </w14:textFill>
        </w:rPr>
        <w:t>该犯考核期内月均消费</w:t>
      </w:r>
      <w:r>
        <w:rPr>
          <w:rFonts w:hint="eastAsia" w:ascii="仿宋_GB2312" w:hAnsi="仿宋_GB2312"/>
          <w:iCs/>
          <w:color w:val="000000" w:themeColor="text1"/>
          <w:kern w:val="2"/>
          <w:szCs w:val="32"/>
          <w14:textFill>
            <w14:solidFill>
              <w14:schemeClr w14:val="tx1"/>
            </w14:solidFill>
          </w14:textFill>
        </w:rPr>
        <w:t>283.13</w:t>
      </w:r>
      <w:r>
        <w:rPr>
          <w:rFonts w:hint="eastAsia" w:ascii="仿宋_GB2312" w:hAnsi="仿宋_GB2312"/>
          <w:iCs/>
          <w:color w:val="000000" w:themeColor="text1"/>
          <w:kern w:val="2"/>
          <w:szCs w:val="32"/>
          <w:lang w:val="zh-CN"/>
          <w14:textFill>
            <w14:solidFill>
              <w14:schemeClr w14:val="tx1"/>
            </w14:solidFill>
          </w14:textFill>
        </w:rPr>
        <w:t>元，账户可用余额</w:t>
      </w:r>
      <w:r>
        <w:rPr>
          <w:rFonts w:hint="eastAsia" w:ascii="仿宋_GB2312" w:hAnsi="仿宋_GB2312"/>
          <w:iCs/>
          <w:color w:val="000000" w:themeColor="text1"/>
          <w:kern w:val="2"/>
          <w:szCs w:val="32"/>
          <w14:textFill>
            <w14:solidFill>
              <w14:schemeClr w14:val="tx1"/>
            </w14:solidFill>
          </w14:textFill>
        </w:rPr>
        <w:t>182.73</w:t>
      </w:r>
      <w:r>
        <w:rPr>
          <w:rFonts w:hint="eastAsia" w:ascii="仿宋_GB2312" w:hAnsi="仿宋_GB2312"/>
          <w:iCs/>
          <w:color w:val="000000" w:themeColor="text1"/>
          <w:kern w:val="2"/>
          <w:szCs w:val="32"/>
          <w:lang w:val="zh-CN"/>
          <w14:textFill>
            <w14:solidFill>
              <w14:schemeClr w14:val="tx1"/>
            </w14:solidFill>
          </w14:textFill>
        </w:rPr>
        <w:t>元。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该犯财产性判项义务履行金额未达到其个人应履行总额30%，因此提请减刑幅度扣减三个月。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本案于</w:t>
      </w:r>
      <w:r>
        <w:rPr>
          <w:rFonts w:hint="eastAsia" w:ascii="仿宋_GB2312" w:hAnsi="仿宋_GB2312"/>
          <w:iCs/>
          <w:kern w:val="2"/>
          <w:szCs w:val="32"/>
        </w:rPr>
        <w:t>20224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6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17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日至</w:t>
      </w:r>
      <w:r>
        <w:rPr>
          <w:rFonts w:hint="eastAsia" w:ascii="仿宋_GB2312" w:hAnsi="仿宋_GB2312"/>
          <w:iCs/>
          <w:kern w:val="2"/>
          <w:szCs w:val="32"/>
        </w:rPr>
        <w:t>2024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6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21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日在狱内公示未收到不同意见。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本案于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2024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5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27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日至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2024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6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12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日移送检察机关征求意见</w:t>
      </w:r>
      <w:bookmarkStart w:id="0" w:name="_GoBack"/>
      <w:bookmarkEnd w:id="0"/>
      <w:r>
        <w:rPr>
          <w:rFonts w:hint="eastAsia" w:ascii="仿宋_GB2312" w:hAnsi="仿宋_GB2312"/>
          <w:iCs/>
          <w:kern w:val="2"/>
          <w:szCs w:val="32"/>
          <w:lang w:val="zh-CN"/>
        </w:rPr>
        <w:t>；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2024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6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14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福建省厦门市人民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检察院派员列席监狱减刑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假释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评审委员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会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，发表意见情况：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无异议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因此，依照《中华人民共和国刑法》第七十八条、第七十九条，《中华人民共和国刑事诉讼法》第二百七十三条第二款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和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《中华人民共和国监狱法》第二十九条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之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规定，建议对罪犯洪峰予以减刑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五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left"/>
        <w:textAlignment w:val="auto"/>
        <w:rPr>
          <w:rFonts w:ascii="仿宋_GB2312" w:hAnsi="仿宋_GB2312"/>
          <w:szCs w:val="32"/>
        </w:rPr>
      </w:pPr>
      <w:r>
        <w:rPr>
          <w:rFonts w:hint="eastAsia" w:ascii="仿宋_GB2312" w:hAnsi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right="-48" w:rightChars="-15"/>
        <w:jc w:val="left"/>
        <w:textAlignment w:val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附件：⒈罪犯洪峰卷宗</w:t>
      </w:r>
      <w:r>
        <w:rPr>
          <w:rFonts w:hint="eastAsia" w:ascii="Times New Roman" w:hAnsi="Times New Roman" w:cs="仿宋_GB2312"/>
          <w:szCs w:val="32"/>
          <w:lang w:val="en-US" w:eastAsia="zh-CN"/>
        </w:rPr>
        <w:t>2</w:t>
      </w:r>
      <w:r>
        <w:rPr>
          <w:rFonts w:hint="eastAsia" w:ascii="Times New Roman" w:hAnsi="Times New Roman" w:cs="仿宋_GB231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right="-48" w:rightChars="-15" w:firstLine="1600" w:firstLineChars="500"/>
        <w:jc w:val="left"/>
        <w:textAlignment w:val="auto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⒉减刑建议书2份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right="653" w:rightChars="204" w:firstLine="5760" w:firstLineChars="1800"/>
        <w:jc w:val="left"/>
        <w:textAlignment w:val="auto"/>
        <w:rPr>
          <w:rFonts w:hint="eastAsia" w:ascii="仿宋_GB2312" w:hAnsi="仿宋_GB2312" w:eastAsia="仿宋_GB2312"/>
          <w:szCs w:val="32"/>
          <w:lang w:val="en-US" w:eastAsia="zh-CN"/>
        </w:rPr>
      </w:pPr>
      <w:r>
        <w:rPr>
          <w:rFonts w:hint="eastAsia" w:ascii="仿宋_GB2312" w:hAnsi="仿宋_GB2312"/>
          <w:szCs w:val="32"/>
        </w:rPr>
        <w:t>福建省厦门监狱</w:t>
      </w:r>
      <w:r>
        <w:rPr>
          <w:rFonts w:hint="eastAsia" w:ascii="仿宋_GB2312" w:hAnsi="仿宋_GB2312"/>
          <w:szCs w:val="32"/>
          <w:lang w:val="en-US" w:eastAsia="zh-CN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520" w:lineRule="exact"/>
        <w:ind w:right="653" w:rightChars="204" w:firstLine="5760" w:firstLineChars="1800"/>
        <w:jc w:val="left"/>
        <w:textAlignment w:val="auto"/>
        <w:rPr>
          <w:rFonts w:ascii="Times New Roman" w:hAnsi="Times New Roman"/>
          <w:szCs w:val="32"/>
        </w:rPr>
      </w:pPr>
      <w:r>
        <w:rPr>
          <w:rFonts w:hint="eastAsia" w:ascii="仿宋_GB2312" w:hAnsi="仿宋_GB2312"/>
          <w:szCs w:val="32"/>
          <w:lang w:val="en-US" w:eastAsia="zh-CN"/>
        </w:rPr>
        <w:t>2024</w:t>
      </w:r>
      <w:r>
        <w:rPr>
          <w:rFonts w:hint="eastAsia" w:ascii="仿宋_GB2312" w:hAnsi="仿宋_GB2312"/>
          <w:szCs w:val="32"/>
        </w:rPr>
        <w:t>年</w:t>
      </w:r>
      <w:r>
        <w:rPr>
          <w:rFonts w:hint="eastAsia" w:ascii="仿宋_GB2312" w:hAnsi="仿宋_GB2312"/>
          <w:szCs w:val="32"/>
          <w:lang w:val="en-US" w:eastAsia="zh-CN"/>
        </w:rPr>
        <w:t>6</w:t>
      </w:r>
      <w:r>
        <w:rPr>
          <w:rFonts w:hint="eastAsia" w:ascii="仿宋_GB2312" w:hAnsi="仿宋_GB2312"/>
          <w:szCs w:val="32"/>
        </w:rPr>
        <w:t>月</w:t>
      </w:r>
      <w:r>
        <w:rPr>
          <w:rFonts w:hint="eastAsia" w:ascii="仿宋_GB2312" w:hAnsi="仿宋_GB2312"/>
          <w:szCs w:val="32"/>
          <w:lang w:val="en-US" w:eastAsia="zh-CN"/>
        </w:rPr>
        <w:t>24</w:t>
      </w:r>
      <w:r>
        <w:rPr>
          <w:rFonts w:hint="eastAsia" w:ascii="仿宋_GB2312" w:hAnsi="仿宋_GB2312"/>
          <w:szCs w:val="32"/>
        </w:rPr>
        <w:t>日</w:t>
      </w:r>
      <w:r>
        <w:rPr>
          <w:rFonts w:hint="eastAsia" w:ascii="仿宋_GB2312" w:hAnsi="仿宋_GB2312"/>
          <w:szCs w:val="32"/>
          <w:lang w:val="en-US" w:eastAsia="zh-CN"/>
        </w:rPr>
        <w:t xml:space="preserve"> </w:t>
      </w:r>
    </w:p>
    <w:sectPr>
      <w:footerReference r:id="rId3" w:type="default"/>
      <w:footerReference r:id="rId4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ind w:left="320" w:leftChars="100" w:right="320" w:rightChars="100"/>
      <w:rPr>
        <w:rStyle w:val="10"/>
        <w:sz w:val="28"/>
        <w:szCs w:val="28"/>
      </w:rPr>
    </w:pPr>
    <w:r>
      <w:rPr>
        <w:rStyle w:val="10"/>
        <w:sz w:val="28"/>
        <w:szCs w:val="28"/>
      </w:rPr>
      <w:t xml:space="preserve">— </w:t>
    </w:r>
    <w:r>
      <w:rPr>
        <w:rStyle w:val="10"/>
        <w:sz w:val="28"/>
        <w:szCs w:val="28"/>
      </w:rPr>
      <w:fldChar w:fldCharType="begin"/>
    </w:r>
    <w:r>
      <w:rPr>
        <w:rStyle w:val="10"/>
        <w:sz w:val="28"/>
        <w:szCs w:val="28"/>
      </w:rPr>
      <w:instrText xml:space="preserve">PAGE  </w:instrText>
    </w:r>
    <w:r>
      <w:rPr>
        <w:rStyle w:val="10"/>
        <w:sz w:val="28"/>
        <w:szCs w:val="28"/>
      </w:rPr>
      <w:fldChar w:fldCharType="separate"/>
    </w:r>
    <w:r>
      <w:rPr>
        <w:rStyle w:val="10"/>
        <w:sz w:val="28"/>
        <w:szCs w:val="28"/>
      </w:rPr>
      <w:t>3</w:t>
    </w:r>
    <w:r>
      <w:rPr>
        <w:rStyle w:val="10"/>
        <w:sz w:val="28"/>
        <w:szCs w:val="28"/>
      </w:rPr>
      <w:fldChar w:fldCharType="end"/>
    </w:r>
    <w:r>
      <w:rPr>
        <w:rStyle w:val="10"/>
        <w:sz w:val="28"/>
        <w:szCs w:val="28"/>
      </w:rPr>
      <w:t xml:space="preserve"> —</w:t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page" w:x="2042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1</w:t>
    </w:r>
    <w:r>
      <w:rPr>
        <w:rStyle w:val="10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oNotHyphenateCaps/>
  <w:drawingGridHorizontalSpacing w:val="287"/>
  <w:drawingGridVerticalSpacing w:val="595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dhYTkyMzcyZjIwODlhNTgxZjhlOTlhMzdlMmJhNDQifQ=="/>
  </w:docVars>
  <w:rsids>
    <w:rsidRoot w:val="4B725619"/>
    <w:rsid w:val="00005E44"/>
    <w:rsid w:val="00032856"/>
    <w:rsid w:val="0004053D"/>
    <w:rsid w:val="00044EE5"/>
    <w:rsid w:val="000456EC"/>
    <w:rsid w:val="000545E5"/>
    <w:rsid w:val="00056B66"/>
    <w:rsid w:val="000577E9"/>
    <w:rsid w:val="000620D4"/>
    <w:rsid w:val="000668D8"/>
    <w:rsid w:val="00085329"/>
    <w:rsid w:val="00086378"/>
    <w:rsid w:val="000A0097"/>
    <w:rsid w:val="000A3E15"/>
    <w:rsid w:val="000A58CF"/>
    <w:rsid w:val="000A7862"/>
    <w:rsid w:val="000C78F0"/>
    <w:rsid w:val="000D3ADE"/>
    <w:rsid w:val="000E553B"/>
    <w:rsid w:val="000E7F23"/>
    <w:rsid w:val="000F1D98"/>
    <w:rsid w:val="001272D3"/>
    <w:rsid w:val="00130383"/>
    <w:rsid w:val="00130DC9"/>
    <w:rsid w:val="001469C7"/>
    <w:rsid w:val="00174B8D"/>
    <w:rsid w:val="00185013"/>
    <w:rsid w:val="0018794A"/>
    <w:rsid w:val="001A5279"/>
    <w:rsid w:val="001C7272"/>
    <w:rsid w:val="001D045B"/>
    <w:rsid w:val="001D4496"/>
    <w:rsid w:val="001F3627"/>
    <w:rsid w:val="00204BFC"/>
    <w:rsid w:val="00207FB7"/>
    <w:rsid w:val="00214680"/>
    <w:rsid w:val="00254BFE"/>
    <w:rsid w:val="0026277A"/>
    <w:rsid w:val="002641BC"/>
    <w:rsid w:val="00265411"/>
    <w:rsid w:val="00273F50"/>
    <w:rsid w:val="0028352A"/>
    <w:rsid w:val="0029154A"/>
    <w:rsid w:val="002926AE"/>
    <w:rsid w:val="002B185A"/>
    <w:rsid w:val="002B26C6"/>
    <w:rsid w:val="002C39DC"/>
    <w:rsid w:val="002C664E"/>
    <w:rsid w:val="002E0724"/>
    <w:rsid w:val="00303C77"/>
    <w:rsid w:val="00315928"/>
    <w:rsid w:val="0033453F"/>
    <w:rsid w:val="00373880"/>
    <w:rsid w:val="00380CF5"/>
    <w:rsid w:val="003874B4"/>
    <w:rsid w:val="003C0AB1"/>
    <w:rsid w:val="003C5373"/>
    <w:rsid w:val="003D37DB"/>
    <w:rsid w:val="003E3E45"/>
    <w:rsid w:val="003F0F1E"/>
    <w:rsid w:val="00406C72"/>
    <w:rsid w:val="00415D3B"/>
    <w:rsid w:val="00423081"/>
    <w:rsid w:val="00431C27"/>
    <w:rsid w:val="00443F7D"/>
    <w:rsid w:val="00447429"/>
    <w:rsid w:val="00447D4F"/>
    <w:rsid w:val="004666D2"/>
    <w:rsid w:val="004672E8"/>
    <w:rsid w:val="00470AE8"/>
    <w:rsid w:val="00473252"/>
    <w:rsid w:val="0048389D"/>
    <w:rsid w:val="00486D5C"/>
    <w:rsid w:val="004A626B"/>
    <w:rsid w:val="004A7022"/>
    <w:rsid w:val="004D3DC9"/>
    <w:rsid w:val="004E2191"/>
    <w:rsid w:val="004F2209"/>
    <w:rsid w:val="004F424C"/>
    <w:rsid w:val="00501941"/>
    <w:rsid w:val="0050728D"/>
    <w:rsid w:val="005115AE"/>
    <w:rsid w:val="00522D2C"/>
    <w:rsid w:val="00540A30"/>
    <w:rsid w:val="005622CD"/>
    <w:rsid w:val="005662D1"/>
    <w:rsid w:val="00574581"/>
    <w:rsid w:val="005764AC"/>
    <w:rsid w:val="00580A2E"/>
    <w:rsid w:val="005970F7"/>
    <w:rsid w:val="005A214F"/>
    <w:rsid w:val="005A3DBE"/>
    <w:rsid w:val="005A4969"/>
    <w:rsid w:val="005C5A63"/>
    <w:rsid w:val="005E110A"/>
    <w:rsid w:val="00603153"/>
    <w:rsid w:val="00670A33"/>
    <w:rsid w:val="0067623A"/>
    <w:rsid w:val="00686FA0"/>
    <w:rsid w:val="006953C8"/>
    <w:rsid w:val="006A31FD"/>
    <w:rsid w:val="006B6A2E"/>
    <w:rsid w:val="006C36F0"/>
    <w:rsid w:val="006E529F"/>
    <w:rsid w:val="00700D91"/>
    <w:rsid w:val="00701F84"/>
    <w:rsid w:val="007170E1"/>
    <w:rsid w:val="007220B8"/>
    <w:rsid w:val="007318C1"/>
    <w:rsid w:val="00741ED0"/>
    <w:rsid w:val="0075328F"/>
    <w:rsid w:val="00754C1D"/>
    <w:rsid w:val="007824E9"/>
    <w:rsid w:val="00787567"/>
    <w:rsid w:val="007A797E"/>
    <w:rsid w:val="007B26AC"/>
    <w:rsid w:val="007B3F4A"/>
    <w:rsid w:val="007C44EE"/>
    <w:rsid w:val="007C7461"/>
    <w:rsid w:val="007C798A"/>
    <w:rsid w:val="007D3E4D"/>
    <w:rsid w:val="007D646D"/>
    <w:rsid w:val="007E7CB8"/>
    <w:rsid w:val="007F25CC"/>
    <w:rsid w:val="007F63A2"/>
    <w:rsid w:val="0083060B"/>
    <w:rsid w:val="00830D21"/>
    <w:rsid w:val="00834658"/>
    <w:rsid w:val="0085533E"/>
    <w:rsid w:val="00856281"/>
    <w:rsid w:val="00856EFB"/>
    <w:rsid w:val="00857DFF"/>
    <w:rsid w:val="00863646"/>
    <w:rsid w:val="00884DED"/>
    <w:rsid w:val="00890C03"/>
    <w:rsid w:val="008916DF"/>
    <w:rsid w:val="008C4426"/>
    <w:rsid w:val="008D18E7"/>
    <w:rsid w:val="008D3125"/>
    <w:rsid w:val="008F0025"/>
    <w:rsid w:val="008F0432"/>
    <w:rsid w:val="008F398C"/>
    <w:rsid w:val="00902CE5"/>
    <w:rsid w:val="0090413C"/>
    <w:rsid w:val="00906117"/>
    <w:rsid w:val="00906C85"/>
    <w:rsid w:val="009157A3"/>
    <w:rsid w:val="00915EDC"/>
    <w:rsid w:val="009179EA"/>
    <w:rsid w:val="0092289A"/>
    <w:rsid w:val="0092647E"/>
    <w:rsid w:val="00932021"/>
    <w:rsid w:val="009337AA"/>
    <w:rsid w:val="0094580F"/>
    <w:rsid w:val="00946397"/>
    <w:rsid w:val="00974A7B"/>
    <w:rsid w:val="009838A7"/>
    <w:rsid w:val="00992F1C"/>
    <w:rsid w:val="00996B77"/>
    <w:rsid w:val="009B4E5D"/>
    <w:rsid w:val="009D106C"/>
    <w:rsid w:val="009E0D17"/>
    <w:rsid w:val="009E4A2A"/>
    <w:rsid w:val="009E4C9A"/>
    <w:rsid w:val="009F53CB"/>
    <w:rsid w:val="00A164D4"/>
    <w:rsid w:val="00A21D18"/>
    <w:rsid w:val="00A53292"/>
    <w:rsid w:val="00A5660B"/>
    <w:rsid w:val="00A6444A"/>
    <w:rsid w:val="00A727B4"/>
    <w:rsid w:val="00A80DB9"/>
    <w:rsid w:val="00A83B74"/>
    <w:rsid w:val="00AC38BB"/>
    <w:rsid w:val="00AD1DAD"/>
    <w:rsid w:val="00AD2724"/>
    <w:rsid w:val="00AE4319"/>
    <w:rsid w:val="00AE57E8"/>
    <w:rsid w:val="00AE6D71"/>
    <w:rsid w:val="00B037B2"/>
    <w:rsid w:val="00B1222F"/>
    <w:rsid w:val="00B27315"/>
    <w:rsid w:val="00B27F65"/>
    <w:rsid w:val="00B31A65"/>
    <w:rsid w:val="00B33528"/>
    <w:rsid w:val="00B34AE8"/>
    <w:rsid w:val="00B37638"/>
    <w:rsid w:val="00B57DF4"/>
    <w:rsid w:val="00B64240"/>
    <w:rsid w:val="00B842C0"/>
    <w:rsid w:val="00BA058E"/>
    <w:rsid w:val="00BA4211"/>
    <w:rsid w:val="00BA4609"/>
    <w:rsid w:val="00BA517E"/>
    <w:rsid w:val="00BA5AE1"/>
    <w:rsid w:val="00BC5AB1"/>
    <w:rsid w:val="00BD3CA7"/>
    <w:rsid w:val="00BD67F6"/>
    <w:rsid w:val="00BD7BB0"/>
    <w:rsid w:val="00BE54D2"/>
    <w:rsid w:val="00C141F6"/>
    <w:rsid w:val="00C2107B"/>
    <w:rsid w:val="00C26A31"/>
    <w:rsid w:val="00C32145"/>
    <w:rsid w:val="00C36201"/>
    <w:rsid w:val="00C41865"/>
    <w:rsid w:val="00C47331"/>
    <w:rsid w:val="00C47852"/>
    <w:rsid w:val="00C61354"/>
    <w:rsid w:val="00C84912"/>
    <w:rsid w:val="00C84ACD"/>
    <w:rsid w:val="00C95269"/>
    <w:rsid w:val="00CA6128"/>
    <w:rsid w:val="00CB46CD"/>
    <w:rsid w:val="00CC0B60"/>
    <w:rsid w:val="00CD081F"/>
    <w:rsid w:val="00CD5218"/>
    <w:rsid w:val="00CE0430"/>
    <w:rsid w:val="00CF057D"/>
    <w:rsid w:val="00D03882"/>
    <w:rsid w:val="00D04B41"/>
    <w:rsid w:val="00D11792"/>
    <w:rsid w:val="00D15B53"/>
    <w:rsid w:val="00D42F5D"/>
    <w:rsid w:val="00D43D37"/>
    <w:rsid w:val="00D535DA"/>
    <w:rsid w:val="00D642FC"/>
    <w:rsid w:val="00D72A0F"/>
    <w:rsid w:val="00D77FC5"/>
    <w:rsid w:val="00DC3BBC"/>
    <w:rsid w:val="00DC6627"/>
    <w:rsid w:val="00DC70CC"/>
    <w:rsid w:val="00DC73C9"/>
    <w:rsid w:val="00DC7F8C"/>
    <w:rsid w:val="00DE1F45"/>
    <w:rsid w:val="00DE293E"/>
    <w:rsid w:val="00DE5060"/>
    <w:rsid w:val="00DF4F2F"/>
    <w:rsid w:val="00E011E9"/>
    <w:rsid w:val="00E174B7"/>
    <w:rsid w:val="00E66968"/>
    <w:rsid w:val="00E736F2"/>
    <w:rsid w:val="00E73EFD"/>
    <w:rsid w:val="00E766C2"/>
    <w:rsid w:val="00E86111"/>
    <w:rsid w:val="00EA2C10"/>
    <w:rsid w:val="00EA570F"/>
    <w:rsid w:val="00EA6E63"/>
    <w:rsid w:val="00EC6DCB"/>
    <w:rsid w:val="00ED05E5"/>
    <w:rsid w:val="00EE45E2"/>
    <w:rsid w:val="00EF26A6"/>
    <w:rsid w:val="00EF3A38"/>
    <w:rsid w:val="00F030F1"/>
    <w:rsid w:val="00F06C69"/>
    <w:rsid w:val="00F150FB"/>
    <w:rsid w:val="00F45321"/>
    <w:rsid w:val="00F62A92"/>
    <w:rsid w:val="00F648F7"/>
    <w:rsid w:val="00F67AB0"/>
    <w:rsid w:val="00F67B42"/>
    <w:rsid w:val="00F7657E"/>
    <w:rsid w:val="00FA69C0"/>
    <w:rsid w:val="00FB3B4D"/>
    <w:rsid w:val="00FB6574"/>
    <w:rsid w:val="00FC4563"/>
    <w:rsid w:val="00FD7E8A"/>
    <w:rsid w:val="00FE164E"/>
    <w:rsid w:val="00FE6D1E"/>
    <w:rsid w:val="010212D3"/>
    <w:rsid w:val="01752EEC"/>
    <w:rsid w:val="01AC54CC"/>
    <w:rsid w:val="0432222E"/>
    <w:rsid w:val="05C93797"/>
    <w:rsid w:val="06F1205B"/>
    <w:rsid w:val="07193A6D"/>
    <w:rsid w:val="09055EDD"/>
    <w:rsid w:val="094B5E78"/>
    <w:rsid w:val="09D65705"/>
    <w:rsid w:val="0C081499"/>
    <w:rsid w:val="0DD146F3"/>
    <w:rsid w:val="0DE7702B"/>
    <w:rsid w:val="0F7B5746"/>
    <w:rsid w:val="105459B2"/>
    <w:rsid w:val="12DB4186"/>
    <w:rsid w:val="12FA27EF"/>
    <w:rsid w:val="149C6ED6"/>
    <w:rsid w:val="15472155"/>
    <w:rsid w:val="156F6517"/>
    <w:rsid w:val="17C67BCF"/>
    <w:rsid w:val="17CF1E12"/>
    <w:rsid w:val="18504F11"/>
    <w:rsid w:val="1A5735EF"/>
    <w:rsid w:val="1A804B59"/>
    <w:rsid w:val="1C0C3C77"/>
    <w:rsid w:val="1CDA49C2"/>
    <w:rsid w:val="1DF801B2"/>
    <w:rsid w:val="1F58635D"/>
    <w:rsid w:val="219E52EF"/>
    <w:rsid w:val="22C30ADC"/>
    <w:rsid w:val="23F30F1C"/>
    <w:rsid w:val="247E72A7"/>
    <w:rsid w:val="2494750E"/>
    <w:rsid w:val="251B1BA0"/>
    <w:rsid w:val="262C32B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50514F8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3F63C91"/>
    <w:rsid w:val="449B0E30"/>
    <w:rsid w:val="44C77B6B"/>
    <w:rsid w:val="459317E9"/>
    <w:rsid w:val="45E81812"/>
    <w:rsid w:val="46122757"/>
    <w:rsid w:val="46591125"/>
    <w:rsid w:val="49A45029"/>
    <w:rsid w:val="4A037E9C"/>
    <w:rsid w:val="4A0E7F9A"/>
    <w:rsid w:val="4A9F7723"/>
    <w:rsid w:val="4B725619"/>
    <w:rsid w:val="4C6034BC"/>
    <w:rsid w:val="4CDA310C"/>
    <w:rsid w:val="4E016B22"/>
    <w:rsid w:val="4F2E566D"/>
    <w:rsid w:val="4F454AFF"/>
    <w:rsid w:val="4FA56778"/>
    <w:rsid w:val="4FFE3514"/>
    <w:rsid w:val="509427E0"/>
    <w:rsid w:val="50CC27E1"/>
    <w:rsid w:val="51B336FF"/>
    <w:rsid w:val="52436CDA"/>
    <w:rsid w:val="52782A7B"/>
    <w:rsid w:val="53352C01"/>
    <w:rsid w:val="53CC0384"/>
    <w:rsid w:val="55FB3E3B"/>
    <w:rsid w:val="57D350CB"/>
    <w:rsid w:val="58641705"/>
    <w:rsid w:val="599F4978"/>
    <w:rsid w:val="5A6D5723"/>
    <w:rsid w:val="5AA83904"/>
    <w:rsid w:val="5CB8517D"/>
    <w:rsid w:val="5CD33A8C"/>
    <w:rsid w:val="5D1C7825"/>
    <w:rsid w:val="5D423C53"/>
    <w:rsid w:val="5F800205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C005A9"/>
    <w:rsid w:val="7B650D27"/>
    <w:rsid w:val="7B972A5D"/>
    <w:rsid w:val="7BA33F9B"/>
    <w:rsid w:val="7C9C14A2"/>
    <w:rsid w:val="7DFA3422"/>
    <w:rsid w:val="7F0561F0"/>
    <w:rsid w:val="7F613BF7"/>
    <w:rsid w:val="7FDC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link w:val="15"/>
    <w:qFormat/>
    <w:uiPriority w:val="99"/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qFormat/>
    <w:uiPriority w:val="0"/>
    <w:rPr>
      <w:rFonts w:cs="Times New Roman"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4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5">
    <w:name w:val="称呼 字符"/>
    <w:basedOn w:val="9"/>
    <w:link w:val="3"/>
    <w:qFormat/>
    <w:uiPriority w:val="99"/>
    <w:rPr>
      <w:rFonts w:ascii="Calibri" w:hAnsi="Calibri" w:eastAsia="仿宋_GB2312"/>
      <w:kern w:val="32"/>
      <w:sz w:val="32"/>
    </w:rPr>
  </w:style>
  <w:style w:type="character" w:customStyle="1" w:styleId="16">
    <w:name w:val="批注框文本 字符"/>
    <w:basedOn w:val="9"/>
    <w:link w:val="4"/>
    <w:qFormat/>
    <w:uiPriority w:val="0"/>
    <w:rPr>
      <w:rFonts w:ascii="Calibri" w:hAnsi="Calibri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1038</Words>
  <Characters>253</Characters>
  <Lines>2</Lines>
  <Paragraphs>2</Paragraphs>
  <TotalTime>13</TotalTime>
  <ScaleCrop>false</ScaleCrop>
  <LinksUpToDate>false</LinksUpToDate>
  <CharactersWithSpaces>1289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2024-02-21T23:52:00Z</dcterms:created>
  <dc:creator>郑凯宁</dc:creator>
  <cp:lastModifiedBy>周文娟</cp:lastModifiedBy>
  <cp:lastPrinted>2024-06-26T03:01:28Z</cp:lastPrinted>
  <dcterms:modified xsi:type="dcterms:W3CDTF">2024-06-26T03:04:09Z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2BF0F0961C22490EAA7189F109DF967C</vt:lpwstr>
  </property>
</Properties>
</file>