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提请减刑建议书</w:t>
      </w:r>
    </w:p>
    <w:p>
      <w:pPr>
        <w:spacing w:line="600" w:lineRule="exact"/>
        <w:jc w:val="right"/>
        <w:rPr>
          <w:rFonts w:hint="eastAsia" w:ascii="楷体" w:hAnsi="楷体" w:eastAsia="楷体" w:cs="楷体_GB2312"/>
          <w:szCs w:val="32"/>
        </w:rPr>
      </w:pPr>
      <w:r>
        <w:rPr>
          <w:rFonts w:hint="eastAsia" w:ascii="楷体" w:hAnsi="楷体" w:eastAsia="楷体" w:cs="楷体_GB2312"/>
          <w:szCs w:val="32"/>
        </w:rPr>
        <w:t>〔2024〕闽厦狱减字第503号</w:t>
      </w:r>
    </w:p>
    <w:p>
      <w:pPr>
        <w:spacing w:line="460" w:lineRule="exact"/>
        <w:ind w:firstLine="640" w:firstLineChars="200"/>
        <w:rPr>
          <w:rFonts w:hint="eastAsia" w:ascii="仿宋_GB2312"/>
          <w:szCs w:val="32"/>
        </w:rPr>
      </w:pPr>
      <w:r>
        <w:rPr>
          <w:rFonts w:hint="eastAsia" w:ascii="仿宋_GB2312" w:hAnsi="仿宋_GB2312" w:eastAsia="仿宋_GB2312" w:cs="仿宋_GB2312"/>
          <w:szCs w:val="32"/>
        </w:rPr>
        <w:t>罪犯彭杰，男，1979年9月4日出生，汉族，高中文化，原户籍所在地江西省吉安市</w:t>
      </w:r>
      <w:bookmarkStart w:id="0" w:name="_GoBack"/>
      <w:bookmarkEnd w:id="0"/>
      <w:r>
        <w:rPr>
          <w:rFonts w:hint="eastAsia" w:ascii="仿宋_GB2312" w:hAnsi="仿宋_GB2312" w:eastAsia="仿宋_GB2312" w:cs="仿宋_GB2312"/>
          <w:szCs w:val="32"/>
        </w:rPr>
        <w:t>。2001年因犯贩卖毒品罪被江西省吉安市吉州区人民法院判处有期徒刑四年，2005年1月15日刑满释放。2006年9月7日因犯盗窃罪被江西省吉安市吉州区人民法院判处有期徒刑一年六个月，2007年8月24日刑满释放。</w:t>
      </w:r>
    </w:p>
    <w:p>
      <w:pPr>
        <w:spacing w:line="460" w:lineRule="exact"/>
        <w:ind w:firstLine="640" w:firstLineChars="200"/>
        <w:rPr>
          <w:rFonts w:hint="eastAsia" w:ascii="仿宋_GB2312"/>
          <w:szCs w:val="32"/>
        </w:rPr>
      </w:pPr>
      <w:r>
        <w:rPr>
          <w:rFonts w:hint="eastAsia" w:ascii="仿宋_GB2312"/>
          <w:szCs w:val="32"/>
        </w:rPr>
        <w:t>福建省泉州市中级人民法院于2019年10月28日作出（2019）闽05刑初69号刑事判决，以被告人彭杰犯贩卖毒品罪，判处无期徒刑，剥夺政治权利终身，并处没收个人全部财产。该犯及其同案犯不服，提出上诉。福建省高级人民法院于2020年1月14日作出（2019）闽刑终313号刑事裁定，裁定：撤销福建省泉州市中级人民法院（2019）闽05刑初69号刑事判决，发回福建省泉州市中级人民法院重新审判。福建省泉州市中级人民法院于2020年10月27日作出（2020）闽05刑初5号刑事判决，以被告人彭杰犯贩卖毒品罪，判处无期徒刑，剥夺政治权利终身，并处没收个人全部财产，继续追缴违法所得全部。该犯及其同案犯不服，提出上诉。福建省高级人民法院于2021年1月25日作出（2020）闽刑终282号刑事裁定，裁定：驳回上诉，维持原判。刑期自2021年1月29日起，2021年3月18日交付福建省厦门监狱执行刑罚，现属普管管理级罪犯。</w:t>
      </w:r>
    </w:p>
    <w:p>
      <w:pPr>
        <w:spacing w:line="460" w:lineRule="exact"/>
        <w:ind w:firstLine="640" w:firstLineChars="200"/>
        <w:rPr>
          <w:rFonts w:hint="eastAsia" w:ascii="仿宋_GB2312"/>
          <w:szCs w:val="32"/>
        </w:rPr>
      </w:pPr>
      <w:r>
        <w:rPr>
          <w:rFonts w:hint="eastAsia" w:ascii="仿宋_GB2312"/>
          <w:szCs w:val="32"/>
        </w:rPr>
        <w:t>罪犯彭杰自入监以来确有悔改表现，具体事实如下：</w:t>
      </w:r>
    </w:p>
    <w:p>
      <w:pPr>
        <w:spacing w:line="460" w:lineRule="exact"/>
        <w:ind w:firstLine="640" w:firstLineChars="200"/>
        <w:rPr>
          <w:rFonts w:hint="eastAsia" w:ascii="仿宋_GB2312" w:hAnsi="仿宋"/>
          <w:iCs/>
          <w:color w:val="000000"/>
          <w:kern w:val="2"/>
          <w:szCs w:val="32"/>
        </w:rPr>
      </w:pPr>
      <w:r>
        <w:rPr>
          <w:rFonts w:hint="eastAsia" w:ascii="仿宋_GB2312" w:hAnsi="仿宋"/>
          <w:iCs/>
          <w:kern w:val="2"/>
          <w:szCs w:val="32"/>
        </w:rPr>
        <w:t>认罪悔罪：能服从法院判决，自书认罪悔罪书</w:t>
      </w:r>
      <w:r>
        <w:rPr>
          <w:rFonts w:hint="eastAsia" w:ascii="仿宋_GB2312" w:hAnsi="仿宋"/>
          <w:iCs/>
          <w:color w:val="000000"/>
          <w:kern w:val="2"/>
          <w:szCs w:val="32"/>
        </w:rPr>
        <w:t>。</w:t>
      </w:r>
    </w:p>
    <w:p>
      <w:pPr>
        <w:spacing w:line="460" w:lineRule="exact"/>
        <w:ind w:firstLine="640" w:firstLineChars="200"/>
        <w:rPr>
          <w:rFonts w:hint="eastAsia" w:ascii="仿宋_GB2312" w:hAnsi="仿宋" w:cs="宋体"/>
          <w:color w:val="000000"/>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r>
        <w:rPr>
          <w:rFonts w:hint="eastAsia" w:ascii="仿宋_GB2312" w:hAnsi="仿宋" w:cs="宋体"/>
          <w:color w:val="000000"/>
          <w:szCs w:val="32"/>
          <w:lang w:val="zh-CN"/>
        </w:rPr>
        <w:t>。</w:t>
      </w:r>
    </w:p>
    <w:p>
      <w:pPr>
        <w:spacing w:line="460" w:lineRule="exact"/>
        <w:ind w:firstLine="640" w:firstLineChars="200"/>
        <w:rPr>
          <w:rFonts w:hint="eastAsia"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spacing w:line="460" w:lineRule="exact"/>
        <w:ind w:firstLine="640" w:firstLineChars="200"/>
        <w:rPr>
          <w:rFonts w:hint="eastAsia" w:ascii="仿宋_GB2312"/>
          <w:szCs w:val="32"/>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spacing w:line="460" w:lineRule="exact"/>
        <w:ind w:firstLine="640" w:firstLineChars="200"/>
        <w:rPr>
          <w:rFonts w:hint="eastAsia" w:ascii="仿宋_GB2312"/>
          <w:szCs w:val="32"/>
        </w:rPr>
      </w:pPr>
      <w:r>
        <w:rPr>
          <w:rFonts w:hint="eastAsia" w:ascii="仿宋_GB2312"/>
          <w:szCs w:val="32"/>
        </w:rPr>
        <w:t>奖惩情况：该犯考核期自2021年3月18日至2024年7月，累计获4125.5分，表扬6次。考核期内无违规扣分情形。</w:t>
      </w:r>
    </w:p>
    <w:p>
      <w:pPr>
        <w:spacing w:line="460" w:lineRule="exact"/>
        <w:ind w:firstLine="640" w:firstLineChars="200"/>
        <w:rPr>
          <w:rFonts w:hint="eastAsia" w:ascii="仿宋_GB2312"/>
          <w:szCs w:val="32"/>
        </w:rPr>
      </w:pPr>
      <w:r>
        <w:rPr>
          <w:rFonts w:hint="eastAsia" w:ascii="仿宋_GB2312"/>
          <w:szCs w:val="32"/>
        </w:rPr>
        <w:t>该犯原判财产性判项处没收个人全部财产，继续追缴违法所得全部，已履行没收个人全部财产人民币2000元，本次向福建省高级人民法院履行人民币2000元。考核期内自助选购等处遇消费共消费人民币9835.17元，月均自助选购等处遇消费人民币239.88元，缴交后账户可用余额人民币0元。福建省泉州市中级法院于2024年7月8日复函载明：未发现该犯有《最高人民法院关于办理减刑、假释案件审查财产性判项执行问题的规定》（法释〔2024〕5号）第六条所述“拒不交代赃款、赃物去向”“隐瞒、藏匿、转移财产”“妨害财产性判项执行”“拒不申报或者虚假申报财产情况”情形，未发现该犯有可供执行的财产。</w:t>
      </w:r>
    </w:p>
    <w:p>
      <w:pPr>
        <w:spacing w:line="460" w:lineRule="exact"/>
        <w:ind w:firstLine="640" w:firstLineChars="200"/>
        <w:rPr>
          <w:rFonts w:hint="eastAsia" w:ascii="仿宋_GB2312"/>
          <w:szCs w:val="32"/>
        </w:rPr>
      </w:pPr>
      <w:r>
        <w:rPr>
          <w:rFonts w:hint="eastAsia" w:ascii="仿宋_GB2312"/>
          <w:szCs w:val="32"/>
        </w:rPr>
        <w:t>本案于2024年10月14日至2024年10月18日在狱内公示未收到不同意见。</w:t>
      </w:r>
    </w:p>
    <w:p>
      <w:pPr>
        <w:spacing w:line="460" w:lineRule="exact"/>
        <w:ind w:firstLine="640" w:firstLineChars="200"/>
        <w:rPr>
          <w:rFonts w:hint="eastAsia" w:ascii="仿宋_GB2312"/>
          <w:szCs w:val="32"/>
        </w:rPr>
      </w:pPr>
      <w:r>
        <w:rPr>
          <w:rFonts w:hint="eastAsia" w:ascii="仿宋_GB2312"/>
          <w:szCs w:val="32"/>
        </w:rPr>
        <w:t>因此，依照《中华人民共和国刑法》第五十七条、第七十八条</w:t>
      </w:r>
      <w:r>
        <w:rPr>
          <w:rFonts w:hint="eastAsia" w:ascii="仿宋_GB2312"/>
          <w:szCs w:val="32"/>
          <w:lang w:eastAsia="zh-CN"/>
        </w:rPr>
        <w:t>，</w:t>
      </w:r>
      <w:r>
        <w:rPr>
          <w:rFonts w:hint="eastAsia" w:ascii="仿宋_GB2312"/>
          <w:szCs w:val="32"/>
        </w:rPr>
        <w:t>《中华人民共和国刑事诉讼法》第二百七十三条第二款和《中华人民共和国监狱法》第二十九条</w:t>
      </w:r>
      <w:r>
        <w:rPr>
          <w:rFonts w:hint="eastAsia" w:ascii="仿宋_GB2312"/>
          <w:szCs w:val="32"/>
          <w:lang w:eastAsia="zh-CN"/>
        </w:rPr>
        <w:t>之</w:t>
      </w:r>
      <w:r>
        <w:rPr>
          <w:rFonts w:hint="eastAsia" w:ascii="仿宋_GB2312"/>
          <w:szCs w:val="32"/>
        </w:rPr>
        <w:t>规定，建议对罪犯彭杰减为有期徒刑二十二年，剥夺政治权利改为十年。特提请你院审理裁定。</w:t>
      </w:r>
    </w:p>
    <w:p>
      <w:pPr>
        <w:spacing w:line="460" w:lineRule="exact"/>
        <w:ind w:firstLine="640" w:firstLineChars="200"/>
        <w:rPr>
          <w:rFonts w:hint="eastAsia" w:ascii="仿宋_GB2312"/>
          <w:szCs w:val="32"/>
        </w:rPr>
      </w:pPr>
      <w:r>
        <w:rPr>
          <w:rFonts w:hint="eastAsia" w:ascii="仿宋_GB2312"/>
          <w:szCs w:val="32"/>
        </w:rPr>
        <w:t>此致</w:t>
      </w:r>
    </w:p>
    <w:p>
      <w:pPr>
        <w:spacing w:line="460" w:lineRule="exact"/>
        <w:rPr>
          <w:rFonts w:hint="eastAsia" w:ascii="仿宋_GB2312"/>
          <w:szCs w:val="32"/>
        </w:rPr>
      </w:pPr>
      <w:r>
        <w:rPr>
          <w:rFonts w:hint="eastAsia" w:ascii="仿宋_GB2312"/>
          <w:szCs w:val="32"/>
        </w:rPr>
        <w:t>福建省高级人民法院</w:t>
      </w:r>
    </w:p>
    <w:p>
      <w:pPr>
        <w:spacing w:line="460" w:lineRule="exact"/>
        <w:ind w:firstLine="640" w:firstLineChars="200"/>
        <w:rPr>
          <w:rFonts w:hint="eastAsia" w:ascii="仿宋_GB2312"/>
          <w:szCs w:val="32"/>
        </w:rPr>
      </w:pPr>
      <w:r>
        <w:rPr>
          <w:rFonts w:hint="eastAsia" w:ascii="仿宋_GB2312"/>
          <w:szCs w:val="32"/>
        </w:rPr>
        <w:t>附件：</w:t>
      </w:r>
      <w:r>
        <w:rPr>
          <w:rFonts w:hint="eastAsia" w:ascii="仿宋_GB2312"/>
          <w:szCs w:val="32"/>
          <w:lang w:val="en-US" w:eastAsia="zh-CN"/>
        </w:rPr>
        <w:t>1、</w:t>
      </w:r>
      <w:r>
        <w:rPr>
          <w:rFonts w:hint="eastAsia" w:ascii="仿宋_GB2312"/>
          <w:szCs w:val="32"/>
        </w:rPr>
        <w:t>罪犯彭杰卷宗2册</w:t>
      </w:r>
    </w:p>
    <w:p>
      <w:pPr>
        <w:numPr>
          <w:ilvl w:val="0"/>
          <w:numId w:val="0"/>
        </w:numPr>
        <w:spacing w:line="460" w:lineRule="exact"/>
        <w:ind w:left="640" w:leftChars="0" w:firstLine="320" w:firstLineChars="100"/>
        <w:rPr>
          <w:rFonts w:ascii="仿宋_GB2312"/>
          <w:szCs w:val="32"/>
        </w:rPr>
      </w:pPr>
      <w:r>
        <w:rPr>
          <w:rFonts w:hint="eastAsia" w:ascii="仿宋_GB2312"/>
          <w:szCs w:val="32"/>
          <w:lang w:val="en-US" w:eastAsia="zh-CN"/>
        </w:rPr>
        <w:t xml:space="preserve">    2、</w:t>
      </w:r>
      <w:r>
        <w:rPr>
          <w:rFonts w:hint="eastAsia" w:ascii="仿宋_GB2312"/>
          <w:szCs w:val="32"/>
        </w:rPr>
        <w:t>减刑建议书2份</w:t>
      </w:r>
    </w:p>
    <w:p>
      <w:pPr>
        <w:spacing w:line="460" w:lineRule="exact"/>
        <w:ind w:right="1213" w:rightChars="379" w:firstLine="614" w:firstLineChars="192"/>
        <w:jc w:val="right"/>
        <w:rPr>
          <w:rFonts w:hint="eastAsia" w:ascii="仿宋_GB2312"/>
          <w:szCs w:val="32"/>
        </w:rPr>
      </w:pPr>
      <w:r>
        <w:rPr>
          <w:rFonts w:hint="eastAsia" w:ascii="仿宋_GB2312"/>
          <w:szCs w:val="32"/>
        </w:rPr>
        <w:t>福建省厦门监狱</w:t>
      </w:r>
    </w:p>
    <w:p>
      <w:pPr>
        <w:spacing w:line="460" w:lineRule="exact"/>
        <w:ind w:right="1213" w:rightChars="379" w:firstLine="614" w:firstLineChars="192"/>
        <w:jc w:val="right"/>
        <w:rPr>
          <w:rFonts w:ascii="仿宋_GB2312"/>
          <w:szCs w:val="32"/>
        </w:rPr>
        <w:sectPr>
          <w:footerReference r:id="rId3" w:type="even"/>
          <w:type w:val="continuous"/>
          <w:pgSz w:w="11907" w:h="16840"/>
          <w:pgMar w:top="1871" w:right="1304" w:bottom="1871" w:left="1588" w:header="1588" w:footer="1588" w:gutter="0"/>
          <w:cols w:space="720" w:num="1"/>
          <w:docGrid w:type="lines" w:linePitch="595" w:charSpace="-6554"/>
        </w:sectPr>
      </w:pPr>
    </w:p>
    <w:p>
      <w:pPr>
        <w:spacing w:line="460" w:lineRule="exact"/>
        <w:ind w:right="954" w:rightChars="298"/>
        <w:jc w:val="right"/>
        <w:rPr>
          <w:rFonts w:hint="eastAsia" w:ascii="方正小标宋简体" w:eastAsia="方正小标宋简体"/>
          <w:sz w:val="44"/>
          <w:szCs w:val="44"/>
        </w:rPr>
      </w:pPr>
      <w:r>
        <w:rPr>
          <w:rFonts w:hint="eastAsia" w:ascii="仿宋_GB2312"/>
          <w:szCs w:val="32"/>
        </w:rPr>
        <w:t>2024年10月21日</w:t>
      </w:r>
    </w:p>
    <w:sectPr>
      <w:type w:val="continuous"/>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大标宋简体">
    <w:altName w:val="Arial Unicode MS"/>
    <w:panose1 w:val="03000509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attachedTemplate r:id="rId1"/>
  <w:documentProtection w:enforcement="0"/>
  <w:defaultTabStop w:val="425"/>
  <w:hyphenationZone w:val="360"/>
  <w:drawingGridHorizontalSpacing w:val="287"/>
  <w:drawingGridVerticalSpacing w:val="595"/>
  <w:displayHorizontalDrawingGridEvery w:val="1"/>
  <w:displayVerticalDrawingGridEvery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9F71A8"/>
    <w:rsid w:val="000151F4"/>
    <w:rsid w:val="000169E8"/>
    <w:rsid w:val="00023C42"/>
    <w:rsid w:val="000375B0"/>
    <w:rsid w:val="00043E78"/>
    <w:rsid w:val="000456EC"/>
    <w:rsid w:val="0007248B"/>
    <w:rsid w:val="00080B36"/>
    <w:rsid w:val="000948E8"/>
    <w:rsid w:val="000E0942"/>
    <w:rsid w:val="000F093A"/>
    <w:rsid w:val="00105EC4"/>
    <w:rsid w:val="00110802"/>
    <w:rsid w:val="00117158"/>
    <w:rsid w:val="00137DFD"/>
    <w:rsid w:val="0014498B"/>
    <w:rsid w:val="00162229"/>
    <w:rsid w:val="00164C36"/>
    <w:rsid w:val="001667A1"/>
    <w:rsid w:val="00185013"/>
    <w:rsid w:val="0018737A"/>
    <w:rsid w:val="00196E05"/>
    <w:rsid w:val="001E7D1F"/>
    <w:rsid w:val="00203CDE"/>
    <w:rsid w:val="00204BFC"/>
    <w:rsid w:val="00214436"/>
    <w:rsid w:val="00215B44"/>
    <w:rsid w:val="00217760"/>
    <w:rsid w:val="0024575E"/>
    <w:rsid w:val="002511E5"/>
    <w:rsid w:val="00270003"/>
    <w:rsid w:val="002821D6"/>
    <w:rsid w:val="00282CB6"/>
    <w:rsid w:val="00295F21"/>
    <w:rsid w:val="002A3190"/>
    <w:rsid w:val="002C270B"/>
    <w:rsid w:val="002C2A4E"/>
    <w:rsid w:val="002C4408"/>
    <w:rsid w:val="002D39F5"/>
    <w:rsid w:val="002D78C0"/>
    <w:rsid w:val="0030665B"/>
    <w:rsid w:val="003434AF"/>
    <w:rsid w:val="0037523F"/>
    <w:rsid w:val="003762A0"/>
    <w:rsid w:val="00381CA8"/>
    <w:rsid w:val="003910EF"/>
    <w:rsid w:val="00394847"/>
    <w:rsid w:val="003C6C66"/>
    <w:rsid w:val="003D1757"/>
    <w:rsid w:val="003D58D4"/>
    <w:rsid w:val="003E3E45"/>
    <w:rsid w:val="003F13D7"/>
    <w:rsid w:val="003F74E0"/>
    <w:rsid w:val="00434DD4"/>
    <w:rsid w:val="00447D4F"/>
    <w:rsid w:val="004522C1"/>
    <w:rsid w:val="004666D2"/>
    <w:rsid w:val="004756E8"/>
    <w:rsid w:val="004B7D41"/>
    <w:rsid w:val="004F2933"/>
    <w:rsid w:val="005039B3"/>
    <w:rsid w:val="00506831"/>
    <w:rsid w:val="00531F5E"/>
    <w:rsid w:val="00540A30"/>
    <w:rsid w:val="005448F7"/>
    <w:rsid w:val="00550929"/>
    <w:rsid w:val="005662D1"/>
    <w:rsid w:val="00570747"/>
    <w:rsid w:val="00573010"/>
    <w:rsid w:val="005C5A63"/>
    <w:rsid w:val="005D0F93"/>
    <w:rsid w:val="00607FA8"/>
    <w:rsid w:val="00613718"/>
    <w:rsid w:val="006301B4"/>
    <w:rsid w:val="0065087E"/>
    <w:rsid w:val="006604A0"/>
    <w:rsid w:val="00674878"/>
    <w:rsid w:val="00680EAF"/>
    <w:rsid w:val="006835C1"/>
    <w:rsid w:val="006C0608"/>
    <w:rsid w:val="006C399C"/>
    <w:rsid w:val="006D0E73"/>
    <w:rsid w:val="006E0C81"/>
    <w:rsid w:val="006F6BB1"/>
    <w:rsid w:val="007318C1"/>
    <w:rsid w:val="007370EF"/>
    <w:rsid w:val="00743B61"/>
    <w:rsid w:val="00756083"/>
    <w:rsid w:val="00772A56"/>
    <w:rsid w:val="007824E9"/>
    <w:rsid w:val="007A63A9"/>
    <w:rsid w:val="007B3F4A"/>
    <w:rsid w:val="007C6091"/>
    <w:rsid w:val="007D4A98"/>
    <w:rsid w:val="007D54F9"/>
    <w:rsid w:val="007D72CA"/>
    <w:rsid w:val="007F095E"/>
    <w:rsid w:val="007F25CC"/>
    <w:rsid w:val="007F326E"/>
    <w:rsid w:val="007F7241"/>
    <w:rsid w:val="0082422A"/>
    <w:rsid w:val="0082469E"/>
    <w:rsid w:val="00834658"/>
    <w:rsid w:val="00835751"/>
    <w:rsid w:val="008476D9"/>
    <w:rsid w:val="00850932"/>
    <w:rsid w:val="008956F9"/>
    <w:rsid w:val="008F2E12"/>
    <w:rsid w:val="00903E2B"/>
    <w:rsid w:val="009179EA"/>
    <w:rsid w:val="00920328"/>
    <w:rsid w:val="0092769F"/>
    <w:rsid w:val="009337AA"/>
    <w:rsid w:val="00974A7B"/>
    <w:rsid w:val="00982549"/>
    <w:rsid w:val="0099079C"/>
    <w:rsid w:val="009A0103"/>
    <w:rsid w:val="009A232D"/>
    <w:rsid w:val="009B7FCE"/>
    <w:rsid w:val="009C36BA"/>
    <w:rsid w:val="009D1A18"/>
    <w:rsid w:val="009D1DFE"/>
    <w:rsid w:val="009D6B5D"/>
    <w:rsid w:val="009E4A2A"/>
    <w:rsid w:val="009E5B08"/>
    <w:rsid w:val="009F0D0F"/>
    <w:rsid w:val="00A01F85"/>
    <w:rsid w:val="00A05B27"/>
    <w:rsid w:val="00A067F7"/>
    <w:rsid w:val="00A07FD5"/>
    <w:rsid w:val="00A36B70"/>
    <w:rsid w:val="00A4296D"/>
    <w:rsid w:val="00A46398"/>
    <w:rsid w:val="00A52DED"/>
    <w:rsid w:val="00A53292"/>
    <w:rsid w:val="00A54C08"/>
    <w:rsid w:val="00A727B4"/>
    <w:rsid w:val="00A76A24"/>
    <w:rsid w:val="00A9115F"/>
    <w:rsid w:val="00A9597E"/>
    <w:rsid w:val="00AA10DB"/>
    <w:rsid w:val="00AA4A64"/>
    <w:rsid w:val="00AC2531"/>
    <w:rsid w:val="00AC5B53"/>
    <w:rsid w:val="00AD2BE2"/>
    <w:rsid w:val="00AF40CE"/>
    <w:rsid w:val="00B03F46"/>
    <w:rsid w:val="00B25BC3"/>
    <w:rsid w:val="00B36919"/>
    <w:rsid w:val="00B51DDE"/>
    <w:rsid w:val="00B601D2"/>
    <w:rsid w:val="00B63E29"/>
    <w:rsid w:val="00B842C0"/>
    <w:rsid w:val="00BA0FFF"/>
    <w:rsid w:val="00BC1F7B"/>
    <w:rsid w:val="00BC411B"/>
    <w:rsid w:val="00BC7FE8"/>
    <w:rsid w:val="00BD1D5B"/>
    <w:rsid w:val="00BE43A8"/>
    <w:rsid w:val="00BF0B98"/>
    <w:rsid w:val="00C05ED9"/>
    <w:rsid w:val="00C06EA6"/>
    <w:rsid w:val="00C36201"/>
    <w:rsid w:val="00C36B1E"/>
    <w:rsid w:val="00C53D0B"/>
    <w:rsid w:val="00C56992"/>
    <w:rsid w:val="00C72D38"/>
    <w:rsid w:val="00C81263"/>
    <w:rsid w:val="00CA14EF"/>
    <w:rsid w:val="00CA2D4B"/>
    <w:rsid w:val="00CE1BCE"/>
    <w:rsid w:val="00CF014D"/>
    <w:rsid w:val="00D011EE"/>
    <w:rsid w:val="00D03882"/>
    <w:rsid w:val="00D508C3"/>
    <w:rsid w:val="00D63A37"/>
    <w:rsid w:val="00D642FC"/>
    <w:rsid w:val="00D70A0F"/>
    <w:rsid w:val="00D77FC5"/>
    <w:rsid w:val="00D8230D"/>
    <w:rsid w:val="00D8613F"/>
    <w:rsid w:val="00D87166"/>
    <w:rsid w:val="00D8797D"/>
    <w:rsid w:val="00D940EA"/>
    <w:rsid w:val="00DC6627"/>
    <w:rsid w:val="00DE78AD"/>
    <w:rsid w:val="00DF5776"/>
    <w:rsid w:val="00E70E86"/>
    <w:rsid w:val="00E800D2"/>
    <w:rsid w:val="00E872A8"/>
    <w:rsid w:val="00E93A16"/>
    <w:rsid w:val="00E943A3"/>
    <w:rsid w:val="00EA0FD1"/>
    <w:rsid w:val="00EA4C78"/>
    <w:rsid w:val="00EB0A6E"/>
    <w:rsid w:val="00EB62C6"/>
    <w:rsid w:val="00ED05E5"/>
    <w:rsid w:val="00EF26A6"/>
    <w:rsid w:val="00F31431"/>
    <w:rsid w:val="00F4583E"/>
    <w:rsid w:val="00F51B40"/>
    <w:rsid w:val="00F56098"/>
    <w:rsid w:val="00F63DE2"/>
    <w:rsid w:val="00F64C14"/>
    <w:rsid w:val="00F92D30"/>
    <w:rsid w:val="00FA1EFC"/>
    <w:rsid w:val="00FA546C"/>
    <w:rsid w:val="00FA7D07"/>
    <w:rsid w:val="00FB3B4D"/>
    <w:rsid w:val="00FC5CA2"/>
    <w:rsid w:val="00FE69CC"/>
    <w:rsid w:val="00FF5C11"/>
    <w:rsid w:val="041C7ADF"/>
    <w:rsid w:val="04473361"/>
    <w:rsid w:val="09C1558F"/>
    <w:rsid w:val="0B77106E"/>
    <w:rsid w:val="0FD9401F"/>
    <w:rsid w:val="11267938"/>
    <w:rsid w:val="122F0D4E"/>
    <w:rsid w:val="131E64B9"/>
    <w:rsid w:val="13983772"/>
    <w:rsid w:val="147F76F5"/>
    <w:rsid w:val="149F71A8"/>
    <w:rsid w:val="14AA4E05"/>
    <w:rsid w:val="1629086A"/>
    <w:rsid w:val="1BDE1000"/>
    <w:rsid w:val="1DAC6C85"/>
    <w:rsid w:val="1E3A7189"/>
    <w:rsid w:val="1EE058A3"/>
    <w:rsid w:val="20CC23B9"/>
    <w:rsid w:val="228939FD"/>
    <w:rsid w:val="246C380B"/>
    <w:rsid w:val="25795221"/>
    <w:rsid w:val="26457FB6"/>
    <w:rsid w:val="27B57AFA"/>
    <w:rsid w:val="2B5E4EFB"/>
    <w:rsid w:val="2CF741D2"/>
    <w:rsid w:val="2D057E96"/>
    <w:rsid w:val="33A82237"/>
    <w:rsid w:val="345B2A56"/>
    <w:rsid w:val="3D4A4351"/>
    <w:rsid w:val="3E04175A"/>
    <w:rsid w:val="3E197A98"/>
    <w:rsid w:val="40D444FD"/>
    <w:rsid w:val="436A7377"/>
    <w:rsid w:val="44D7501B"/>
    <w:rsid w:val="45A26265"/>
    <w:rsid w:val="49EF1636"/>
    <w:rsid w:val="4BE471F0"/>
    <w:rsid w:val="4D523FD9"/>
    <w:rsid w:val="4F006ABE"/>
    <w:rsid w:val="4FA976E9"/>
    <w:rsid w:val="50A5680E"/>
    <w:rsid w:val="50C10E3E"/>
    <w:rsid w:val="51D432FE"/>
    <w:rsid w:val="558E1A9E"/>
    <w:rsid w:val="56D62BD5"/>
    <w:rsid w:val="5799066B"/>
    <w:rsid w:val="5A4D0DF5"/>
    <w:rsid w:val="5AF37A7C"/>
    <w:rsid w:val="5B2F5FBD"/>
    <w:rsid w:val="5C307F71"/>
    <w:rsid w:val="5DF259C1"/>
    <w:rsid w:val="628B5154"/>
    <w:rsid w:val="657F35AC"/>
    <w:rsid w:val="65BE1EFC"/>
    <w:rsid w:val="68491D25"/>
    <w:rsid w:val="6DBE3BC6"/>
    <w:rsid w:val="6F4C6E05"/>
    <w:rsid w:val="70284E8D"/>
    <w:rsid w:val="712B0995"/>
    <w:rsid w:val="72166990"/>
    <w:rsid w:val="72ED057D"/>
    <w:rsid w:val="73397235"/>
    <w:rsid w:val="789C4673"/>
    <w:rsid w:val="7B4C1396"/>
    <w:rsid w:val="7CD664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page number"/>
    <w:basedOn w:val="8"/>
    <w:qFormat/>
    <w:uiPriority w:val="0"/>
  </w:style>
  <w:style w:type="character" w:customStyle="1" w:styleId="10">
    <w:name w:val="批注框文本 Char"/>
    <w:link w:val="3"/>
    <w:uiPriority w:val="0"/>
    <w:rPr>
      <w:rFonts w:eastAsia="仿宋_GB2312"/>
      <w:kern w:val="32"/>
      <w:sz w:val="18"/>
      <w:szCs w:val="18"/>
    </w:rPr>
  </w:style>
  <w:style w:type="paragraph" w:customStyle="1" w:styleId="11">
    <w:name w:val="Body Text Indent1"/>
    <w:basedOn w:val="1"/>
    <w:qFormat/>
    <w:uiPriority w:val="0"/>
    <w:pPr>
      <w:ind w:left="420" w:leftChars="200"/>
    </w:pPr>
  </w:style>
  <w:style w:type="paragraph" w:customStyle="1" w:styleId="12">
    <w:name w:val="小小标题"/>
    <w:basedOn w:val="1"/>
    <w:qFormat/>
    <w:uiPriority w:val="0"/>
    <w:pPr>
      <w:ind w:firstLine="624"/>
    </w:pPr>
    <w:rPr>
      <w:rFonts w:eastAsia="楷体_GB2312"/>
      <w:b/>
    </w:rPr>
  </w:style>
  <w:style w:type="paragraph" w:customStyle="1" w:styleId="13">
    <w:name w:val="Body Text First Indent 21"/>
    <w:basedOn w:val="11"/>
    <w:qFormat/>
    <w:uiPriority w:val="0"/>
    <w:pPr>
      <w:spacing w:line="340" w:lineRule="exact"/>
      <w:ind w:right="-139" w:hanging="26" w:hangingChars="26"/>
    </w:pPr>
    <w:rPr>
      <w:rFonts w:ascii="华文中宋" w:hAnsi="华文中宋" w:eastAsia="华文中宋"/>
      <w:sz w:val="24"/>
    </w:rPr>
  </w:style>
  <w:style w:type="paragraph" w:customStyle="1" w:styleId="14">
    <w:name w:val="大标题"/>
    <w:basedOn w:val="1"/>
    <w:qFormat/>
    <w:uiPriority w:val="0"/>
    <w:pPr>
      <w:snapToGrid w:val="0"/>
      <w:jc w:val="center"/>
    </w:pPr>
    <w:rPr>
      <w:rFonts w:eastAsia="方正大标宋简体"/>
      <w:sz w:val="44"/>
    </w:rPr>
  </w:style>
  <w:style w:type="paragraph" w:customStyle="1" w:styleId="15">
    <w:name w:val="List Paragraph"/>
    <w:basedOn w:val="1"/>
    <w:qFormat/>
    <w:uiPriority w:val="99"/>
    <w:pPr>
      <w:ind w:firstLine="420" w:firstLineChars="200"/>
      <w:jc w:val="left"/>
    </w:pPr>
    <w:rPr>
      <w:rFonts w:hint="eastAsia" w:ascii="Courier New" w:hAnsi="Courier New" w:eastAsia="宋体"/>
      <w:iCs/>
      <w:color w:val="000000"/>
      <w:kern w:val="0"/>
      <w:sz w:val="40"/>
      <w:lang w:val="zh-CN"/>
    </w:rPr>
  </w:style>
  <w:style w:type="paragraph" w:customStyle="1" w:styleId="16">
    <w:name w:val="小标题"/>
    <w:basedOn w:val="1"/>
    <w:qFormat/>
    <w:uiPriority w:val="0"/>
    <w:pPr>
      <w:ind w:firstLine="624"/>
    </w:pPr>
    <w:rPr>
      <w:rFonts w:eastAsia="黑体"/>
    </w:rPr>
  </w:style>
  <w:style w:type="paragraph" w:customStyle="1" w:styleId="17">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福建省监狱管理局便笺.dot</Template>
  <Company>Sky123.Org</Company>
  <Pages>2</Pages>
  <Words>183</Words>
  <Characters>1045</Characters>
  <Lines>8</Lines>
  <Paragraphs>2</Paragraphs>
  <TotalTime>1</TotalTime>
  <ScaleCrop>false</ScaleCrop>
  <LinksUpToDate>false</LinksUpToDate>
  <CharactersWithSpaces>1226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2024-09-10T00:25:00Z</dcterms:created>
  <dc:creator>admin</dc:creator>
  <cp:lastModifiedBy>周文娟</cp:lastModifiedBy>
  <cp:lastPrinted>2024-09-06T09:04:00Z</cp:lastPrinted>
  <dcterms:modified xsi:type="dcterms:W3CDTF">2024-11-12T00:36:03Z</dcterms:modified>
  <dc:title>提请减刑案件分工审核表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E565F871EDDA497EA793B678F3E964FE</vt:lpwstr>
  </property>
</Properties>
</file>