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509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罪犯杨茂军，男，</w:t>
      </w:r>
      <w:r>
        <w:rPr>
          <w:rFonts w:ascii="仿宋_GB2312"/>
          <w:szCs w:val="32"/>
        </w:rPr>
        <w:t>1975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2月6日</w:t>
      </w:r>
      <w:r>
        <w:rPr>
          <w:rFonts w:hint="eastAsia" w:ascii="仿宋_GB2312"/>
          <w:szCs w:val="32"/>
        </w:rPr>
        <w:t>出生，汉族，初中文化，住湖北省潜江市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福建省泉州市中级人民法院于</w:t>
      </w:r>
      <w:r>
        <w:rPr>
          <w:rFonts w:ascii="仿宋_GB2312"/>
          <w:szCs w:val="32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12月29日</w:t>
      </w:r>
      <w:r>
        <w:rPr>
          <w:rFonts w:hint="eastAsia" w:ascii="仿宋_GB2312"/>
          <w:szCs w:val="32"/>
        </w:rPr>
        <w:t>作出(2020)闽05刑初80号刑事判决，以被告人杨茂军犯绑架罪，判处死刑，缓期二年执行，剥夺政治权利终身，并处没收个人全部财产。福建省高级人民法院于2022年6月28日作出（2021）闽刑核52710400号刑事裁定书，裁定核准泉州市中级人民法院</w:t>
      </w:r>
      <w:r>
        <w:rPr>
          <w:rFonts w:hint="eastAsia" w:ascii="仿宋_GB2312"/>
          <w:szCs w:val="32"/>
          <w:lang w:eastAsia="zh-CN"/>
        </w:rPr>
        <w:t>作出的</w:t>
      </w:r>
      <w:r>
        <w:rPr>
          <w:rFonts w:hint="eastAsia" w:ascii="仿宋_GB2312"/>
          <w:szCs w:val="32"/>
        </w:rPr>
        <w:t>(2020)闽05刑初80号刑事判决。死刑，缓期二年考验期自2022年7月22日起至2024年7月21日届满。</w:t>
      </w:r>
      <w:r>
        <w:rPr>
          <w:rFonts w:hint="eastAsia" w:ascii="仿宋_GB2312"/>
          <w:szCs w:val="32"/>
          <w:lang w:eastAsia="zh-CN"/>
        </w:rPr>
        <w:t>判决生效后，于</w:t>
      </w:r>
      <w:r>
        <w:rPr>
          <w:rFonts w:ascii="仿宋_GB2312"/>
          <w:szCs w:val="32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26日</w:t>
      </w:r>
      <w:r>
        <w:rPr>
          <w:rFonts w:hint="eastAsia" w:ascii="仿宋_GB2312"/>
          <w:szCs w:val="32"/>
        </w:rPr>
        <w:t>交付福建省厦门监狱执行刑罚。属考察级罪犯。</w:t>
      </w:r>
    </w:p>
    <w:p>
      <w:pPr>
        <w:pStyle w:val="6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 xml:space="preserve">罪犯杨茂军在死刑缓期执行期间没有故意犯罪，自入监以来改造表现如下： </w:t>
      </w:r>
    </w:p>
    <w:p>
      <w:pPr>
        <w:pStyle w:val="6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6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6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6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6"/>
        <w:spacing w:line="500" w:lineRule="exact"/>
        <w:ind w:firstLine="640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该犯考核期</w:t>
      </w:r>
      <w:r>
        <w:rPr>
          <w:rFonts w:ascii="仿宋_GB2312"/>
          <w:bCs/>
          <w:szCs w:val="32"/>
        </w:rPr>
        <w:t>2022</w:t>
      </w:r>
      <w:r>
        <w:rPr>
          <w:rFonts w:hint="eastAsia" w:ascii="仿宋_GB2312"/>
          <w:bCs/>
          <w:szCs w:val="32"/>
        </w:rPr>
        <w:t>年</w:t>
      </w:r>
      <w:r>
        <w:rPr>
          <w:rFonts w:ascii="仿宋_GB2312"/>
          <w:bCs/>
          <w:szCs w:val="32"/>
        </w:rPr>
        <w:t>9</w:t>
      </w:r>
      <w:r>
        <w:rPr>
          <w:rFonts w:hint="eastAsia" w:ascii="仿宋_GB2312"/>
          <w:bCs/>
          <w:szCs w:val="32"/>
        </w:rPr>
        <w:t>月</w:t>
      </w:r>
      <w:r>
        <w:rPr>
          <w:rFonts w:ascii="仿宋_GB2312"/>
          <w:bCs/>
          <w:szCs w:val="32"/>
        </w:rPr>
        <w:t>26日</w:t>
      </w:r>
      <w:r>
        <w:rPr>
          <w:rFonts w:hint="eastAsia" w:ascii="仿宋_GB2312"/>
          <w:bCs/>
          <w:szCs w:val="32"/>
        </w:rPr>
        <w:t>至2024年7月累计获考核分</w:t>
      </w:r>
      <w:r>
        <w:rPr>
          <w:rFonts w:ascii="仿宋_GB2312"/>
          <w:bCs/>
          <w:szCs w:val="32"/>
        </w:rPr>
        <w:t>2045</w:t>
      </w:r>
      <w:r>
        <w:rPr>
          <w:rFonts w:hint="eastAsia" w:ascii="仿宋_GB2312"/>
          <w:bCs/>
          <w:szCs w:val="32"/>
        </w:rPr>
        <w:t>分，表扬2个，物质奖励1次；无违规扣分。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该犯原判财产性判项没收个人全部财产，未履行。考核期内累计消费5717.68元，月均自选购物消费259.89元，账户可用余额753.46元。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 w:ascii="仿宋_GB2312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《中华人民共和国刑法》第五十条、第五十七条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《中华人民共和国刑事诉讼法》第二百六十一条和《中华人民共和国监狱法》第三十一条</w:t>
      </w:r>
      <w:r>
        <w:rPr>
          <w:rFonts w:hint="eastAsia" w:ascii="仿宋_GB2312" w:hAnsi="仿宋_GB2312" w:cs="仿宋_GB2312"/>
          <w:szCs w:val="32"/>
          <w:lang w:eastAsia="zh-CN"/>
        </w:rPr>
        <w:t>的</w:t>
      </w:r>
      <w:r>
        <w:rPr>
          <w:rFonts w:hint="eastAsia" w:ascii="仿宋_GB2312" w:hAnsi="仿宋_GB2312" w:cs="仿宋_GB2312"/>
          <w:szCs w:val="32"/>
        </w:rPr>
        <w:t>规定，建议对罪犯杨茂军减为无期徒刑，剥夺政治权利终身不变。</w:t>
      </w:r>
      <w:r>
        <w:rPr>
          <w:rFonts w:hint="eastAsia" w:ascii="仿宋_GB2312"/>
          <w:szCs w:val="32"/>
        </w:rPr>
        <w:t>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福建省高级人民法院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附件：⒈罪犯杨茂军卷宗2册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500" w:lineRule="exact"/>
        <w:ind w:right="1014" w:rightChars="317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jc w:val="left"/>
        <w:rPr>
          <w:rFonts w:ascii="黑体" w:hAnsi="黑体" w:eastAsia="黑体" w:cs="黑体"/>
          <w:sz w:val="28"/>
          <w:szCs w:val="32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A9"/>
    <w:rsid w:val="003257A9"/>
    <w:rsid w:val="00626972"/>
    <w:rsid w:val="09FE2C3A"/>
    <w:rsid w:val="56A7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5"/>
    <w:qFormat/>
    <w:uiPriority w:val="99"/>
    <w:rPr>
      <w:rFonts w:ascii="Calibri" w:hAnsi="Calibri" w:cs="Times New Roman"/>
    </w:rPr>
  </w:style>
  <w:style w:type="character" w:customStyle="1" w:styleId="5">
    <w:name w:val="称呼 Char"/>
    <w:basedOn w:val="4"/>
    <w:link w:val="2"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139</Words>
  <Characters>794</Characters>
  <Lines>6</Lines>
  <Paragraphs>1</Paragraphs>
  <TotalTime>4</TotalTime>
  <ScaleCrop>false</ScaleCrop>
  <LinksUpToDate>false</LinksUpToDate>
  <CharactersWithSpaces>932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2024-09-02T12:57:00Z</dcterms:created>
  <dc:creator>user</dc:creator>
  <cp:lastModifiedBy>周文娟</cp:lastModifiedBy>
  <dcterms:modified xsi:type="dcterms:W3CDTF">2024-10-21T09:26:24Z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9D4AF1BD5416452C83FC15CFCEB84B4F</vt:lpwstr>
  </property>
</Properties>
</file>