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600" w:lineRule="exact"/>
        <w:jc w:val="center"/>
        <w:rPr>
          <w:rFonts w:ascii="方正小标宋简体" w:hAnsi="仿宋" w:eastAsia="方正小标宋简体" w:cs="方正小标宋简体"/>
          <w:sz w:val="44"/>
          <w:szCs w:val="44"/>
        </w:rPr>
      </w:pPr>
      <w:r>
        <w:rPr>
          <w:rFonts w:hint="eastAsia" w:ascii="方正小标宋简体" w:hAnsi="仿宋" w:eastAsia="方正小标宋简体" w:cs="方正小标宋简体"/>
          <w:sz w:val="44"/>
          <w:szCs w:val="44"/>
        </w:rPr>
        <w:t>福建省厦门监狱</w:t>
      </w:r>
    </w:p>
    <w:p>
      <w:pPr>
        <w:snapToGrid w:val="0"/>
        <w:spacing w:line="600" w:lineRule="exact"/>
        <w:jc w:val="center"/>
        <w:rPr>
          <w:rFonts w:ascii="方正小标宋简体" w:hAnsi="仿宋" w:eastAsia="方正小标宋简体" w:cs="方正小标宋简体"/>
          <w:sz w:val="44"/>
          <w:szCs w:val="44"/>
        </w:rPr>
      </w:pPr>
      <w:r>
        <w:rPr>
          <w:rFonts w:hint="eastAsia" w:ascii="方正小标宋简体" w:hAnsi="仿宋" w:eastAsia="方正小标宋简体" w:cs="方正小标宋简体"/>
          <w:sz w:val="44"/>
          <w:szCs w:val="44"/>
        </w:rPr>
        <w:t>提请减刑建议书</w:t>
      </w:r>
    </w:p>
    <w:p>
      <w:pPr>
        <w:jc w:val="right"/>
        <w:rPr>
          <w:rFonts w:ascii="Times New Roman" w:hAnsi="Times New Roman" w:eastAsia="楷体_GB2312" w:cs="楷体_GB2312"/>
          <w:szCs w:val="32"/>
        </w:rPr>
      </w:pPr>
      <w:r>
        <w:rPr>
          <w:rFonts w:hint="eastAsia" w:ascii="Times New Roman" w:hAnsi="Times New Roman" w:eastAsia="楷体_GB2312" w:cs="楷体_GB2312"/>
          <w:szCs w:val="32"/>
        </w:rPr>
        <w:t>〔2024〕闽厦狱减字第644号</w:t>
      </w:r>
    </w:p>
    <w:p>
      <w:pPr>
        <w:jc w:val="right"/>
        <w:rPr>
          <w:rFonts w:ascii="Times New Roman" w:hAnsi="Times New Roman" w:eastAsia="楷体_GB2312" w:cs="楷体_GB2312"/>
          <w:szCs w:val="32"/>
        </w:rPr>
      </w:pPr>
    </w:p>
    <w:p>
      <w:pPr>
        <w:spacing w:line="520" w:lineRule="exact"/>
        <w:ind w:firstLine="640" w:firstLineChars="200"/>
        <w:rPr>
          <w:rFonts w:ascii="仿宋_GB2312" w:hAnsi="仿宋"/>
          <w:szCs w:val="32"/>
        </w:rPr>
      </w:pPr>
      <w:r>
        <w:rPr>
          <w:rFonts w:hint="eastAsia" w:ascii="仿宋_GB2312" w:hAnsi="仿宋"/>
          <w:szCs w:val="32"/>
        </w:rPr>
        <w:t>罪犯郑安海</w:t>
      </w:r>
      <w:r>
        <w:rPr>
          <w:rFonts w:hint="eastAsia" w:ascii="仿宋_GB2312" w:hAnsi="仿宋"/>
          <w:szCs w:val="32"/>
        </w:rPr>
        <w:fldChar w:fldCharType="begin"/>
      </w:r>
      <w:r>
        <w:rPr>
          <w:rFonts w:hint="eastAsia" w:ascii="仿宋_GB2312" w:hAnsi="仿宋"/>
          <w:szCs w:val="32"/>
        </w:rPr>
        <w:instrText xml:space="preserve"> AUTOTEXTLIST  \* MERGEFORMAT </w:instrText>
      </w:r>
      <w:r>
        <w:rPr>
          <w:rFonts w:hint="eastAsia" w:ascii="仿宋_GB2312" w:hAnsi="仿宋"/>
          <w:szCs w:val="32"/>
        </w:rPr>
        <w:fldChar w:fldCharType="end"/>
      </w:r>
      <w:r>
        <w:rPr>
          <w:rFonts w:hint="eastAsia" w:ascii="仿宋_GB2312" w:hAnsi="仿宋"/>
          <w:szCs w:val="32"/>
        </w:rPr>
        <w:t>，男，1984年9月25日出生，汉族， 初中文化，户籍地</w:t>
      </w:r>
      <w:r>
        <w:rPr>
          <w:rFonts w:hint="eastAsia" w:ascii="仿宋_GB2312" w:hAnsi="仿宋" w:cs="仿宋_GB2312"/>
          <w:szCs w:val="32"/>
        </w:rPr>
        <w:t>福建省漳州市</w:t>
      </w:r>
      <w:r>
        <w:rPr>
          <w:rFonts w:hint="eastAsia" w:ascii="仿宋_GB2312" w:hAnsi="仿宋"/>
          <w:szCs w:val="32"/>
        </w:rPr>
        <w:t>。</w:t>
      </w:r>
    </w:p>
    <w:p>
      <w:pPr>
        <w:spacing w:line="520" w:lineRule="exact"/>
        <w:ind w:firstLine="640" w:firstLineChars="200"/>
        <w:rPr>
          <w:rFonts w:ascii="仿宋_GB2312" w:hAnsi="仿宋"/>
          <w:szCs w:val="32"/>
        </w:rPr>
      </w:pPr>
      <w:r>
        <w:rPr>
          <w:rFonts w:hint="eastAsia" w:ascii="仿宋_GB2312" w:hAnsi="仿宋" w:cs="仿宋_GB2312"/>
          <w:szCs w:val="32"/>
        </w:rPr>
        <w:t>福建省漳州市中级人民法院于2020年11月26日作出（2020）闽06刑初33号刑事附带民事判决，以被告人郑安海犯故意伤害罪，判处无期徒刑，剥夺政治权利终身；犯危险驾驶罪，判处拘役二个月，并处罚金人民币一千元；决定执行无期徒刑，剥夺政治权利终身，并处罚金人民币一千元。赔偿附带民事诉讼经济损失人民币一百四十七万六千三百零四元九分，扣除已支付丧葬费人民币四万元，余款人民币一百四十三万六千三百零四元九分。该犯不服，提出上诉。福建省高级人民法院于2021年4月16日作出（2021）闽刑终28号刑事附带民事裁定：驳回上诉，维持原判。刑期自2021年5月31日起。</w:t>
      </w:r>
      <w:r>
        <w:rPr>
          <w:rFonts w:hint="eastAsia" w:ascii="仿宋_GB2312" w:hAnsi="仿宋" w:cs="仿宋_GB2312"/>
          <w:szCs w:val="32"/>
          <w:lang w:val="en-US" w:eastAsia="zh-CN"/>
        </w:rPr>
        <w:t>判决生效后，于</w:t>
      </w:r>
      <w:r>
        <w:rPr>
          <w:rFonts w:hint="eastAsia" w:ascii="仿宋_GB2312" w:hAnsi="仿宋" w:cs="仿宋_GB2312"/>
          <w:szCs w:val="32"/>
        </w:rPr>
        <w:t>2021年7月19日交付福建省厦门监狱执行刑罚。</w:t>
      </w:r>
      <w:r>
        <w:rPr>
          <w:rFonts w:hint="eastAsia" w:ascii="仿宋_GB2312" w:hAnsi="仿宋"/>
          <w:szCs w:val="32"/>
        </w:rPr>
        <w:t>属普管级罪犯。</w:t>
      </w:r>
    </w:p>
    <w:p>
      <w:pPr>
        <w:spacing w:line="520" w:lineRule="exact"/>
        <w:ind w:firstLine="640" w:firstLineChars="200"/>
        <w:rPr>
          <w:rFonts w:ascii="仿宋_GB2312" w:hAnsi="仿宋"/>
          <w:szCs w:val="32"/>
        </w:rPr>
      </w:pPr>
      <w:r>
        <w:rPr>
          <w:rFonts w:hint="eastAsia" w:ascii="仿宋_GB2312" w:hAnsi="仿宋"/>
          <w:szCs w:val="32"/>
        </w:rPr>
        <w:t>该犯自入监以来确有悔改表现，具体事实如下：</w:t>
      </w:r>
    </w:p>
    <w:p>
      <w:pPr>
        <w:pStyle w:val="13"/>
        <w:autoSpaceDE w:val="0"/>
        <w:autoSpaceDN w:val="0"/>
        <w:adjustRightInd w:val="0"/>
        <w:spacing w:line="520" w:lineRule="exact"/>
        <w:ind w:firstLine="640"/>
        <w:rPr>
          <w:rFonts w:ascii="仿宋_GB2312" w:hAnsi="仿宋"/>
          <w:iCs/>
          <w:kern w:val="2"/>
          <w:szCs w:val="32"/>
        </w:rPr>
      </w:pPr>
      <w:r>
        <w:rPr>
          <w:rFonts w:hint="eastAsia" w:ascii="仿宋_GB2312" w:hAnsi="仿宋"/>
          <w:iCs/>
          <w:kern w:val="2"/>
          <w:szCs w:val="32"/>
        </w:rPr>
        <w:t>认罪悔罪：能服从法院判决，自书认罪悔罪书。</w:t>
      </w:r>
    </w:p>
    <w:p>
      <w:pPr>
        <w:pStyle w:val="13"/>
        <w:autoSpaceDE w:val="0"/>
        <w:autoSpaceDN w:val="0"/>
        <w:adjustRightInd w:val="0"/>
        <w:spacing w:line="520" w:lineRule="exact"/>
        <w:ind w:firstLine="640"/>
        <w:rPr>
          <w:rFonts w:ascii="仿宋_GB2312" w:hAnsi="仿宋" w:cs="宋体"/>
          <w:szCs w:val="32"/>
          <w:lang w:val="zh-CN"/>
        </w:rPr>
      </w:pPr>
      <w:r>
        <w:rPr>
          <w:rFonts w:hint="eastAsia" w:ascii="仿宋_GB2312" w:hAnsi="仿宋"/>
          <w:szCs w:val="32"/>
        </w:rPr>
        <w:t>遵守监规</w:t>
      </w:r>
      <w:r>
        <w:rPr>
          <w:rFonts w:hint="eastAsia" w:ascii="仿宋_GB2312" w:hAnsi="仿宋" w:cs="宋体"/>
          <w:szCs w:val="32"/>
          <w:lang w:val="zh-CN"/>
        </w:rPr>
        <w:t>：能遵守法律法规及监规纪律，接受教育改造。</w:t>
      </w:r>
    </w:p>
    <w:p>
      <w:pPr>
        <w:pStyle w:val="13"/>
        <w:autoSpaceDE w:val="0"/>
        <w:autoSpaceDN w:val="0"/>
        <w:adjustRightInd w:val="0"/>
        <w:spacing w:line="520" w:lineRule="exact"/>
        <w:ind w:left="640" w:firstLine="0" w:firstLineChars="0"/>
        <w:rPr>
          <w:rFonts w:ascii="仿宋_GB2312" w:hAnsi="仿宋" w:cs="宋体"/>
          <w:szCs w:val="32"/>
          <w:lang w:val="zh-CN"/>
        </w:rPr>
      </w:pPr>
      <w:r>
        <w:rPr>
          <w:rFonts w:hint="eastAsia" w:ascii="仿宋_GB2312" w:hAnsi="仿宋" w:cs="宋体"/>
          <w:szCs w:val="32"/>
          <w:lang w:val="zh-CN"/>
        </w:rPr>
        <w:t>学习情况：能参加</w:t>
      </w:r>
      <w:r>
        <w:rPr>
          <w:rFonts w:hint="eastAsia" w:ascii="仿宋_GB2312" w:hAnsi="仿宋" w:cs="宋体"/>
          <w:szCs w:val="32"/>
        </w:rPr>
        <w:t>思想、文化、职业技术教育</w:t>
      </w:r>
      <w:r>
        <w:rPr>
          <w:rFonts w:hint="eastAsia" w:ascii="仿宋_GB2312" w:hAnsi="仿宋" w:cs="宋体"/>
          <w:szCs w:val="32"/>
          <w:lang w:val="zh-CN"/>
        </w:rPr>
        <w:t>。</w:t>
      </w:r>
    </w:p>
    <w:p>
      <w:pPr>
        <w:pStyle w:val="13"/>
        <w:autoSpaceDE w:val="0"/>
        <w:autoSpaceDN w:val="0"/>
        <w:adjustRightInd w:val="0"/>
        <w:spacing w:line="520" w:lineRule="exact"/>
        <w:ind w:firstLine="640"/>
        <w:rPr>
          <w:rFonts w:ascii="仿宋_GB2312" w:hAnsi="仿宋" w:cs="宋体"/>
          <w:szCs w:val="32"/>
          <w:lang w:val="zh-CN"/>
        </w:rPr>
      </w:pPr>
      <w:r>
        <w:rPr>
          <w:rFonts w:hint="eastAsia" w:ascii="仿宋_GB2312" w:hAnsi="仿宋" w:cs="宋体"/>
          <w:szCs w:val="32"/>
          <w:lang w:val="zh-CN"/>
        </w:rPr>
        <w:t>劳动改造：能参加劳动，努力完成</w:t>
      </w:r>
      <w:r>
        <w:rPr>
          <w:rFonts w:hint="eastAsia" w:ascii="仿宋_GB2312" w:hAnsi="仿宋" w:cs="宋体"/>
          <w:szCs w:val="32"/>
        </w:rPr>
        <w:t>劳动</w:t>
      </w:r>
      <w:r>
        <w:rPr>
          <w:rFonts w:hint="eastAsia" w:ascii="仿宋_GB2312" w:hAnsi="仿宋" w:cs="宋体"/>
          <w:szCs w:val="32"/>
          <w:lang w:val="zh-CN"/>
        </w:rPr>
        <w:t>任务。</w:t>
      </w:r>
    </w:p>
    <w:p>
      <w:pPr>
        <w:spacing w:line="520" w:lineRule="exact"/>
        <w:ind w:firstLine="640" w:firstLineChars="200"/>
        <w:rPr>
          <w:rFonts w:ascii="仿宋_GB2312" w:hAnsi="仿宋"/>
          <w:szCs w:val="32"/>
        </w:rPr>
      </w:pPr>
      <w:r>
        <w:rPr>
          <w:rFonts w:hint="eastAsia" w:ascii="仿宋_GB2312" w:hAnsi="仿宋" w:cs="宋体"/>
          <w:szCs w:val="32"/>
          <w:lang w:val="zh-CN"/>
        </w:rPr>
        <w:t>奖惩情况：该犯考核期2021年7月19日至2024年9月累计获4142.5分，表扬6次；考核期内</w:t>
      </w:r>
      <w:r>
        <w:rPr>
          <w:rFonts w:hint="eastAsia" w:ascii="仿宋_GB2312" w:hAnsi="仿宋"/>
          <w:szCs w:val="32"/>
        </w:rPr>
        <w:t>无违规扣分。</w:t>
      </w:r>
    </w:p>
    <w:p>
      <w:pPr>
        <w:spacing w:line="520" w:lineRule="exact"/>
        <w:ind w:firstLine="640" w:firstLineChars="200"/>
        <w:rPr>
          <w:rFonts w:ascii="仿宋_GB2312" w:hAnsi="仿宋"/>
          <w:szCs w:val="32"/>
        </w:rPr>
      </w:pPr>
      <w:r>
        <w:rPr>
          <w:rFonts w:hint="eastAsia" w:ascii="仿宋_GB2312" w:hAnsi="仿宋"/>
          <w:szCs w:val="32"/>
        </w:rPr>
        <w:t>原判财产性判项罚金1000元，民事赔偿1476304.09元，扣除</w:t>
      </w:r>
      <w:r>
        <w:rPr>
          <w:rFonts w:hint="eastAsia" w:ascii="仿宋_GB2312" w:hAnsi="仿宋" w:cs="仿宋_GB2312"/>
          <w:szCs w:val="32"/>
        </w:rPr>
        <w:t>已支付丧葬费人民币40000元，余款1436304.09元</w:t>
      </w:r>
      <w:r>
        <w:rPr>
          <w:rFonts w:hint="eastAsia" w:ascii="仿宋_GB2312" w:hAnsi="仿宋"/>
          <w:szCs w:val="32"/>
        </w:rPr>
        <w:t>。已履行</w:t>
      </w:r>
      <w:r>
        <w:rPr>
          <w:rFonts w:ascii="仿宋_GB2312" w:hAnsi="仿宋"/>
          <w:szCs w:val="32"/>
        </w:rPr>
        <w:t>9500元</w:t>
      </w:r>
      <w:r>
        <w:rPr>
          <w:rFonts w:hint="eastAsia" w:ascii="仿宋_GB2312" w:hAnsi="仿宋"/>
          <w:szCs w:val="32"/>
        </w:rPr>
        <w:t>。</w:t>
      </w:r>
      <w:r>
        <w:rPr>
          <w:rFonts w:ascii="仿宋_GB2312" w:hAnsi="仿宋"/>
          <w:szCs w:val="32"/>
        </w:rPr>
        <w:t>其中向福建省漳州市中级人民法院缴纳罚金1000元，民事赔偿合计</w:t>
      </w:r>
      <w:r>
        <w:rPr>
          <w:rFonts w:hint="eastAsia" w:ascii="仿宋_GB2312" w:hAnsi="仿宋"/>
          <w:szCs w:val="32"/>
        </w:rPr>
        <w:t>7400元；</w:t>
      </w:r>
      <w:r>
        <w:rPr>
          <w:rFonts w:ascii="仿宋_GB2312" w:hAnsi="仿宋"/>
          <w:szCs w:val="32"/>
        </w:rPr>
        <w:t>向福建省高级人民法院缴纳罚金合计1100元</w:t>
      </w:r>
      <w:r>
        <w:rPr>
          <w:rFonts w:hint="eastAsia" w:ascii="仿宋_GB2312" w:hAnsi="仿宋"/>
          <w:szCs w:val="32"/>
        </w:rPr>
        <w:t>。</w:t>
      </w:r>
      <w:r>
        <w:rPr>
          <w:rFonts w:ascii="仿宋_GB2312" w:hAnsi="仿宋"/>
          <w:szCs w:val="32"/>
        </w:rPr>
        <w:t>考核期月均消费</w:t>
      </w:r>
      <w:r>
        <w:rPr>
          <w:rFonts w:hint="eastAsia" w:ascii="仿宋_GB2312" w:hAnsi="仿宋"/>
          <w:szCs w:val="32"/>
        </w:rPr>
        <w:t>225.54</w:t>
      </w:r>
      <w:r>
        <w:rPr>
          <w:rFonts w:ascii="仿宋_GB2312" w:hAnsi="仿宋"/>
          <w:szCs w:val="32"/>
        </w:rPr>
        <w:t>元，账户可用余额</w:t>
      </w:r>
      <w:r>
        <w:rPr>
          <w:rFonts w:hint="eastAsia" w:ascii="仿宋_GB2312" w:hAnsi="仿宋"/>
          <w:szCs w:val="32"/>
        </w:rPr>
        <w:t>11.34</w:t>
      </w:r>
      <w:r>
        <w:rPr>
          <w:rFonts w:ascii="仿宋_GB2312" w:hAnsi="仿宋"/>
          <w:szCs w:val="32"/>
        </w:rPr>
        <w:t>元。</w:t>
      </w:r>
      <w:r>
        <w:rPr>
          <w:rFonts w:hint="eastAsia" w:ascii="仿宋_GB2312" w:hAnsi="仿宋"/>
          <w:szCs w:val="32"/>
        </w:rPr>
        <w:t>福建省</w:t>
      </w:r>
      <w:r>
        <w:rPr>
          <w:rFonts w:ascii="仿宋_GB2312" w:hAnsi="仿宋"/>
          <w:szCs w:val="32"/>
        </w:rPr>
        <w:t>漳州市中级人民法院复函</w:t>
      </w:r>
      <w:r>
        <w:rPr>
          <w:rFonts w:hint="eastAsia" w:ascii="仿宋_GB2312" w:hAnsi="仿宋"/>
          <w:szCs w:val="32"/>
          <w:lang w:eastAsia="zh-CN"/>
        </w:rPr>
        <w:t>（</w:t>
      </w:r>
      <w:r>
        <w:rPr>
          <w:rFonts w:ascii="仿宋_GB2312" w:hAnsi="仿宋"/>
          <w:szCs w:val="32"/>
        </w:rPr>
        <w:t>一</w:t>
      </w:r>
      <w:r>
        <w:rPr>
          <w:rFonts w:hint="eastAsia" w:ascii="仿宋_GB2312" w:hAnsi="仿宋"/>
          <w:szCs w:val="32"/>
          <w:lang w:eastAsia="zh-CN"/>
        </w:rPr>
        <w:t>）、（</w:t>
      </w:r>
      <w:r>
        <w:rPr>
          <w:rFonts w:ascii="仿宋_GB2312" w:hAnsi="仿宋"/>
          <w:szCs w:val="32"/>
        </w:rPr>
        <w:t>二</w:t>
      </w:r>
      <w:r>
        <w:rPr>
          <w:rFonts w:hint="eastAsia" w:ascii="仿宋_GB2312" w:hAnsi="仿宋"/>
          <w:szCs w:val="32"/>
          <w:lang w:eastAsia="zh-CN"/>
        </w:rPr>
        <w:t>）</w:t>
      </w:r>
      <w:r>
        <w:rPr>
          <w:rFonts w:ascii="仿宋_GB2312" w:hAnsi="仿宋"/>
          <w:szCs w:val="32"/>
        </w:rPr>
        <w:t>载明：经核查，</w:t>
      </w:r>
      <w:r>
        <w:rPr>
          <w:rFonts w:hint="eastAsia" w:ascii="仿宋_GB2312" w:hAnsi="仿宋"/>
          <w:szCs w:val="32"/>
        </w:rPr>
        <w:t>目前查无郑安海其他可供执行财产，（2021）闽06执203号一案已于2021年9月29日裁定终结本次执行程序。</w:t>
      </w:r>
    </w:p>
    <w:p>
      <w:pPr>
        <w:spacing w:line="520" w:lineRule="exact"/>
        <w:ind w:firstLine="640" w:firstLineChars="200"/>
        <w:rPr>
          <w:szCs w:val="32"/>
        </w:rPr>
      </w:pPr>
      <w:r>
        <w:rPr>
          <w:rFonts w:hint="eastAsia" w:ascii="仿宋_GB2312"/>
          <w:szCs w:val="32"/>
        </w:rPr>
        <w:t>本案于2024年12月17日至2024年12月23日在狱内公示未收到不同意见。</w:t>
      </w:r>
    </w:p>
    <w:p>
      <w:pPr>
        <w:spacing w:line="520" w:lineRule="exact"/>
        <w:ind w:firstLine="640" w:firstLineChars="200"/>
        <w:rPr>
          <w:rFonts w:ascii="仿宋_GB2312" w:hAnsi="仿宋"/>
          <w:szCs w:val="32"/>
        </w:rPr>
      </w:pPr>
      <w:r>
        <w:rPr>
          <w:rFonts w:hint="eastAsia" w:ascii="仿宋_GB2312" w:hAnsi="仿宋"/>
          <w:szCs w:val="32"/>
        </w:rPr>
        <w:t>因此，依照《中华人民共和国刑法》第五十七条、第七十八条</w:t>
      </w:r>
      <w:r>
        <w:rPr>
          <w:rFonts w:hint="eastAsia" w:ascii="仿宋_GB2312" w:hAnsi="仿宋"/>
          <w:szCs w:val="32"/>
          <w:lang w:eastAsia="zh-CN"/>
        </w:rPr>
        <w:t>，</w:t>
      </w:r>
      <w:r>
        <w:rPr>
          <w:rFonts w:hint="eastAsia" w:ascii="仿宋_GB2312" w:hAnsi="仿宋"/>
          <w:szCs w:val="32"/>
        </w:rPr>
        <w:t>《中华人民共和国刑事诉讼法》第二百七十三条第二款和《中华人民共和国监狱法》第二十九条</w:t>
      </w:r>
      <w:r>
        <w:rPr>
          <w:rFonts w:hint="eastAsia" w:ascii="仿宋_GB2312" w:hAnsi="仿宋"/>
          <w:szCs w:val="32"/>
          <w:lang w:val="en-US" w:eastAsia="zh-CN"/>
        </w:rPr>
        <w:t>的</w:t>
      </w:r>
      <w:r>
        <w:rPr>
          <w:rFonts w:hint="eastAsia" w:ascii="仿宋_GB2312" w:hAnsi="仿宋"/>
          <w:szCs w:val="32"/>
        </w:rPr>
        <w:t>规定，建议对罪犯郑安海予以减为有期徒刑二十二年，剥夺政治权利</w:t>
      </w:r>
      <w:r>
        <w:rPr>
          <w:rFonts w:hint="eastAsia" w:ascii="仿宋_GB2312" w:hAnsi="仿宋"/>
          <w:szCs w:val="32"/>
          <w:lang w:val="en-US" w:eastAsia="zh-CN"/>
        </w:rPr>
        <w:t>改为</w:t>
      </w:r>
      <w:bookmarkStart w:id="0" w:name="_GoBack"/>
      <w:bookmarkEnd w:id="0"/>
      <w:r>
        <w:rPr>
          <w:rFonts w:hint="eastAsia" w:ascii="仿宋_GB2312" w:hAnsi="仿宋"/>
          <w:szCs w:val="32"/>
        </w:rPr>
        <w:t>十年。特提请你院审理裁定。</w:t>
      </w:r>
    </w:p>
    <w:p>
      <w:pPr>
        <w:pStyle w:val="3"/>
        <w:spacing w:line="520" w:lineRule="exact"/>
        <w:ind w:right="-48" w:rightChars="-15" w:firstLine="614" w:firstLineChars="192"/>
        <w:rPr>
          <w:rFonts w:ascii="仿宋_GB2312" w:hAnsi="仿宋" w:eastAsia="仿宋_GB2312"/>
          <w:sz w:val="32"/>
          <w:szCs w:val="32"/>
        </w:rPr>
      </w:pPr>
      <w:r>
        <w:rPr>
          <w:rFonts w:hint="eastAsia" w:ascii="仿宋_GB2312" w:hAnsi="仿宋" w:eastAsia="仿宋_GB2312"/>
          <w:sz w:val="32"/>
          <w:szCs w:val="32"/>
        </w:rPr>
        <w:t>此致</w:t>
      </w:r>
    </w:p>
    <w:p>
      <w:pPr>
        <w:spacing w:line="520" w:lineRule="exact"/>
        <w:ind w:right="-48" w:rightChars="-15"/>
        <w:rPr>
          <w:rFonts w:ascii="仿宋_GB2312" w:hAnsi="仿宋"/>
          <w:szCs w:val="32"/>
        </w:rPr>
      </w:pPr>
      <w:r>
        <w:rPr>
          <w:rFonts w:hint="eastAsia" w:ascii="仿宋_GB2312" w:hAnsi="仿宋"/>
          <w:szCs w:val="32"/>
        </w:rPr>
        <w:t>福建省高级人民法院</w:t>
      </w:r>
    </w:p>
    <w:p>
      <w:pPr>
        <w:spacing w:line="520" w:lineRule="exact"/>
        <w:ind w:firstLine="640" w:firstLineChars="200"/>
        <w:rPr>
          <w:rFonts w:ascii="仿宋_GB2312" w:hAnsi="仿宋" w:cs="仿宋_GB2312"/>
          <w:szCs w:val="32"/>
        </w:rPr>
      </w:pPr>
      <w:r>
        <w:rPr>
          <w:rFonts w:hint="eastAsia" w:ascii="仿宋_GB2312" w:hAnsi="仿宋" w:cs="仿宋_GB2312"/>
          <w:szCs w:val="32"/>
        </w:rPr>
        <w:t>附件：⒈罪犯</w:t>
      </w:r>
      <w:r>
        <w:rPr>
          <w:rFonts w:hint="eastAsia" w:ascii="仿宋_GB2312" w:hAnsi="仿宋"/>
          <w:szCs w:val="32"/>
        </w:rPr>
        <w:t>郑安海</w:t>
      </w:r>
      <w:r>
        <w:rPr>
          <w:rFonts w:hint="eastAsia" w:ascii="仿宋_GB2312" w:hAnsi="仿宋" w:cs="仿宋_GB2312"/>
          <w:szCs w:val="32"/>
        </w:rPr>
        <w:t>卷宗2册</w:t>
      </w:r>
    </w:p>
    <w:p>
      <w:pPr>
        <w:spacing w:line="520" w:lineRule="exact"/>
        <w:ind w:right="-48" w:rightChars="-15" w:firstLine="1600" w:firstLineChars="500"/>
        <w:rPr>
          <w:rFonts w:ascii="仿宋_GB2312" w:hAnsi="仿宋" w:cs="仿宋_GB2312"/>
          <w:szCs w:val="32"/>
        </w:rPr>
      </w:pPr>
      <w:r>
        <w:rPr>
          <w:rFonts w:hint="eastAsia" w:ascii="仿宋_GB2312" w:hAnsi="仿宋" w:cs="仿宋_GB2312"/>
          <w:szCs w:val="32"/>
        </w:rPr>
        <w:t>⒉减刑建议书2份</w:t>
      </w:r>
    </w:p>
    <w:p>
      <w:pPr>
        <w:spacing w:line="520" w:lineRule="exact"/>
        <w:ind w:right="-48" w:rightChars="-15" w:firstLine="1600" w:firstLineChars="500"/>
        <w:rPr>
          <w:rFonts w:ascii="仿宋_GB2312" w:hAnsi="仿宋" w:cs="仿宋_GB2312"/>
          <w:szCs w:val="32"/>
        </w:rPr>
      </w:pPr>
    </w:p>
    <w:p>
      <w:pPr>
        <w:spacing w:line="520" w:lineRule="exact"/>
        <w:ind w:right="1213" w:rightChars="379" w:firstLine="614" w:firstLineChars="192"/>
        <w:jc w:val="right"/>
        <w:rPr>
          <w:rFonts w:ascii="仿宋_GB2312" w:hAnsi="仿宋"/>
          <w:szCs w:val="32"/>
        </w:rPr>
      </w:pPr>
      <w:r>
        <w:rPr>
          <w:rFonts w:hint="eastAsia" w:ascii="仿宋_GB2312" w:hAnsi="仿宋"/>
          <w:szCs w:val="32"/>
        </w:rPr>
        <w:t>福建省厦门监狱</w:t>
      </w:r>
    </w:p>
    <w:p>
      <w:pPr>
        <w:spacing w:line="520" w:lineRule="exact"/>
        <w:ind w:right="1014" w:rightChars="317" w:firstLine="614" w:firstLineChars="192"/>
        <w:jc w:val="right"/>
        <w:rPr>
          <w:rFonts w:ascii="仿宋" w:hAnsi="仿宋" w:eastAsia="仿宋"/>
          <w:szCs w:val="32"/>
        </w:rPr>
      </w:pPr>
      <w:r>
        <w:rPr>
          <w:rFonts w:hint="eastAsia" w:ascii="仿宋_GB2312" w:hAnsi="仿宋"/>
          <w:szCs w:val="32"/>
        </w:rPr>
        <w:t>2024年12月26日</w:t>
      </w:r>
    </w:p>
    <w:sectPr>
      <w:headerReference r:id="rId3" w:type="default"/>
      <w:footerReference r:id="rId4" w:type="default"/>
      <w:footerReference r:id="rId5" w:type="even"/>
      <w:pgSz w:w="11906" w:h="16838"/>
      <w:pgMar w:top="1871" w:right="1304" w:bottom="1871" w:left="1587" w:header="1587" w:footer="1587" w:gutter="0"/>
      <w:cols w:space="425"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rPr>
        <w:rStyle w:val="8"/>
        <w:rFonts w:hint="eastAsia"/>
      </w:rPr>
      <w:fldChar w:fldCharType="begin"/>
    </w:r>
    <w:r>
      <w:rPr>
        <w:rStyle w:val="8"/>
        <w:rFonts w:hint="eastAsia"/>
      </w:rPr>
      <w:instrText xml:space="preserve">PAGE  </w:instrText>
    </w:r>
    <w:r>
      <w:rPr>
        <w:rStyle w:val="8"/>
        <w:rFonts w:hint="eastAsia"/>
      </w:rP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435"/>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CB4"/>
    <w:rsid w:val="000C0D19"/>
    <w:rsid w:val="000F2B1E"/>
    <w:rsid w:val="0012760C"/>
    <w:rsid w:val="001D48E2"/>
    <w:rsid w:val="002207A2"/>
    <w:rsid w:val="002279A7"/>
    <w:rsid w:val="00233C16"/>
    <w:rsid w:val="003D1CB4"/>
    <w:rsid w:val="004C2008"/>
    <w:rsid w:val="00850D17"/>
    <w:rsid w:val="008736D9"/>
    <w:rsid w:val="008B552D"/>
    <w:rsid w:val="009C516F"/>
    <w:rsid w:val="00A57540"/>
    <w:rsid w:val="00BD5DD3"/>
    <w:rsid w:val="00BE6A7D"/>
    <w:rsid w:val="00C030EC"/>
    <w:rsid w:val="00C515A7"/>
    <w:rsid w:val="00D0589D"/>
    <w:rsid w:val="00D73E64"/>
    <w:rsid w:val="00E544AA"/>
    <w:rsid w:val="00F04D37"/>
    <w:rsid w:val="00F31B88"/>
    <w:rsid w:val="00F633BB"/>
    <w:rsid w:val="20437B80"/>
    <w:rsid w:val="3CFF6AA3"/>
    <w:rsid w:val="47DD1DBA"/>
    <w:rsid w:val="542D525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cs="Times New Roman"/>
      <w:kern w:val="32"/>
      <w:sz w:val="32"/>
      <w:lang w:val="en-US" w:eastAsia="zh-CN" w:bidi="ar-SA"/>
    </w:rPr>
  </w:style>
  <w:style w:type="paragraph" w:styleId="2">
    <w:name w:val="heading 1"/>
    <w:basedOn w:val="1"/>
    <w:next w:val="1"/>
    <w:link w:val="12"/>
    <w:qFormat/>
    <w:uiPriority w:val="9"/>
    <w:pPr>
      <w:keepNext/>
      <w:keepLines/>
      <w:spacing w:before="340" w:after="330" w:line="578" w:lineRule="auto"/>
      <w:outlineLvl w:val="0"/>
    </w:pPr>
    <w:rPr>
      <w:rFonts w:asciiTheme="minorHAnsi" w:hAnsiTheme="minorHAnsi" w:eastAsiaTheme="minorEastAsia" w:cstheme="minorBidi"/>
      <w:b/>
      <w:bCs/>
      <w:kern w:val="44"/>
      <w:sz w:val="44"/>
      <w:szCs w:val="44"/>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Salutation"/>
    <w:basedOn w:val="1"/>
    <w:next w:val="1"/>
    <w:link w:val="11"/>
    <w:uiPriority w:val="0"/>
    <w:rPr>
      <w:rFonts w:asciiTheme="minorHAnsi" w:hAnsiTheme="minorHAnsi" w:eastAsiaTheme="minorEastAsia" w:cstheme="minorBidi"/>
      <w:kern w:val="2"/>
      <w:sz w:val="21"/>
      <w:szCs w:val="22"/>
    </w:rPr>
  </w:style>
  <w:style w:type="paragraph" w:styleId="4">
    <w:name w:val="footer"/>
    <w:basedOn w:val="1"/>
    <w:link w:val="10"/>
    <w:semiHidden/>
    <w:unhideWhenUsed/>
    <w:qFormat/>
    <w:uiPriority w:val="99"/>
    <w:pPr>
      <w:tabs>
        <w:tab w:val="center" w:pos="4153"/>
        <w:tab w:val="right" w:pos="8306"/>
      </w:tabs>
      <w:snapToGrid w:val="0"/>
      <w:jc w:val="left"/>
    </w:pPr>
    <w:rPr>
      <w:rFonts w:asciiTheme="minorHAnsi" w:hAnsiTheme="minorHAnsi" w:eastAsiaTheme="minorEastAsia" w:cstheme="minorBidi"/>
      <w:kern w:val="2"/>
      <w:sz w:val="18"/>
      <w:szCs w:val="18"/>
    </w:rPr>
  </w:style>
  <w:style w:type="paragraph" w:styleId="5">
    <w:name w:val="header"/>
    <w:basedOn w:val="1"/>
    <w:link w:val="9"/>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kern w:val="2"/>
      <w:sz w:val="18"/>
      <w:szCs w:val="18"/>
    </w:rPr>
  </w:style>
  <w:style w:type="character" w:styleId="8">
    <w:name w:val="page number"/>
    <w:basedOn w:val="7"/>
    <w:semiHidden/>
    <w:unhideWhenUsed/>
    <w:qFormat/>
    <w:uiPriority w:val="99"/>
  </w:style>
  <w:style w:type="character" w:customStyle="1" w:styleId="9">
    <w:name w:val="页眉 Char"/>
    <w:basedOn w:val="7"/>
    <w:link w:val="5"/>
    <w:semiHidden/>
    <w:qFormat/>
    <w:uiPriority w:val="99"/>
    <w:rPr>
      <w:sz w:val="18"/>
      <w:szCs w:val="18"/>
    </w:rPr>
  </w:style>
  <w:style w:type="character" w:customStyle="1" w:styleId="10">
    <w:name w:val="页脚 Char"/>
    <w:basedOn w:val="7"/>
    <w:link w:val="4"/>
    <w:semiHidden/>
    <w:qFormat/>
    <w:uiPriority w:val="99"/>
    <w:rPr>
      <w:sz w:val="18"/>
      <w:szCs w:val="18"/>
    </w:rPr>
  </w:style>
  <w:style w:type="character" w:customStyle="1" w:styleId="11">
    <w:name w:val="称呼 Char"/>
    <w:basedOn w:val="7"/>
    <w:link w:val="3"/>
    <w:qFormat/>
    <w:uiPriority w:val="0"/>
    <w:rPr>
      <w:rFonts w:ascii="Calibri" w:hAnsi="Calibri" w:eastAsia="仿宋_GB2312" w:cs="Times New Roman"/>
      <w:kern w:val="32"/>
      <w:sz w:val="32"/>
      <w:szCs w:val="20"/>
    </w:rPr>
  </w:style>
  <w:style w:type="character" w:customStyle="1" w:styleId="12">
    <w:name w:val="标题 1 Char"/>
    <w:basedOn w:val="7"/>
    <w:link w:val="2"/>
    <w:uiPriority w:val="9"/>
    <w:rPr>
      <w:b/>
      <w:bCs/>
      <w:kern w:val="44"/>
      <w:sz w:val="44"/>
      <w:szCs w:val="44"/>
    </w:rPr>
  </w:style>
  <w:style w:type="paragraph" w:customStyle="1" w:styleId="13">
    <w:name w:val="列表段落1"/>
    <w:basedOn w:val="1"/>
    <w:qFormat/>
    <w:uiPriority w:val="99"/>
    <w:pPr>
      <w:ind w:firstLine="420" w:firstLineChars="200"/>
    </w:pPr>
    <w:rPr>
      <w:rFonts w:ascii="Times New Roman" w:hAnsi="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Organization</Company>
  <Pages>2</Pages>
  <Words>177</Words>
  <Characters>1010</Characters>
  <Lines>8</Lines>
  <Paragraphs>2</Paragraphs>
  <TotalTime>2</TotalTime>
  <ScaleCrop>false</ScaleCrop>
  <LinksUpToDate>false</LinksUpToDate>
  <CharactersWithSpaces>1185</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2024-10-09T02:45:00Z</dcterms:created>
  <dc:creator>Windows 用户</dc:creator>
  <cp:lastModifiedBy>周文娟</cp:lastModifiedBy>
  <cp:lastPrinted>2025-01-06T11:17:00Z</cp:lastPrinted>
  <dcterms:modified xsi:type="dcterms:W3CDTF">2025-01-24T06:45:37Z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1190C4045C00445B87E09013C7B19D6B</vt:lpwstr>
  </property>
</Properties>
</file>