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ascii="方正小标宋简体" w:hAnsi="方正小标宋简体" w:eastAsia="方正小标宋简体" w:cs="方正小标宋简体"/>
          <w:kern w:val="32"/>
          <w:sz w:val="44"/>
          <w:szCs w:val="44"/>
        </w:rPr>
      </w:pPr>
      <w:r>
        <w:rPr>
          <w:rFonts w:hint="eastAsia" w:ascii="方正小标宋简体" w:hAnsi="方正小标宋简体" w:eastAsia="方正小标宋简体" w:cs="方正小标宋简体"/>
          <w:kern w:val="32"/>
          <w:sz w:val="44"/>
          <w:szCs w:val="44"/>
        </w:rPr>
        <w:t xml:space="preserve"> 福建省厦门监狱</w:t>
      </w:r>
    </w:p>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ascii="方正小标宋简体" w:hAnsi="方正小标宋简体" w:eastAsia="方正小标宋简体" w:cs="方正小标宋简体"/>
          <w:kern w:val="32"/>
          <w:sz w:val="44"/>
          <w:szCs w:val="44"/>
        </w:rPr>
      </w:pPr>
      <w:r>
        <w:rPr>
          <w:rFonts w:hint="eastAsia" w:ascii="方正小标宋简体" w:hAnsi="方正小标宋简体" w:eastAsia="方正小标宋简体" w:cs="方正小标宋简体"/>
          <w:kern w:val="32"/>
          <w:sz w:val="44"/>
          <w:szCs w:val="44"/>
        </w:rPr>
        <w:t xml:space="preserve"> 提请减刑建议书</w:t>
      </w:r>
    </w:p>
    <w:p>
      <w:pPr>
        <w:keepNext w:val="0"/>
        <w:keepLines w:val="0"/>
        <w:pageBreakBefore w:val="0"/>
        <w:widowControl w:val="0"/>
        <w:overflowPunct/>
        <w:topLinePunct w:val="0"/>
        <w:bidi w:val="0"/>
        <w:adjustRightInd/>
        <w:snapToGrid/>
        <w:spacing w:line="460" w:lineRule="exact"/>
        <w:ind w:firstLine="4480" w:firstLineChars="1400"/>
        <w:jc w:val="left"/>
        <w:textAlignment w:val="auto"/>
        <w:rPr>
          <w:rFonts w:hint="eastAsia" w:ascii="楷体_GB2312" w:hAnsi="Times New Roman" w:eastAsia="楷体_GB2312"/>
          <w:kern w:val="32"/>
          <w:sz w:val="32"/>
          <w:szCs w:val="32"/>
        </w:rPr>
      </w:pPr>
      <w:r>
        <w:rPr>
          <w:rFonts w:hint="eastAsia" w:ascii="楷体_GB2312" w:hAnsi="Times New Roman" w:eastAsia="楷体_GB2312"/>
          <w:kern w:val="32"/>
          <w:sz w:val="32"/>
          <w:szCs w:val="32"/>
        </w:rPr>
        <w:t xml:space="preserve">〔2024〕闽厦狱减字第 </w:t>
      </w:r>
      <w:r>
        <w:rPr>
          <w:rFonts w:hint="eastAsia" w:ascii="楷体_GB2312" w:hAnsi="Times New Roman" w:eastAsia="楷体_GB2312"/>
          <w:kern w:val="32"/>
          <w:sz w:val="32"/>
          <w:szCs w:val="32"/>
          <w:lang w:val="en-US" w:eastAsia="zh-CN"/>
        </w:rPr>
        <w:t>533</w:t>
      </w:r>
      <w:r>
        <w:rPr>
          <w:rFonts w:hint="eastAsia" w:ascii="楷体_GB2312" w:hAnsi="Times New Roman" w:eastAsia="楷体_GB2312"/>
          <w:kern w:val="32"/>
          <w:sz w:val="32"/>
          <w:szCs w:val="32"/>
        </w:rPr>
        <w:t xml:space="preserve"> 号</w:t>
      </w:r>
    </w:p>
    <w:p>
      <w:pPr>
        <w:keepNext w:val="0"/>
        <w:keepLines w:val="0"/>
        <w:pageBreakBefore w:val="0"/>
        <w:widowControl w:val="0"/>
        <w:overflowPunct/>
        <w:topLinePunct w:val="0"/>
        <w:bidi w:val="0"/>
        <w:adjustRightInd/>
        <w:snapToGrid/>
        <w:spacing w:line="460" w:lineRule="exact"/>
        <w:ind w:firstLine="640" w:firstLineChars="200"/>
        <w:jc w:val="left"/>
        <w:textAlignment w:val="auto"/>
        <w:rPr>
          <w:rFonts w:hint="eastAsia" w:ascii="仿宋_GB2312" w:hAnsi="Times New Roman" w:eastAsia="仿宋_GB2312"/>
          <w:kern w:val="32"/>
          <w:sz w:val="32"/>
          <w:szCs w:val="32"/>
        </w:rPr>
      </w:pPr>
      <w:r>
        <w:rPr>
          <w:rFonts w:hint="eastAsia" w:ascii="仿宋_GB2312" w:hAnsi="Times New Roman" w:eastAsia="仿宋_GB2312"/>
          <w:kern w:val="32"/>
          <w:sz w:val="32"/>
          <w:szCs w:val="32"/>
        </w:rPr>
        <w:t>罪犯方清华</w:t>
      </w:r>
      <w:r>
        <w:rPr>
          <w:rFonts w:hint="eastAsia" w:ascii="仿宋_GB2312" w:hAnsi="Times New Roman" w:eastAsia="仿宋_GB2312"/>
          <w:kern w:val="32"/>
          <w:sz w:val="32"/>
          <w:szCs w:val="32"/>
        </w:rPr>
        <w:fldChar w:fldCharType="begin"/>
      </w:r>
      <w:r>
        <w:rPr>
          <w:rFonts w:hint="eastAsia" w:ascii="仿宋_GB2312" w:hAnsi="Times New Roman" w:eastAsia="仿宋_GB2312"/>
          <w:kern w:val="32"/>
          <w:sz w:val="32"/>
          <w:szCs w:val="32"/>
        </w:rPr>
        <w:instrText xml:space="preserve"> AUTOTEXTLIST  \* MERGEFORMAT </w:instrText>
      </w:r>
      <w:r>
        <w:rPr>
          <w:rFonts w:hint="eastAsia" w:ascii="仿宋_GB2312" w:hAnsi="Times New Roman" w:eastAsia="仿宋_GB2312"/>
          <w:kern w:val="32"/>
          <w:sz w:val="32"/>
          <w:szCs w:val="32"/>
        </w:rPr>
        <w:fldChar w:fldCharType="separate"/>
      </w:r>
      <w:r>
        <w:rPr>
          <w:rFonts w:hint="eastAsia" w:ascii="仿宋_GB2312" w:hAnsi="Times New Roman" w:eastAsia="仿宋_GB2312"/>
          <w:kern w:val="32"/>
          <w:sz w:val="32"/>
          <w:szCs w:val="32"/>
        </w:rPr>
        <w:fldChar w:fldCharType="end"/>
      </w:r>
      <w:r>
        <w:rPr>
          <w:rFonts w:hint="eastAsia" w:ascii="仿宋_GB2312" w:hAnsi="Times New Roman" w:eastAsia="仿宋_GB2312"/>
          <w:kern w:val="32"/>
          <w:sz w:val="32"/>
          <w:szCs w:val="32"/>
        </w:rPr>
        <w:t>，男，1959年12月9日出生，汉族，小学文化，住福建省厦门市思明区</w:t>
      </w:r>
      <w:bookmarkStart w:id="0" w:name="_GoBack"/>
      <w:bookmarkEnd w:id="0"/>
      <w:r>
        <w:rPr>
          <w:rFonts w:hint="eastAsia" w:ascii="仿宋_GB2312" w:hAnsi="Times New Roman" w:eastAsia="仿宋_GB2312"/>
          <w:kern w:val="32"/>
          <w:sz w:val="32"/>
          <w:szCs w:val="32"/>
        </w:rPr>
        <w:t>。</w:t>
      </w:r>
      <w:r>
        <w:rPr>
          <w:rFonts w:hint="eastAsia" w:ascii="仿宋_GB2312" w:hAnsi="Times New Roman" w:eastAsia="仿宋_GB2312"/>
          <w:kern w:val="32"/>
          <w:sz w:val="32"/>
          <w:szCs w:val="32"/>
          <w:lang w:val="en-US" w:eastAsia="zh-CN"/>
        </w:rPr>
        <w:t>1974年至1982年间先后被治安拘留、罚款、收容劳动教养各一次、强制劳动三次；因吸毒于1994年3月被责令限期戒除，同年6月27日至7月24日被强制戒除；因吸毒于1994年12月14日被劳动教养二年；</w:t>
      </w:r>
      <w:r>
        <w:rPr>
          <w:rFonts w:hint="eastAsia" w:ascii="仿宋_GB2312" w:hAnsi="Times New Roman" w:eastAsia="仿宋_GB2312"/>
          <w:kern w:val="32"/>
          <w:sz w:val="32"/>
          <w:szCs w:val="32"/>
        </w:rPr>
        <w:t>1998年10月14日，因犯贩卖毒品罪被原福建省厦门市开元区人民法院判处有期徒刑一年三个月，并处罚金人民币一千元；</w:t>
      </w:r>
      <w:r>
        <w:rPr>
          <w:rFonts w:hint="eastAsia" w:ascii="仿宋_GB2312" w:hAnsi="Times New Roman" w:eastAsia="仿宋_GB2312"/>
          <w:kern w:val="32"/>
          <w:sz w:val="32"/>
          <w:szCs w:val="32"/>
          <w:lang w:val="en-US" w:eastAsia="zh-CN"/>
        </w:rPr>
        <w:t>2005年10月27日因吸毒被劳动教养二年六个月。</w:t>
      </w:r>
      <w:r>
        <w:rPr>
          <w:rFonts w:hint="eastAsia" w:ascii="仿宋_GB2312" w:hAnsi="Times New Roman" w:eastAsia="仿宋_GB2312"/>
          <w:kern w:val="32"/>
          <w:sz w:val="32"/>
          <w:szCs w:val="32"/>
        </w:rPr>
        <w:t>2014年4月17日，又因犯贩卖毒品罪被福建省厦门市思明区人民法院判处有期徒刑九年，并处罚金人民币五千元。</w:t>
      </w:r>
    </w:p>
    <w:p>
      <w:pPr>
        <w:keepNext w:val="0"/>
        <w:keepLines w:val="0"/>
        <w:pageBreakBefore w:val="0"/>
        <w:widowControl w:val="0"/>
        <w:overflowPunct/>
        <w:topLinePunct w:val="0"/>
        <w:bidi w:val="0"/>
        <w:adjustRightInd/>
        <w:snapToGrid/>
        <w:spacing w:line="460" w:lineRule="exact"/>
        <w:ind w:firstLine="640" w:firstLineChars="200"/>
        <w:jc w:val="left"/>
        <w:textAlignment w:val="auto"/>
        <w:rPr>
          <w:rFonts w:hint="eastAsia" w:ascii="仿宋_GB2312" w:hAnsi="Times New Roman" w:eastAsia="仿宋_GB2312"/>
          <w:kern w:val="32"/>
          <w:sz w:val="32"/>
          <w:szCs w:val="32"/>
        </w:rPr>
      </w:pPr>
      <w:r>
        <w:rPr>
          <w:rFonts w:hint="eastAsia" w:ascii="仿宋_GB2312" w:hAnsi="Times New Roman" w:eastAsia="仿宋_GB2312"/>
          <w:kern w:val="32"/>
          <w:sz w:val="32"/>
          <w:szCs w:val="32"/>
        </w:rPr>
        <w:t>福建省厦门市思明区人民法院于</w:t>
      </w:r>
      <w:r>
        <w:rPr>
          <w:rFonts w:hint="eastAsia" w:ascii="仿宋_GB2312" w:hAnsi="Times New Roman" w:eastAsia="仿宋_GB2312"/>
          <w:kern w:val="32"/>
          <w:sz w:val="32"/>
          <w:szCs w:val="32"/>
          <w:lang w:val="en-US" w:eastAsia="zh-CN"/>
        </w:rPr>
        <w:t>2014年4月17日作出（2014）思刑初字第207号刑事判决，</w:t>
      </w:r>
      <w:r>
        <w:rPr>
          <w:rFonts w:hint="eastAsia" w:ascii="仿宋_GB2312" w:hAnsi="Times New Roman" w:eastAsia="仿宋_GB2312"/>
          <w:kern w:val="32"/>
          <w:sz w:val="32"/>
          <w:szCs w:val="32"/>
        </w:rPr>
        <w:t>以被告人方清华犯贩卖毒品罪，判处有期徒刑</w:t>
      </w:r>
      <w:r>
        <w:rPr>
          <w:rFonts w:hint="eastAsia" w:ascii="仿宋_GB2312" w:hAnsi="Times New Roman" w:eastAsia="仿宋_GB2312"/>
          <w:kern w:val="32"/>
          <w:sz w:val="32"/>
          <w:szCs w:val="32"/>
          <w:lang w:val="en-US" w:eastAsia="zh-CN"/>
        </w:rPr>
        <w:t>九年，并处罚金5000元，该犯判决尚未执行，厦门市思明区法院复函表明2014年4月17日判决后仍处于厦门市思明分局监管中，因在刑罚执行完毕以前又犯罪，</w:t>
      </w:r>
      <w:r>
        <w:rPr>
          <w:rFonts w:hint="eastAsia" w:ascii="仿宋_GB2312" w:hAnsi="Times New Roman" w:eastAsia="仿宋_GB2312"/>
          <w:kern w:val="32"/>
          <w:sz w:val="32"/>
          <w:szCs w:val="32"/>
        </w:rPr>
        <w:t>福建省厦门市思明区人民法院于2016年11月29日作出（2016）闽0203刑初1107号刑事判决，以被告人方清华犯贩卖毒品罪，判处有期徒刑二年二个月，并处罚金人民币2000元。与前罪余刑有期徒刑九年，并处罚金人民币五千元数罪并罚，决定执行有期徒刑十年，并处罚金人民币七千元。刑期自2016年6月24日起至2026年6月23日止。于2017年2月16日交付福建省厦门监狱执行刑罚。2019年6月27日福建省厦门市中级人民法院以（2019）闽02刑更454号刑事裁定，对其减刑六个月；2021年12月3日福建省厦门市中级人民法院以（2021）闽02刑更527号刑事裁定，对其减刑四个月，2021年12月3日送达，现刑期至2025年8月23日止。属普管级罪犯。</w:t>
      </w:r>
    </w:p>
    <w:p>
      <w:pPr>
        <w:keepNext w:val="0"/>
        <w:keepLines w:val="0"/>
        <w:pageBreakBefore w:val="0"/>
        <w:widowControl w:val="0"/>
        <w:overflowPunct/>
        <w:topLinePunct w:val="0"/>
        <w:bidi w:val="0"/>
        <w:adjustRightInd/>
        <w:snapToGrid/>
        <w:spacing w:line="460" w:lineRule="exact"/>
        <w:ind w:firstLine="640" w:firstLineChars="200"/>
        <w:jc w:val="left"/>
        <w:textAlignment w:val="auto"/>
        <w:rPr>
          <w:rFonts w:hint="eastAsia" w:ascii="仿宋_GB2312" w:hAnsi="Times New Roman" w:eastAsia="仿宋_GB2312"/>
          <w:kern w:val="32"/>
          <w:sz w:val="32"/>
          <w:szCs w:val="32"/>
        </w:rPr>
      </w:pPr>
      <w:r>
        <w:rPr>
          <w:rFonts w:hint="eastAsia" w:ascii="仿宋_GB2312" w:hAnsi="Times New Roman" w:eastAsia="仿宋_GB2312"/>
          <w:kern w:val="32"/>
          <w:sz w:val="32"/>
          <w:szCs w:val="32"/>
        </w:rPr>
        <w:t>该犯自上次减刑以来，确有悔改表现，具体事实如下：</w:t>
      </w:r>
    </w:p>
    <w:p>
      <w:pPr>
        <w:keepNext w:val="0"/>
        <w:keepLines w:val="0"/>
        <w:pageBreakBefore w:val="0"/>
        <w:widowControl w:val="0"/>
        <w:overflowPunct/>
        <w:topLinePunct w:val="0"/>
        <w:bidi w:val="0"/>
        <w:adjustRightInd/>
        <w:snapToGrid/>
        <w:spacing w:line="460" w:lineRule="exact"/>
        <w:ind w:firstLine="640" w:firstLineChars="200"/>
        <w:jc w:val="left"/>
        <w:textAlignment w:val="auto"/>
        <w:rPr>
          <w:rFonts w:hint="eastAsia" w:ascii="仿宋_GB2312" w:hAnsi="Times New Roman" w:eastAsia="仿宋_GB2312"/>
          <w:kern w:val="32"/>
          <w:sz w:val="32"/>
          <w:szCs w:val="32"/>
        </w:rPr>
      </w:pPr>
      <w:r>
        <w:rPr>
          <w:rFonts w:hint="eastAsia" w:ascii="仿宋_GB2312" w:hAnsi="Times New Roman" w:eastAsia="仿宋_GB2312"/>
          <w:kern w:val="32"/>
          <w:sz w:val="32"/>
          <w:szCs w:val="32"/>
        </w:rPr>
        <w:t>认罪悔罪：能服从法院判决，自书认罪悔罪书。</w:t>
      </w:r>
    </w:p>
    <w:p>
      <w:pPr>
        <w:keepNext w:val="0"/>
        <w:keepLines w:val="0"/>
        <w:pageBreakBefore w:val="0"/>
        <w:widowControl w:val="0"/>
        <w:overflowPunct/>
        <w:topLinePunct w:val="0"/>
        <w:bidi w:val="0"/>
        <w:adjustRightInd/>
        <w:snapToGrid/>
        <w:spacing w:line="460" w:lineRule="exact"/>
        <w:ind w:firstLine="640" w:firstLineChars="200"/>
        <w:jc w:val="left"/>
        <w:textAlignment w:val="auto"/>
        <w:rPr>
          <w:rFonts w:hint="eastAsia" w:ascii="仿宋_GB2312" w:hAnsi="Times New Roman" w:eastAsia="仿宋_GB2312"/>
          <w:kern w:val="32"/>
          <w:sz w:val="32"/>
          <w:szCs w:val="32"/>
        </w:rPr>
      </w:pPr>
      <w:r>
        <w:rPr>
          <w:rFonts w:hint="eastAsia" w:ascii="仿宋_GB2312" w:hAnsi="Times New Roman" w:eastAsia="仿宋_GB2312"/>
          <w:kern w:val="32"/>
          <w:sz w:val="32"/>
          <w:szCs w:val="32"/>
        </w:rPr>
        <w:t xml:space="preserve">遵守监规：能遵守监规纪律，接受教育改造。 </w:t>
      </w:r>
    </w:p>
    <w:p>
      <w:pPr>
        <w:keepNext w:val="0"/>
        <w:keepLines w:val="0"/>
        <w:pageBreakBefore w:val="0"/>
        <w:widowControl w:val="0"/>
        <w:overflowPunct/>
        <w:topLinePunct w:val="0"/>
        <w:bidi w:val="0"/>
        <w:adjustRightInd/>
        <w:snapToGrid/>
        <w:spacing w:line="460" w:lineRule="exact"/>
        <w:ind w:firstLine="640" w:firstLineChars="200"/>
        <w:jc w:val="left"/>
        <w:textAlignment w:val="auto"/>
        <w:rPr>
          <w:rFonts w:hint="eastAsia" w:ascii="仿宋_GB2312" w:hAnsi="Times New Roman" w:eastAsia="仿宋_GB2312"/>
          <w:kern w:val="32"/>
          <w:sz w:val="32"/>
          <w:szCs w:val="32"/>
        </w:rPr>
      </w:pPr>
      <w:r>
        <w:rPr>
          <w:rFonts w:hint="eastAsia" w:ascii="仿宋_GB2312" w:hAnsi="Times New Roman" w:eastAsia="仿宋_GB2312"/>
          <w:kern w:val="32"/>
          <w:sz w:val="32"/>
          <w:szCs w:val="32"/>
        </w:rPr>
        <w:t>学习情况：能参加思想、文化、职业技术教育。</w:t>
      </w:r>
    </w:p>
    <w:p>
      <w:pPr>
        <w:keepNext w:val="0"/>
        <w:keepLines w:val="0"/>
        <w:pageBreakBefore w:val="0"/>
        <w:widowControl w:val="0"/>
        <w:overflowPunct/>
        <w:topLinePunct w:val="0"/>
        <w:bidi w:val="0"/>
        <w:adjustRightInd/>
        <w:snapToGrid/>
        <w:spacing w:line="460" w:lineRule="exact"/>
        <w:ind w:firstLine="640" w:firstLineChars="200"/>
        <w:jc w:val="left"/>
        <w:textAlignment w:val="auto"/>
        <w:rPr>
          <w:rFonts w:hint="eastAsia" w:ascii="仿宋_GB2312" w:hAnsi="Times New Roman" w:eastAsia="仿宋_GB2312"/>
          <w:kern w:val="32"/>
          <w:sz w:val="32"/>
          <w:szCs w:val="32"/>
          <w:highlight w:val="none"/>
        </w:rPr>
      </w:pPr>
      <w:r>
        <w:rPr>
          <w:rFonts w:hint="eastAsia" w:ascii="仿宋_GB2312" w:hAnsi="Times New Roman" w:eastAsia="仿宋_GB2312"/>
          <w:kern w:val="32"/>
          <w:sz w:val="32"/>
          <w:szCs w:val="32"/>
        </w:rPr>
        <w:t>劳动改造：能参</w:t>
      </w:r>
      <w:r>
        <w:rPr>
          <w:rFonts w:hint="eastAsia" w:ascii="仿宋_GB2312" w:hAnsi="Times New Roman" w:eastAsia="仿宋_GB2312"/>
          <w:kern w:val="32"/>
          <w:sz w:val="32"/>
          <w:szCs w:val="32"/>
          <w:highlight w:val="none"/>
        </w:rPr>
        <w:t>加劳动，努力完成劳动任务。</w:t>
      </w:r>
    </w:p>
    <w:p>
      <w:pPr>
        <w:keepNext w:val="0"/>
        <w:keepLines w:val="0"/>
        <w:pageBreakBefore w:val="0"/>
        <w:widowControl w:val="0"/>
        <w:overflowPunct/>
        <w:topLinePunct w:val="0"/>
        <w:bidi w:val="0"/>
        <w:adjustRightInd/>
        <w:snapToGrid/>
        <w:spacing w:line="460" w:lineRule="exact"/>
        <w:ind w:firstLine="640" w:firstLineChars="200"/>
        <w:jc w:val="left"/>
        <w:textAlignment w:val="auto"/>
        <w:rPr>
          <w:rFonts w:hint="eastAsia" w:ascii="仿宋_GB2312" w:hAnsi="Times New Roman" w:eastAsia="仿宋_GB2312"/>
          <w:kern w:val="32"/>
          <w:sz w:val="32"/>
          <w:szCs w:val="32"/>
          <w:highlight w:val="none"/>
        </w:rPr>
      </w:pPr>
      <w:r>
        <w:rPr>
          <w:rFonts w:hint="eastAsia" w:ascii="仿宋_GB2312" w:hAnsi="Times New Roman" w:eastAsia="仿宋_GB2312"/>
          <w:kern w:val="32"/>
          <w:sz w:val="32"/>
          <w:szCs w:val="32"/>
          <w:highlight w:val="none"/>
        </w:rPr>
        <w:t>奖惩情况：该犯</w:t>
      </w:r>
      <w:r>
        <w:rPr>
          <w:rFonts w:hint="eastAsia" w:ascii="仿宋_GB2312" w:hAnsi="宋体" w:eastAsia="仿宋_GB2312" w:cs="仿宋_GB2312"/>
          <w:kern w:val="32"/>
          <w:sz w:val="32"/>
          <w:szCs w:val="32"/>
          <w:highlight w:val="none"/>
        </w:rPr>
        <w:t>上次评定表扬剩余</w:t>
      </w:r>
      <w:r>
        <w:rPr>
          <w:rFonts w:hint="eastAsia" w:ascii="仿宋_GB2312" w:hAnsi="Times New Roman" w:eastAsia="仿宋_GB2312"/>
          <w:kern w:val="32"/>
          <w:sz w:val="32"/>
          <w:szCs w:val="32"/>
          <w:highlight w:val="none"/>
        </w:rPr>
        <w:t>358分，本轮考核期自2021年7月至2024年9月，累计获</w:t>
      </w:r>
      <w:r>
        <w:rPr>
          <w:rFonts w:hint="eastAsia" w:ascii="仿宋_GB2312" w:hAnsi="Times New Roman" w:eastAsia="仿宋_GB2312"/>
          <w:kern w:val="32"/>
          <w:sz w:val="32"/>
          <w:szCs w:val="32"/>
          <w:highlight w:val="none"/>
          <w:lang w:val="en-US" w:eastAsia="zh-CN"/>
        </w:rPr>
        <w:t>3923</w:t>
      </w:r>
      <w:r>
        <w:rPr>
          <w:rFonts w:hint="eastAsia" w:ascii="仿宋_GB2312" w:hAnsi="Times New Roman" w:eastAsia="仿宋_GB2312"/>
          <w:kern w:val="32"/>
          <w:sz w:val="32"/>
          <w:szCs w:val="32"/>
          <w:highlight w:val="none"/>
        </w:rPr>
        <w:t>分，合计获得考核分</w:t>
      </w:r>
      <w:r>
        <w:rPr>
          <w:rFonts w:hint="eastAsia" w:ascii="仿宋_GB2312" w:hAnsi="Times New Roman" w:eastAsia="仿宋_GB2312"/>
          <w:kern w:val="32"/>
          <w:sz w:val="32"/>
          <w:szCs w:val="32"/>
          <w:highlight w:val="none"/>
          <w:lang w:val="en-US" w:eastAsia="zh-CN"/>
        </w:rPr>
        <w:t>4281</w:t>
      </w:r>
      <w:r>
        <w:rPr>
          <w:rFonts w:hint="eastAsia" w:ascii="仿宋_GB2312" w:hAnsi="Times New Roman" w:eastAsia="仿宋_GB2312"/>
          <w:kern w:val="32"/>
          <w:sz w:val="32"/>
          <w:szCs w:val="32"/>
          <w:highlight w:val="none"/>
        </w:rPr>
        <w:t>分，表扬5次，物质奖励1次。</w:t>
      </w:r>
      <w:r>
        <w:rPr>
          <w:rFonts w:hint="eastAsia" w:ascii="仿宋_GB2312" w:hAnsi="宋体" w:eastAsia="仿宋_GB2312" w:cs="仿宋_GB2312"/>
          <w:kern w:val="32"/>
          <w:sz w:val="32"/>
          <w:szCs w:val="32"/>
          <w:highlight w:val="none"/>
        </w:rPr>
        <w:t>间隔期2021年12月3日至2024年9月获考核分</w:t>
      </w:r>
      <w:r>
        <w:rPr>
          <w:rFonts w:hint="eastAsia" w:ascii="仿宋_GB2312" w:hAnsi="宋体" w:eastAsia="仿宋_GB2312" w:cs="仿宋_GB2312"/>
          <w:kern w:val="32"/>
          <w:sz w:val="32"/>
          <w:szCs w:val="32"/>
          <w:highlight w:val="none"/>
          <w:lang w:val="en-US" w:eastAsia="zh-CN"/>
        </w:rPr>
        <w:t>3373</w:t>
      </w:r>
      <w:r>
        <w:rPr>
          <w:rFonts w:hint="eastAsia" w:ascii="仿宋_GB2312" w:hAnsi="宋体" w:eastAsia="仿宋_GB2312" w:cs="仿宋_GB2312"/>
          <w:kern w:val="32"/>
          <w:sz w:val="32"/>
          <w:szCs w:val="32"/>
          <w:highlight w:val="none"/>
        </w:rPr>
        <w:t>分。</w:t>
      </w:r>
      <w:r>
        <w:rPr>
          <w:rFonts w:hint="eastAsia" w:ascii="仿宋_GB2312" w:hAnsi="Times New Roman" w:eastAsia="仿宋_GB2312"/>
          <w:kern w:val="32"/>
          <w:sz w:val="32"/>
          <w:szCs w:val="32"/>
          <w:highlight w:val="none"/>
        </w:rPr>
        <w:t>考核期内无违规。</w:t>
      </w:r>
    </w:p>
    <w:p>
      <w:pPr>
        <w:keepNext w:val="0"/>
        <w:keepLines w:val="0"/>
        <w:pageBreakBefore w:val="0"/>
        <w:widowControl w:val="0"/>
        <w:overflowPunct/>
        <w:topLinePunct w:val="0"/>
        <w:bidi w:val="0"/>
        <w:adjustRightInd/>
        <w:snapToGrid/>
        <w:spacing w:line="460" w:lineRule="exact"/>
        <w:ind w:firstLine="640" w:firstLineChars="200"/>
        <w:jc w:val="left"/>
        <w:textAlignment w:val="auto"/>
        <w:rPr>
          <w:rFonts w:hint="eastAsia" w:ascii="仿宋_GB2312" w:hAnsi="Times New Roman" w:eastAsia="仿宋_GB2312"/>
          <w:kern w:val="32"/>
          <w:sz w:val="32"/>
          <w:szCs w:val="32"/>
          <w:highlight w:val="none"/>
        </w:rPr>
      </w:pPr>
      <w:r>
        <w:rPr>
          <w:rFonts w:hint="eastAsia" w:ascii="仿宋_GB2312" w:hAnsi="Times New Roman" w:eastAsia="仿宋_GB2312"/>
          <w:kern w:val="32"/>
          <w:sz w:val="32"/>
          <w:szCs w:val="32"/>
          <w:highlight w:val="none"/>
        </w:rPr>
        <w:t>原判财产性判项罚金人民币7000元，已履行完毕。</w:t>
      </w:r>
    </w:p>
    <w:p>
      <w:pPr>
        <w:keepNext w:val="0"/>
        <w:keepLines w:val="0"/>
        <w:pageBreakBefore w:val="0"/>
        <w:widowControl w:val="0"/>
        <w:kinsoku w:val="0"/>
        <w:overflowPunct/>
        <w:topLinePunct w:val="0"/>
        <w:autoSpaceDE w:val="0"/>
        <w:autoSpaceDN w:val="0"/>
        <w:bidi w:val="0"/>
        <w:adjustRightInd/>
        <w:snapToGrid/>
        <w:spacing w:line="460" w:lineRule="exact"/>
        <w:ind w:firstLine="640" w:firstLineChars="200"/>
        <w:jc w:val="left"/>
        <w:textAlignment w:val="auto"/>
        <w:rPr>
          <w:rFonts w:hint="eastAsia" w:ascii="仿宋_GB2312" w:hAnsi="宋体" w:eastAsia="仿宋_GB2312" w:cs="仿宋_GB2312"/>
          <w:kern w:val="32"/>
          <w:sz w:val="32"/>
          <w:szCs w:val="32"/>
          <w:highlight w:val="none"/>
        </w:rPr>
      </w:pPr>
      <w:r>
        <w:rPr>
          <w:rFonts w:hint="eastAsia" w:ascii="仿宋_GB2312" w:hAnsi="宋体" w:eastAsia="仿宋_GB2312" w:cs="仿宋_GB2312"/>
          <w:kern w:val="32"/>
          <w:sz w:val="32"/>
          <w:szCs w:val="32"/>
          <w:highlight w:val="none"/>
        </w:rPr>
        <w:t>该犯系毒品再犯,属于从严掌握减刑对象，因此提请减刑幅度扣减</w:t>
      </w:r>
      <w:r>
        <w:rPr>
          <w:rFonts w:hint="eastAsia" w:ascii="仿宋_GB2312" w:hAnsi="宋体" w:eastAsia="仿宋_GB2312" w:cs="仿宋_GB2312"/>
          <w:kern w:val="32"/>
          <w:sz w:val="32"/>
          <w:szCs w:val="32"/>
          <w:highlight w:val="none"/>
          <w:lang w:val="en-US" w:eastAsia="zh-CN"/>
        </w:rPr>
        <w:t>一</w:t>
      </w:r>
      <w:r>
        <w:rPr>
          <w:rFonts w:hint="eastAsia" w:ascii="仿宋_GB2312" w:hAnsi="宋体" w:eastAsia="仿宋_GB2312" w:cs="仿宋_GB2312"/>
          <w:kern w:val="32"/>
          <w:sz w:val="32"/>
          <w:szCs w:val="32"/>
          <w:highlight w:val="none"/>
        </w:rPr>
        <w:t>个月。</w:t>
      </w:r>
    </w:p>
    <w:p>
      <w:pPr>
        <w:keepNext w:val="0"/>
        <w:keepLines w:val="0"/>
        <w:pageBreakBefore w:val="0"/>
        <w:widowControl w:val="0"/>
        <w:kinsoku w:val="0"/>
        <w:overflowPunct/>
        <w:topLinePunct w:val="0"/>
        <w:autoSpaceDE w:val="0"/>
        <w:autoSpaceDN w:val="0"/>
        <w:bidi w:val="0"/>
        <w:adjustRightInd/>
        <w:snapToGrid/>
        <w:spacing w:line="460" w:lineRule="exact"/>
        <w:ind w:firstLine="640" w:firstLineChars="200"/>
        <w:jc w:val="left"/>
        <w:textAlignment w:val="auto"/>
        <w:rPr>
          <w:rFonts w:hint="eastAsia" w:ascii="仿宋_GB2312" w:hAnsi="宋体" w:eastAsia="仿宋_GB2312" w:cs="仿宋_GB2312"/>
          <w:kern w:val="32"/>
          <w:sz w:val="32"/>
          <w:szCs w:val="32"/>
          <w:highlight w:val="none"/>
        </w:rPr>
      </w:pPr>
      <w:r>
        <w:rPr>
          <w:rFonts w:hint="eastAsia" w:ascii="仿宋_GB2312" w:hAnsi="宋体" w:eastAsia="仿宋_GB2312" w:cs="仿宋_GB2312"/>
          <w:kern w:val="32"/>
          <w:sz w:val="32"/>
          <w:szCs w:val="32"/>
          <w:highlight w:val="none"/>
        </w:rPr>
        <w:t>本案于</w:t>
      </w:r>
      <w:r>
        <w:rPr>
          <w:rFonts w:hint="eastAsia" w:ascii="仿宋_GB2312" w:hAnsi="宋体" w:eastAsia="仿宋_GB2312" w:cs="仿宋_GB2312"/>
          <w:kern w:val="32"/>
          <w:sz w:val="32"/>
          <w:szCs w:val="32"/>
          <w:highlight w:val="none"/>
          <w:lang w:val="en-US" w:eastAsia="zh-CN"/>
        </w:rPr>
        <w:t>2024</w:t>
      </w:r>
      <w:r>
        <w:rPr>
          <w:rFonts w:hint="eastAsia" w:ascii="仿宋_GB2312" w:hAnsi="宋体" w:eastAsia="仿宋_GB2312" w:cs="仿宋_GB2312"/>
          <w:kern w:val="32"/>
          <w:sz w:val="32"/>
          <w:szCs w:val="32"/>
          <w:highlight w:val="none"/>
        </w:rPr>
        <w:t xml:space="preserve">年 </w:t>
      </w:r>
      <w:r>
        <w:rPr>
          <w:rFonts w:hint="eastAsia" w:ascii="仿宋_GB2312" w:hAnsi="宋体" w:eastAsia="仿宋_GB2312" w:cs="仿宋_GB2312"/>
          <w:kern w:val="32"/>
          <w:sz w:val="32"/>
          <w:szCs w:val="32"/>
          <w:highlight w:val="none"/>
          <w:lang w:val="en-US" w:eastAsia="zh-CN"/>
        </w:rPr>
        <w:t>12</w:t>
      </w:r>
      <w:r>
        <w:rPr>
          <w:rFonts w:hint="eastAsia" w:ascii="仿宋_GB2312" w:hAnsi="宋体" w:eastAsia="仿宋_GB2312" w:cs="仿宋_GB2312"/>
          <w:kern w:val="32"/>
          <w:sz w:val="32"/>
          <w:szCs w:val="32"/>
          <w:highlight w:val="none"/>
        </w:rPr>
        <w:t xml:space="preserve"> 月 </w:t>
      </w:r>
      <w:r>
        <w:rPr>
          <w:rFonts w:hint="eastAsia" w:ascii="仿宋_GB2312" w:hAnsi="宋体" w:eastAsia="仿宋_GB2312" w:cs="仿宋_GB2312"/>
          <w:kern w:val="32"/>
          <w:sz w:val="32"/>
          <w:szCs w:val="32"/>
          <w:highlight w:val="none"/>
          <w:lang w:val="en-US" w:eastAsia="zh-CN"/>
        </w:rPr>
        <w:t>17</w:t>
      </w:r>
      <w:r>
        <w:rPr>
          <w:rFonts w:hint="eastAsia" w:ascii="仿宋_GB2312" w:hAnsi="宋体" w:eastAsia="仿宋_GB2312" w:cs="仿宋_GB2312"/>
          <w:kern w:val="32"/>
          <w:sz w:val="32"/>
          <w:szCs w:val="32"/>
          <w:highlight w:val="none"/>
        </w:rPr>
        <w:t xml:space="preserve"> 日至</w:t>
      </w:r>
      <w:r>
        <w:rPr>
          <w:rFonts w:hint="eastAsia" w:ascii="仿宋_GB2312" w:hAnsi="宋体" w:eastAsia="仿宋_GB2312" w:cs="仿宋_GB2312"/>
          <w:kern w:val="32"/>
          <w:sz w:val="32"/>
          <w:szCs w:val="32"/>
          <w:highlight w:val="none"/>
          <w:lang w:val="en-US" w:eastAsia="zh-CN"/>
        </w:rPr>
        <w:t>2024</w:t>
      </w:r>
      <w:r>
        <w:rPr>
          <w:rFonts w:hint="eastAsia" w:ascii="仿宋_GB2312" w:hAnsi="宋体" w:eastAsia="仿宋_GB2312" w:cs="仿宋_GB2312"/>
          <w:kern w:val="32"/>
          <w:sz w:val="32"/>
          <w:szCs w:val="32"/>
          <w:highlight w:val="none"/>
        </w:rPr>
        <w:t xml:space="preserve"> 年 </w:t>
      </w:r>
      <w:r>
        <w:rPr>
          <w:rFonts w:hint="eastAsia" w:ascii="仿宋_GB2312" w:hAnsi="宋体" w:eastAsia="仿宋_GB2312" w:cs="仿宋_GB2312"/>
          <w:kern w:val="32"/>
          <w:sz w:val="32"/>
          <w:szCs w:val="32"/>
          <w:highlight w:val="none"/>
          <w:lang w:val="en-US" w:eastAsia="zh-CN"/>
        </w:rPr>
        <w:t>12</w:t>
      </w:r>
      <w:r>
        <w:rPr>
          <w:rFonts w:hint="eastAsia" w:ascii="仿宋_GB2312" w:hAnsi="宋体" w:eastAsia="仿宋_GB2312" w:cs="仿宋_GB2312"/>
          <w:kern w:val="32"/>
          <w:sz w:val="32"/>
          <w:szCs w:val="32"/>
          <w:highlight w:val="none"/>
        </w:rPr>
        <w:t xml:space="preserve"> 月 </w:t>
      </w:r>
      <w:r>
        <w:rPr>
          <w:rFonts w:hint="eastAsia" w:ascii="仿宋_GB2312" w:hAnsi="宋体" w:eastAsia="仿宋_GB2312" w:cs="仿宋_GB2312"/>
          <w:kern w:val="32"/>
          <w:sz w:val="32"/>
          <w:szCs w:val="32"/>
          <w:highlight w:val="none"/>
          <w:lang w:val="en-US" w:eastAsia="zh-CN"/>
        </w:rPr>
        <w:t>23</w:t>
      </w:r>
      <w:r>
        <w:rPr>
          <w:rFonts w:hint="eastAsia" w:ascii="仿宋_GB2312" w:hAnsi="宋体" w:eastAsia="仿宋_GB2312" w:cs="仿宋_GB2312"/>
          <w:kern w:val="32"/>
          <w:sz w:val="32"/>
          <w:szCs w:val="32"/>
          <w:highlight w:val="none"/>
        </w:rPr>
        <w:t xml:space="preserve"> 日在狱内公示未收到不同意见。</w:t>
      </w:r>
    </w:p>
    <w:p>
      <w:pPr>
        <w:keepNext w:val="0"/>
        <w:keepLines w:val="0"/>
        <w:pageBreakBefore w:val="0"/>
        <w:widowControl w:val="0"/>
        <w:overflowPunct/>
        <w:topLinePunct w:val="0"/>
        <w:bidi w:val="0"/>
        <w:adjustRightInd/>
        <w:snapToGrid/>
        <w:spacing w:line="460" w:lineRule="exact"/>
        <w:ind w:firstLine="640" w:firstLineChars="200"/>
        <w:jc w:val="left"/>
        <w:textAlignment w:val="auto"/>
        <w:rPr>
          <w:rFonts w:hint="eastAsia" w:ascii="仿宋_GB2312" w:hAnsi="Times New Roman" w:eastAsia="仿宋_GB2312"/>
          <w:kern w:val="32"/>
          <w:sz w:val="32"/>
          <w:szCs w:val="32"/>
          <w:highlight w:val="none"/>
        </w:rPr>
      </w:pPr>
      <w:r>
        <w:rPr>
          <w:rFonts w:hint="eastAsia" w:ascii="仿宋_GB2312" w:hAnsi="Times New Roman" w:eastAsia="仿宋_GB2312"/>
          <w:kern w:val="32"/>
          <w:sz w:val="32"/>
          <w:szCs w:val="32"/>
          <w:highlight w:val="none"/>
        </w:rPr>
        <w:t>因此，依照《中华人民共和国刑法》第七十八条、第七十九条</w:t>
      </w:r>
      <w:r>
        <w:rPr>
          <w:rFonts w:hint="eastAsia" w:ascii="仿宋_GB2312" w:hAnsi="Times New Roman" w:eastAsia="仿宋_GB2312"/>
          <w:kern w:val="32"/>
          <w:sz w:val="32"/>
          <w:szCs w:val="32"/>
          <w:highlight w:val="none"/>
          <w:lang w:eastAsia="zh-CN"/>
        </w:rPr>
        <w:t>，</w:t>
      </w:r>
      <w:r>
        <w:rPr>
          <w:rFonts w:hint="eastAsia" w:ascii="仿宋_GB2312" w:hAnsi="Times New Roman" w:eastAsia="仿宋_GB2312"/>
          <w:kern w:val="32"/>
          <w:sz w:val="32"/>
          <w:szCs w:val="32"/>
          <w:highlight w:val="none"/>
        </w:rPr>
        <w:t>《中华人民共和国刑事诉讼法》第二百七十三条第二款和《中华人民共和国监狱法》第二十九条</w:t>
      </w:r>
      <w:r>
        <w:rPr>
          <w:rFonts w:hint="eastAsia" w:ascii="仿宋_GB2312" w:hAnsi="Times New Roman" w:eastAsia="仿宋_GB2312"/>
          <w:kern w:val="32"/>
          <w:sz w:val="32"/>
          <w:szCs w:val="32"/>
          <w:highlight w:val="none"/>
          <w:lang w:eastAsia="zh-CN"/>
        </w:rPr>
        <w:t>之</w:t>
      </w:r>
      <w:r>
        <w:rPr>
          <w:rFonts w:hint="eastAsia" w:ascii="仿宋_GB2312" w:hAnsi="Times New Roman" w:eastAsia="仿宋_GB2312"/>
          <w:kern w:val="32"/>
          <w:sz w:val="32"/>
          <w:szCs w:val="32"/>
          <w:highlight w:val="none"/>
        </w:rPr>
        <w:t>规定，建议对罪犯方清华减刑</w:t>
      </w:r>
      <w:r>
        <w:rPr>
          <w:rFonts w:hint="eastAsia" w:ascii="仿宋_GB2312" w:hAnsi="Times New Roman" w:eastAsia="仿宋_GB2312"/>
          <w:kern w:val="32"/>
          <w:sz w:val="32"/>
          <w:szCs w:val="32"/>
          <w:highlight w:val="none"/>
          <w:lang w:val="en-US" w:eastAsia="zh-CN"/>
        </w:rPr>
        <w:t>七</w:t>
      </w:r>
      <w:r>
        <w:rPr>
          <w:rFonts w:hint="eastAsia" w:ascii="仿宋_GB2312" w:hAnsi="Times New Roman" w:eastAsia="仿宋_GB2312"/>
          <w:kern w:val="32"/>
          <w:sz w:val="32"/>
          <w:szCs w:val="32"/>
          <w:highlight w:val="none"/>
        </w:rPr>
        <w:t>个月。特提请你院审理裁定。</w:t>
      </w:r>
    </w:p>
    <w:p>
      <w:pPr>
        <w:keepNext w:val="0"/>
        <w:keepLines w:val="0"/>
        <w:pageBreakBefore w:val="0"/>
        <w:widowControl w:val="0"/>
        <w:overflowPunct/>
        <w:topLinePunct w:val="0"/>
        <w:bidi w:val="0"/>
        <w:adjustRightInd/>
        <w:snapToGrid/>
        <w:spacing w:line="460" w:lineRule="exact"/>
        <w:ind w:firstLine="640" w:firstLineChars="200"/>
        <w:jc w:val="left"/>
        <w:textAlignment w:val="auto"/>
        <w:rPr>
          <w:rFonts w:hint="eastAsia" w:ascii="仿宋_GB2312" w:hAnsi="Times New Roman" w:eastAsia="仿宋_GB2312"/>
          <w:kern w:val="32"/>
          <w:sz w:val="32"/>
          <w:szCs w:val="32"/>
          <w:highlight w:val="none"/>
        </w:rPr>
      </w:pPr>
      <w:r>
        <w:rPr>
          <w:rFonts w:hint="eastAsia" w:ascii="仿宋_GB2312" w:hAnsi="Times New Roman" w:eastAsia="仿宋_GB2312"/>
          <w:kern w:val="32"/>
          <w:sz w:val="32"/>
          <w:szCs w:val="32"/>
          <w:highlight w:val="none"/>
        </w:rPr>
        <w:t>此致</w:t>
      </w:r>
    </w:p>
    <w:p>
      <w:pPr>
        <w:keepNext w:val="0"/>
        <w:keepLines w:val="0"/>
        <w:pageBreakBefore w:val="0"/>
        <w:widowControl w:val="0"/>
        <w:overflowPunct/>
        <w:topLinePunct w:val="0"/>
        <w:bidi w:val="0"/>
        <w:adjustRightInd/>
        <w:snapToGrid/>
        <w:spacing w:line="460" w:lineRule="exact"/>
        <w:ind w:right="-31" w:rightChars="-15"/>
        <w:jc w:val="left"/>
        <w:textAlignment w:val="auto"/>
        <w:rPr>
          <w:rFonts w:hint="eastAsia" w:ascii="仿宋_GB2312" w:hAnsi="Times New Roman" w:eastAsia="仿宋_GB2312"/>
          <w:kern w:val="32"/>
          <w:sz w:val="32"/>
          <w:szCs w:val="32"/>
          <w:highlight w:val="none"/>
        </w:rPr>
      </w:pPr>
      <w:r>
        <w:rPr>
          <w:rFonts w:hint="eastAsia" w:ascii="仿宋_GB2312" w:hAnsi="Times New Roman" w:eastAsia="仿宋_GB2312"/>
          <w:kern w:val="32"/>
          <w:sz w:val="32"/>
          <w:szCs w:val="32"/>
          <w:highlight w:val="none"/>
        </w:rPr>
        <w:t>福建省厦门市中级人民法院</w:t>
      </w:r>
    </w:p>
    <w:p>
      <w:pPr>
        <w:keepNext w:val="0"/>
        <w:keepLines w:val="0"/>
        <w:pageBreakBefore w:val="0"/>
        <w:widowControl w:val="0"/>
        <w:overflowPunct/>
        <w:topLinePunct w:val="0"/>
        <w:bidi w:val="0"/>
        <w:adjustRightInd/>
        <w:snapToGrid/>
        <w:spacing w:line="460" w:lineRule="exact"/>
        <w:ind w:firstLine="640" w:firstLineChars="200"/>
        <w:jc w:val="left"/>
        <w:textAlignment w:val="auto"/>
        <w:rPr>
          <w:rFonts w:hint="eastAsia" w:ascii="仿宋_GB2312" w:hAnsi="Times New Roman" w:eastAsia="仿宋_GB2312" w:cs="仿宋_GB2312"/>
          <w:kern w:val="32"/>
          <w:sz w:val="32"/>
          <w:szCs w:val="32"/>
          <w:highlight w:val="none"/>
        </w:rPr>
      </w:pPr>
      <w:r>
        <w:rPr>
          <w:rFonts w:hint="eastAsia" w:ascii="仿宋_GB2312" w:hAnsi="Times New Roman" w:eastAsia="仿宋_GB2312" w:cs="仿宋_GB2312"/>
          <w:kern w:val="32"/>
          <w:sz w:val="32"/>
          <w:szCs w:val="32"/>
          <w:highlight w:val="none"/>
        </w:rPr>
        <w:t xml:space="preserve">附件：⒈罪犯方清华卷宗 </w:t>
      </w:r>
      <w:r>
        <w:rPr>
          <w:rFonts w:hint="eastAsia" w:ascii="仿宋_GB2312" w:hAnsi="Times New Roman" w:eastAsia="仿宋_GB2312" w:cs="仿宋_GB2312"/>
          <w:kern w:val="32"/>
          <w:sz w:val="32"/>
          <w:szCs w:val="32"/>
          <w:highlight w:val="none"/>
          <w:lang w:val="en-US" w:eastAsia="zh-CN"/>
        </w:rPr>
        <w:t>4</w:t>
      </w:r>
      <w:r>
        <w:rPr>
          <w:rFonts w:hint="eastAsia" w:ascii="仿宋_GB2312" w:hAnsi="Times New Roman" w:eastAsia="仿宋_GB2312" w:cs="仿宋_GB2312"/>
          <w:kern w:val="32"/>
          <w:sz w:val="32"/>
          <w:szCs w:val="32"/>
          <w:highlight w:val="none"/>
        </w:rPr>
        <w:t xml:space="preserve"> 册</w:t>
      </w:r>
    </w:p>
    <w:p>
      <w:pPr>
        <w:keepNext w:val="0"/>
        <w:keepLines w:val="0"/>
        <w:pageBreakBefore w:val="0"/>
        <w:widowControl w:val="0"/>
        <w:overflowPunct/>
        <w:topLinePunct w:val="0"/>
        <w:bidi w:val="0"/>
        <w:adjustRightInd/>
        <w:snapToGrid/>
        <w:spacing w:line="460" w:lineRule="exact"/>
        <w:ind w:right="-31" w:rightChars="-15" w:firstLine="1600" w:firstLineChars="500"/>
        <w:jc w:val="left"/>
        <w:textAlignment w:val="auto"/>
        <w:rPr>
          <w:rFonts w:hint="eastAsia" w:ascii="仿宋_GB2312" w:hAnsi="Times New Roman" w:eastAsia="仿宋_GB2312" w:cs="仿宋_GB2312"/>
          <w:kern w:val="32"/>
          <w:sz w:val="32"/>
          <w:szCs w:val="32"/>
        </w:rPr>
      </w:pPr>
      <w:r>
        <w:rPr>
          <w:rFonts w:hint="eastAsia" w:ascii="仿宋_GB2312" w:hAnsi="Times New Roman" w:eastAsia="仿宋_GB2312" w:cs="仿宋_GB2312"/>
          <w:kern w:val="32"/>
          <w:sz w:val="32"/>
          <w:szCs w:val="32"/>
        </w:rPr>
        <w:t xml:space="preserve">⒉减刑建议书 </w:t>
      </w:r>
      <w:r>
        <w:rPr>
          <w:rFonts w:hint="eastAsia" w:ascii="仿宋_GB2312" w:hAnsi="Times New Roman" w:eastAsia="仿宋_GB2312" w:cs="仿宋_GB2312"/>
          <w:kern w:val="32"/>
          <w:sz w:val="32"/>
          <w:szCs w:val="32"/>
          <w:lang w:val="en-US" w:eastAsia="zh-CN"/>
        </w:rPr>
        <w:t>2</w:t>
      </w:r>
      <w:r>
        <w:rPr>
          <w:rFonts w:hint="eastAsia" w:ascii="仿宋_GB2312" w:hAnsi="Times New Roman" w:eastAsia="仿宋_GB2312" w:cs="仿宋_GB2312"/>
          <w:kern w:val="32"/>
          <w:sz w:val="32"/>
          <w:szCs w:val="32"/>
        </w:rPr>
        <w:t xml:space="preserve"> 份</w:t>
      </w:r>
    </w:p>
    <w:p>
      <w:pPr>
        <w:keepNext w:val="0"/>
        <w:keepLines w:val="0"/>
        <w:pageBreakBefore w:val="0"/>
        <w:widowControl w:val="0"/>
        <w:wordWrap w:val="0"/>
        <w:overflowPunct/>
        <w:topLinePunct w:val="0"/>
        <w:bidi w:val="0"/>
        <w:adjustRightInd/>
        <w:snapToGrid/>
        <w:spacing w:line="460" w:lineRule="exact"/>
        <w:ind w:right="622" w:rightChars="296" w:firstLine="5734" w:firstLineChars="1792"/>
        <w:jc w:val="left"/>
        <w:textAlignment w:val="auto"/>
        <w:rPr>
          <w:rFonts w:hint="default" w:ascii="仿宋_GB2312" w:hAnsi="Times New Roman" w:eastAsia="仿宋_GB2312"/>
          <w:kern w:val="32"/>
          <w:sz w:val="32"/>
          <w:szCs w:val="32"/>
          <w:lang w:val="en-US" w:eastAsia="zh-CN"/>
        </w:rPr>
      </w:pPr>
      <w:r>
        <w:rPr>
          <w:rFonts w:hint="eastAsia" w:ascii="仿宋_GB2312" w:hAnsi="Times New Roman" w:eastAsia="仿宋_GB2312"/>
          <w:kern w:val="32"/>
          <w:sz w:val="32"/>
          <w:szCs w:val="32"/>
        </w:rPr>
        <w:t>福建省厦门监狱</w:t>
      </w:r>
      <w:r>
        <w:rPr>
          <w:rFonts w:hint="eastAsia" w:ascii="仿宋_GB2312" w:hAnsi="Times New Roman" w:eastAsia="仿宋_GB2312"/>
          <w:kern w:val="32"/>
          <w:sz w:val="32"/>
          <w:szCs w:val="32"/>
          <w:lang w:val="en-US" w:eastAsia="zh-CN"/>
        </w:rPr>
        <w:t xml:space="preserve">  </w:t>
      </w:r>
    </w:p>
    <w:p>
      <w:pPr>
        <w:keepNext w:val="0"/>
        <w:keepLines w:val="0"/>
        <w:pageBreakBefore w:val="0"/>
        <w:widowControl w:val="0"/>
        <w:overflowPunct/>
        <w:topLinePunct w:val="0"/>
        <w:bidi w:val="0"/>
        <w:adjustRightInd/>
        <w:snapToGrid/>
        <w:spacing w:line="460" w:lineRule="exact"/>
        <w:ind w:right="613" w:rightChars="292" w:firstLine="5440" w:firstLineChars="1700"/>
        <w:jc w:val="left"/>
        <w:textAlignment w:val="auto"/>
        <w:rPr>
          <w:rFonts w:hint="eastAsia" w:ascii="仿宋_GB2312" w:hAnsi="Times New Roman" w:eastAsia="仿宋_GB2312"/>
          <w:kern w:val="32"/>
          <w:sz w:val="32"/>
          <w:szCs w:val="32"/>
        </w:rPr>
      </w:pPr>
      <w:r>
        <w:rPr>
          <w:rFonts w:hint="eastAsia" w:ascii="仿宋_GB2312" w:hAnsi="Times New Roman" w:eastAsia="仿宋_GB2312"/>
          <w:kern w:val="32"/>
          <w:sz w:val="32"/>
          <w:szCs w:val="32"/>
          <w:lang w:val="en-US" w:eastAsia="zh-CN"/>
        </w:rPr>
        <w:t>2024</w:t>
      </w:r>
      <w:r>
        <w:rPr>
          <w:rFonts w:hint="eastAsia" w:ascii="仿宋_GB2312" w:hAnsi="Times New Roman" w:eastAsia="仿宋_GB2312"/>
          <w:kern w:val="32"/>
          <w:sz w:val="32"/>
          <w:szCs w:val="32"/>
        </w:rPr>
        <w:t>年</w:t>
      </w:r>
      <w:r>
        <w:rPr>
          <w:rFonts w:hint="eastAsia" w:ascii="仿宋_GB2312" w:hAnsi="Times New Roman" w:eastAsia="仿宋_GB2312"/>
          <w:kern w:val="32"/>
          <w:sz w:val="32"/>
          <w:szCs w:val="32"/>
          <w:lang w:val="en-US" w:eastAsia="zh-CN"/>
        </w:rPr>
        <w:t>12</w:t>
      </w:r>
      <w:r>
        <w:rPr>
          <w:rFonts w:hint="eastAsia" w:ascii="仿宋_GB2312" w:hAnsi="Times New Roman" w:eastAsia="仿宋_GB2312"/>
          <w:kern w:val="32"/>
          <w:sz w:val="32"/>
          <w:szCs w:val="32"/>
        </w:rPr>
        <w:t xml:space="preserve"> 月 </w:t>
      </w:r>
      <w:r>
        <w:rPr>
          <w:rFonts w:hint="eastAsia" w:ascii="仿宋_GB2312" w:hAnsi="Times New Roman" w:eastAsia="仿宋_GB2312"/>
          <w:kern w:val="32"/>
          <w:sz w:val="32"/>
          <w:szCs w:val="32"/>
          <w:lang w:val="en-US" w:eastAsia="zh-CN"/>
        </w:rPr>
        <w:t>26</w:t>
      </w:r>
      <w:r>
        <w:rPr>
          <w:rFonts w:hint="eastAsia" w:ascii="仿宋_GB2312" w:hAnsi="Times New Roman" w:eastAsia="仿宋_GB2312"/>
          <w:kern w:val="32"/>
          <w:sz w:val="32"/>
          <w:szCs w:val="32"/>
        </w:rPr>
        <w:t xml:space="preserve"> 日</w:t>
      </w:r>
    </w:p>
    <w:sectPr>
      <w:pgSz w:w="11906" w:h="16838"/>
      <w:pgMar w:top="1871" w:right="1304" w:bottom="1871" w:left="1587" w:header="851" w:footer="992" w:gutter="0"/>
      <w:cols w:space="720" w:num="1"/>
      <w:docGrid w:type="lines"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43"/>
  <w:displayHorizontalDrawingGridEvery w:val="0"/>
  <w:displayVerticalDrawingGridEvery w:val="2"/>
  <w:doNotShadeFormData w:val="1"/>
  <w:noPunctuationKerning w:val="1"/>
  <w:characterSpacingControl w:val="compressPunctuation"/>
  <w:doNotValidateAgainstSchema/>
  <w:doNotDemarcateInvalidXml/>
  <w:compat>
    <w:spaceForUL/>
    <w:balanceSingleByteDoubleByteWidth/>
    <w:doNotLeaveBackslashAlon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042F"/>
    <w:rsid w:val="000145E9"/>
    <w:rsid w:val="00016756"/>
    <w:rsid w:val="00046A71"/>
    <w:rsid w:val="00053166"/>
    <w:rsid w:val="000663B2"/>
    <w:rsid w:val="0006709E"/>
    <w:rsid w:val="00085206"/>
    <w:rsid w:val="00086ABC"/>
    <w:rsid w:val="00097B96"/>
    <w:rsid w:val="000B39CB"/>
    <w:rsid w:val="000C633C"/>
    <w:rsid w:val="000D3C14"/>
    <w:rsid w:val="000F70CD"/>
    <w:rsid w:val="001026A6"/>
    <w:rsid w:val="00104DDB"/>
    <w:rsid w:val="0010597A"/>
    <w:rsid w:val="00114DB8"/>
    <w:rsid w:val="001354E7"/>
    <w:rsid w:val="00145892"/>
    <w:rsid w:val="00156A3C"/>
    <w:rsid w:val="0015733D"/>
    <w:rsid w:val="00164AA7"/>
    <w:rsid w:val="001771F2"/>
    <w:rsid w:val="001862E6"/>
    <w:rsid w:val="0018778E"/>
    <w:rsid w:val="00196A65"/>
    <w:rsid w:val="001A2AB4"/>
    <w:rsid w:val="001A431C"/>
    <w:rsid w:val="001C1031"/>
    <w:rsid w:val="001D0EF0"/>
    <w:rsid w:val="001D27E1"/>
    <w:rsid w:val="001E09DC"/>
    <w:rsid w:val="00220809"/>
    <w:rsid w:val="002340EF"/>
    <w:rsid w:val="00250F31"/>
    <w:rsid w:val="00255584"/>
    <w:rsid w:val="0027183B"/>
    <w:rsid w:val="002726E9"/>
    <w:rsid w:val="00273420"/>
    <w:rsid w:val="00293B92"/>
    <w:rsid w:val="002C2D9B"/>
    <w:rsid w:val="002D18AB"/>
    <w:rsid w:val="002D3FC3"/>
    <w:rsid w:val="002E1324"/>
    <w:rsid w:val="002E772D"/>
    <w:rsid w:val="002F7496"/>
    <w:rsid w:val="00314EFE"/>
    <w:rsid w:val="00320A78"/>
    <w:rsid w:val="003219C6"/>
    <w:rsid w:val="00323696"/>
    <w:rsid w:val="00325F0F"/>
    <w:rsid w:val="003314D1"/>
    <w:rsid w:val="0033748C"/>
    <w:rsid w:val="003437D2"/>
    <w:rsid w:val="0034456E"/>
    <w:rsid w:val="00346F21"/>
    <w:rsid w:val="00350FF4"/>
    <w:rsid w:val="00357903"/>
    <w:rsid w:val="00362DE9"/>
    <w:rsid w:val="00373F50"/>
    <w:rsid w:val="00383A7D"/>
    <w:rsid w:val="00384EDA"/>
    <w:rsid w:val="0039145A"/>
    <w:rsid w:val="00394F30"/>
    <w:rsid w:val="00397233"/>
    <w:rsid w:val="003A50F3"/>
    <w:rsid w:val="003B5D27"/>
    <w:rsid w:val="003D5FEF"/>
    <w:rsid w:val="003E6F32"/>
    <w:rsid w:val="00433CE9"/>
    <w:rsid w:val="00453CDC"/>
    <w:rsid w:val="00457B90"/>
    <w:rsid w:val="00470380"/>
    <w:rsid w:val="0048758C"/>
    <w:rsid w:val="004928B0"/>
    <w:rsid w:val="004A14D9"/>
    <w:rsid w:val="004A4A8F"/>
    <w:rsid w:val="004A5A97"/>
    <w:rsid w:val="004B0D07"/>
    <w:rsid w:val="004C1A36"/>
    <w:rsid w:val="004C3C9B"/>
    <w:rsid w:val="004C73F5"/>
    <w:rsid w:val="004F0DF5"/>
    <w:rsid w:val="004F3681"/>
    <w:rsid w:val="00501AB3"/>
    <w:rsid w:val="00510FD6"/>
    <w:rsid w:val="005111EA"/>
    <w:rsid w:val="00523C97"/>
    <w:rsid w:val="00524F7C"/>
    <w:rsid w:val="005321DC"/>
    <w:rsid w:val="0054339D"/>
    <w:rsid w:val="005468B4"/>
    <w:rsid w:val="00566398"/>
    <w:rsid w:val="00577985"/>
    <w:rsid w:val="00582F1A"/>
    <w:rsid w:val="00584BFE"/>
    <w:rsid w:val="00584F14"/>
    <w:rsid w:val="00586442"/>
    <w:rsid w:val="005A6E6A"/>
    <w:rsid w:val="005B7682"/>
    <w:rsid w:val="005D0520"/>
    <w:rsid w:val="005D7754"/>
    <w:rsid w:val="005E2839"/>
    <w:rsid w:val="005F4C91"/>
    <w:rsid w:val="005F754C"/>
    <w:rsid w:val="00600774"/>
    <w:rsid w:val="00635D5D"/>
    <w:rsid w:val="00637AB5"/>
    <w:rsid w:val="0067387A"/>
    <w:rsid w:val="006D594D"/>
    <w:rsid w:val="006E2A48"/>
    <w:rsid w:val="006E3396"/>
    <w:rsid w:val="006F0B97"/>
    <w:rsid w:val="00714EDB"/>
    <w:rsid w:val="00722A8E"/>
    <w:rsid w:val="007231A9"/>
    <w:rsid w:val="00724524"/>
    <w:rsid w:val="007270AE"/>
    <w:rsid w:val="007310B4"/>
    <w:rsid w:val="00735706"/>
    <w:rsid w:val="0074042A"/>
    <w:rsid w:val="0077300B"/>
    <w:rsid w:val="007810D4"/>
    <w:rsid w:val="0079748E"/>
    <w:rsid w:val="007A64E3"/>
    <w:rsid w:val="007C4425"/>
    <w:rsid w:val="007C4B9C"/>
    <w:rsid w:val="007C5BDF"/>
    <w:rsid w:val="007C78F2"/>
    <w:rsid w:val="007E15EE"/>
    <w:rsid w:val="00802738"/>
    <w:rsid w:val="00824589"/>
    <w:rsid w:val="00832179"/>
    <w:rsid w:val="0083244A"/>
    <w:rsid w:val="00834BF7"/>
    <w:rsid w:val="00841487"/>
    <w:rsid w:val="00855BA0"/>
    <w:rsid w:val="00864B7A"/>
    <w:rsid w:val="0087774C"/>
    <w:rsid w:val="008C5923"/>
    <w:rsid w:val="008D0AF8"/>
    <w:rsid w:val="008F2D4B"/>
    <w:rsid w:val="0090689D"/>
    <w:rsid w:val="00906F81"/>
    <w:rsid w:val="00933BAC"/>
    <w:rsid w:val="00946F95"/>
    <w:rsid w:val="0094735F"/>
    <w:rsid w:val="009478BD"/>
    <w:rsid w:val="00955F90"/>
    <w:rsid w:val="00967C9D"/>
    <w:rsid w:val="009917FF"/>
    <w:rsid w:val="009C74C3"/>
    <w:rsid w:val="009D3FA2"/>
    <w:rsid w:val="009D76EF"/>
    <w:rsid w:val="009E35D6"/>
    <w:rsid w:val="009F2909"/>
    <w:rsid w:val="00A048AA"/>
    <w:rsid w:val="00A12AE0"/>
    <w:rsid w:val="00A16503"/>
    <w:rsid w:val="00A17595"/>
    <w:rsid w:val="00A23D94"/>
    <w:rsid w:val="00A339F8"/>
    <w:rsid w:val="00A35352"/>
    <w:rsid w:val="00A35BCB"/>
    <w:rsid w:val="00A41C45"/>
    <w:rsid w:val="00A47F13"/>
    <w:rsid w:val="00A7549F"/>
    <w:rsid w:val="00A86EC1"/>
    <w:rsid w:val="00AA4FB7"/>
    <w:rsid w:val="00AB19F5"/>
    <w:rsid w:val="00AB4C45"/>
    <w:rsid w:val="00AC070A"/>
    <w:rsid w:val="00AC2B0E"/>
    <w:rsid w:val="00AC513D"/>
    <w:rsid w:val="00AE5F05"/>
    <w:rsid w:val="00B030A8"/>
    <w:rsid w:val="00B046BA"/>
    <w:rsid w:val="00B13003"/>
    <w:rsid w:val="00B16E0F"/>
    <w:rsid w:val="00B178CC"/>
    <w:rsid w:val="00B17CD1"/>
    <w:rsid w:val="00B262CE"/>
    <w:rsid w:val="00B266A0"/>
    <w:rsid w:val="00B57A20"/>
    <w:rsid w:val="00B57F8D"/>
    <w:rsid w:val="00B7134B"/>
    <w:rsid w:val="00B822D8"/>
    <w:rsid w:val="00B83D5D"/>
    <w:rsid w:val="00B86122"/>
    <w:rsid w:val="00B93181"/>
    <w:rsid w:val="00BA1EBB"/>
    <w:rsid w:val="00BC00B1"/>
    <w:rsid w:val="00BC14EF"/>
    <w:rsid w:val="00BC267A"/>
    <w:rsid w:val="00BD5535"/>
    <w:rsid w:val="00BF76EB"/>
    <w:rsid w:val="00C21A15"/>
    <w:rsid w:val="00C24A3B"/>
    <w:rsid w:val="00C31DD6"/>
    <w:rsid w:val="00C46813"/>
    <w:rsid w:val="00C47487"/>
    <w:rsid w:val="00CA10C0"/>
    <w:rsid w:val="00CC2547"/>
    <w:rsid w:val="00CC5041"/>
    <w:rsid w:val="00CE326E"/>
    <w:rsid w:val="00CF7CC6"/>
    <w:rsid w:val="00D01154"/>
    <w:rsid w:val="00D170BD"/>
    <w:rsid w:val="00D202D9"/>
    <w:rsid w:val="00D42998"/>
    <w:rsid w:val="00D43710"/>
    <w:rsid w:val="00D67BDA"/>
    <w:rsid w:val="00D7139F"/>
    <w:rsid w:val="00D92623"/>
    <w:rsid w:val="00D95FD0"/>
    <w:rsid w:val="00D96FFF"/>
    <w:rsid w:val="00DB0194"/>
    <w:rsid w:val="00DB294D"/>
    <w:rsid w:val="00DB30C6"/>
    <w:rsid w:val="00DD775F"/>
    <w:rsid w:val="00DE58EC"/>
    <w:rsid w:val="00DE683C"/>
    <w:rsid w:val="00E1420C"/>
    <w:rsid w:val="00E17E68"/>
    <w:rsid w:val="00E27C9F"/>
    <w:rsid w:val="00E454C2"/>
    <w:rsid w:val="00E81341"/>
    <w:rsid w:val="00E8437B"/>
    <w:rsid w:val="00E95C21"/>
    <w:rsid w:val="00ED4D63"/>
    <w:rsid w:val="00ED5E8A"/>
    <w:rsid w:val="00ED6BBE"/>
    <w:rsid w:val="00ED7B44"/>
    <w:rsid w:val="00EE447D"/>
    <w:rsid w:val="00F137CF"/>
    <w:rsid w:val="00F22805"/>
    <w:rsid w:val="00F376F3"/>
    <w:rsid w:val="00F50FFB"/>
    <w:rsid w:val="00F5718D"/>
    <w:rsid w:val="00F61619"/>
    <w:rsid w:val="00F93F47"/>
    <w:rsid w:val="00FA04FB"/>
    <w:rsid w:val="00FA5CAC"/>
    <w:rsid w:val="00FB68A0"/>
    <w:rsid w:val="00FC27D9"/>
    <w:rsid w:val="00FC691A"/>
    <w:rsid w:val="00FD7A4B"/>
    <w:rsid w:val="00FE0C7D"/>
    <w:rsid w:val="00FE17F8"/>
    <w:rsid w:val="00FE65E3"/>
    <w:rsid w:val="02367604"/>
    <w:rsid w:val="04AE65F1"/>
    <w:rsid w:val="18DE483A"/>
    <w:rsid w:val="1CBA2529"/>
    <w:rsid w:val="2DE761B5"/>
    <w:rsid w:val="56DC686B"/>
    <w:rsid w:val="690C17A8"/>
    <w:rsid w:val="7E1D101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kern w:val="2"/>
      <w:sz w:val="21"/>
      <w:szCs w:val="22"/>
      <w:lang w:val="en-US" w:eastAsia="zh-CN" w:bidi="ar-SA"/>
    </w:rPr>
  </w:style>
  <w:style w:type="character" w:default="1" w:styleId="6">
    <w:name w:val="Default Paragraph Font"/>
    <w:uiPriority w:val="0"/>
  </w:style>
  <w:style w:type="table" w:default="1" w:styleId="5">
    <w:name w:val="Normal Table"/>
    <w:unhideWhenUsed/>
    <w:uiPriority w:val="99"/>
    <w:tblPr>
      <w:tblStyle w:val="5"/>
      <w:tblCellMar>
        <w:top w:w="0" w:type="dxa"/>
        <w:left w:w="108" w:type="dxa"/>
        <w:bottom w:w="0" w:type="dxa"/>
        <w:right w:w="108" w:type="dxa"/>
      </w:tblCellMar>
    </w:tblPr>
  </w:style>
  <w:style w:type="paragraph" w:styleId="2">
    <w:name w:val="Balloon Text"/>
    <w:basedOn w:val="1"/>
    <w:link w:val="7"/>
    <w:unhideWhenUsed/>
    <w:uiPriority w:val="99"/>
    <w:rPr>
      <w:sz w:val="18"/>
      <w:szCs w:val="18"/>
    </w:rPr>
  </w:style>
  <w:style w:type="paragraph" w:styleId="3">
    <w:name w:val="footer"/>
    <w:basedOn w:val="1"/>
    <w:link w:val="8"/>
    <w:uiPriority w:val="0"/>
    <w:pPr>
      <w:tabs>
        <w:tab w:val="center" w:pos="4153"/>
        <w:tab w:val="right" w:pos="8306"/>
      </w:tabs>
      <w:snapToGrid w:val="0"/>
      <w:jc w:val="left"/>
    </w:pPr>
    <w:rPr>
      <w:rFonts w:ascii="Times New Roman" w:hAnsi="Times New Roman"/>
      <w:kern w:val="0"/>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7">
    <w:name w:val="批注框文本 Char"/>
    <w:link w:val="2"/>
    <w:semiHidden/>
    <w:uiPriority w:val="99"/>
    <w:rPr>
      <w:rFonts w:ascii="Calibri" w:hAnsi="Calibri"/>
      <w:kern w:val="2"/>
      <w:sz w:val="18"/>
      <w:szCs w:val="18"/>
    </w:rPr>
  </w:style>
  <w:style w:type="character" w:customStyle="1" w:styleId="8">
    <w:name w:val="页脚 Char"/>
    <w:link w:val="3"/>
    <w:uiPriority w:val="0"/>
    <w:rPr>
      <w:rFonts w:cs="Times New Roman"/>
      <w:sz w:val="18"/>
      <w:szCs w:val="18"/>
    </w:rPr>
  </w:style>
  <w:style w:type="character" w:customStyle="1" w:styleId="9">
    <w:name w:val="页眉 Char"/>
    <w:link w:val="4"/>
    <w:uiPriority w:val="0"/>
    <w:rPr>
      <w:rFonts w:cs="Times New Roman"/>
      <w:sz w:val="18"/>
      <w:szCs w:val="18"/>
    </w:rPr>
  </w:style>
  <w:style w:type="paragraph" w:customStyle="1" w:styleId="10">
    <w:name w:val="List Paragraph"/>
    <w:basedOn w:val="1"/>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联想中国</Company>
  <Pages>2</Pages>
  <Words>176</Words>
  <Characters>1008</Characters>
  <Lines>8</Lines>
  <Paragraphs>2</Paragraphs>
  <TotalTime>4</TotalTime>
  <ScaleCrop>false</ScaleCrop>
  <LinksUpToDate>false</LinksUpToDate>
  <CharactersWithSpaces>1182</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2021-04-05T18:27:00Z</dcterms:created>
  <dc:creator>联想用户</dc:creator>
  <cp:lastModifiedBy>周文娟</cp:lastModifiedBy>
  <cp:lastPrinted>2024-11-02T02:30:03Z</cp:lastPrinted>
  <dcterms:modified xsi:type="dcterms:W3CDTF">2024-12-25T08:26:16Z</dcterms:modified>
  <dc:title>联想用户</dc:title>
  <cp:revision>188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1F08F1C31B074A5F92DB8EB6A24D70FD</vt:lpwstr>
  </property>
</Properties>
</file>