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福建省厦门监狱</w:t>
      </w:r>
    </w:p>
    <w:p>
      <w:pPr>
        <w:snapToGrid w:val="0"/>
        <w:spacing w:line="600" w:lineRule="exact"/>
        <w:jc w:val="center"/>
        <w:rPr>
          <w:rFonts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440" w:lineRule="exact"/>
        <w:ind w:firstLine="4800" w:firstLineChars="1500"/>
        <w:jc w:val="left"/>
        <w:textAlignment w:val="auto"/>
        <w:rPr>
          <w:rFonts w:hint="eastAsia" w:ascii="楷体" w:hAnsi="楷体" w:eastAsia="楷体" w:cs="楷体_GB2312"/>
          <w:szCs w:val="32"/>
        </w:rPr>
      </w:pPr>
      <w:r>
        <w:rPr>
          <w:rFonts w:hint="eastAsia" w:ascii="楷体" w:hAnsi="楷体" w:eastAsia="楷体" w:cs="楷体_GB2312"/>
          <w:szCs w:val="32"/>
        </w:rPr>
        <w:t>〔2024〕闽厦狱减字第642号</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仿宋_GB2312"/>
          <w:szCs w:val="32"/>
        </w:rPr>
      </w:pPr>
      <w:r>
        <w:rPr>
          <w:rFonts w:hint="eastAsia" w:ascii="仿宋_GB2312"/>
          <w:szCs w:val="32"/>
        </w:rPr>
        <w:t>罪犯吕贵荣，曾用名：吕廷荣，男，汉族，初中文化，原户籍所在地福建省长汀县</w:t>
      </w:r>
      <w:bookmarkStart w:id="0" w:name="_GoBack"/>
      <w:bookmarkEnd w:id="0"/>
      <w:r>
        <w:rPr>
          <w:rFonts w:hint="eastAsia" w:ascii="仿宋_GB2312"/>
          <w:szCs w:val="32"/>
        </w:rPr>
        <w:t>。2013年12月16日因犯非法买卖制毒物品罪被福建省长汀县人民法院判处有期徒刑一年六个月，并处罚金人民币五万元，于2015年1月8日刑满释放。系累犯</w:t>
      </w:r>
      <w:r>
        <w:rPr>
          <w:rFonts w:hint="eastAsia" w:ascii="仿宋_GB2312"/>
          <w:szCs w:val="32"/>
          <w:lang w:eastAsia="zh-CN"/>
        </w:rPr>
        <w:t>（</w:t>
      </w:r>
      <w:r>
        <w:rPr>
          <w:rFonts w:hint="eastAsia" w:ascii="仿宋_GB2312"/>
          <w:szCs w:val="32"/>
        </w:rPr>
        <w:t>毒品再犯</w:t>
      </w:r>
      <w:r>
        <w:rPr>
          <w:rFonts w:hint="eastAsia" w:ascii="仿宋_GB2312"/>
          <w:szCs w:val="32"/>
          <w:lang w:eastAsia="zh-CN"/>
        </w:rPr>
        <w:t>）</w:t>
      </w:r>
      <w:r>
        <w:rPr>
          <w:rFonts w:hint="eastAsia" w:ascii="仿宋_GB2312"/>
          <w:szCs w:val="32"/>
        </w:rPr>
        <w:t>。</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仿宋_GB2312"/>
          <w:szCs w:val="32"/>
        </w:rPr>
      </w:pPr>
      <w:r>
        <w:rPr>
          <w:rFonts w:hint="eastAsia" w:ascii="仿宋_GB2312"/>
          <w:szCs w:val="32"/>
        </w:rPr>
        <w:t>福建省龙岩市中级人民法院于2018年12月13日作出（2018）闽08刑初5号刑事判决，以被告人吕贵荣犯贩卖毒品罪，判处死刑，缓期二年执行，剥夺政治权利终身，并处没收个人全部财产；犯非法买卖制毒物品罪，判处有期徒刑九年，并处罚金人民币十五万元，决定执行死刑，缓期二年执行，剥夺政治权利终身，并处没收个人全部财产，追缴违法所得人民币六万三千元。该犯不服，提出上诉。福建省高级人民法院于2019年7月19日以（2019）闽刑终137号刑事裁定书裁定：驳回上诉，维持原判。核准福建省龙岩市中级人民法院作出</w:t>
      </w:r>
      <w:r>
        <w:rPr>
          <w:rFonts w:hint="eastAsia" w:ascii="仿宋_GB2312"/>
          <w:szCs w:val="32"/>
          <w:lang w:val="en-US" w:eastAsia="zh-CN"/>
        </w:rPr>
        <w:t>的</w:t>
      </w:r>
      <w:r>
        <w:rPr>
          <w:rFonts w:hint="eastAsia" w:ascii="仿宋_GB2312"/>
          <w:szCs w:val="32"/>
        </w:rPr>
        <w:t>（2018）闽08刑初5号刑事判决。死刑，缓期</w:t>
      </w:r>
      <w:r>
        <w:rPr>
          <w:rFonts w:hint="eastAsia" w:ascii="仿宋_GB2312"/>
          <w:szCs w:val="32"/>
          <w:lang w:val="en-US" w:eastAsia="zh-CN"/>
        </w:rPr>
        <w:t>二</w:t>
      </w:r>
      <w:r>
        <w:rPr>
          <w:rFonts w:hint="eastAsia" w:ascii="仿宋_GB2312"/>
          <w:szCs w:val="32"/>
        </w:rPr>
        <w:t>年执行起算日期</w:t>
      </w:r>
      <w:r>
        <w:rPr>
          <w:rFonts w:hint="eastAsia" w:ascii="仿宋_GB2312"/>
          <w:szCs w:val="32"/>
          <w:lang w:val="en-US" w:eastAsia="zh-CN"/>
        </w:rPr>
        <w:t>自</w:t>
      </w:r>
      <w:r>
        <w:rPr>
          <w:rFonts w:hint="eastAsia" w:ascii="仿宋_GB2312"/>
          <w:szCs w:val="32"/>
        </w:rPr>
        <w:t>2019年7月31日起至2021年7月30日届满。</w:t>
      </w:r>
      <w:r>
        <w:rPr>
          <w:rFonts w:hint="eastAsia" w:ascii="仿宋_GB2312"/>
          <w:szCs w:val="32"/>
          <w:lang w:val="en-US" w:eastAsia="zh-CN"/>
        </w:rPr>
        <w:t>判决生效后，于</w:t>
      </w:r>
      <w:r>
        <w:rPr>
          <w:rFonts w:hint="eastAsia" w:ascii="仿宋_GB2312"/>
          <w:szCs w:val="32"/>
        </w:rPr>
        <w:t>2019年8月7日交付厦门监狱执行刑罚。2022年3月20日，福建省高级人民法院以(2022)闽刑更86号刑事裁定，对其减为无期徒刑，剥夺政治权利终身不变。</w:t>
      </w:r>
      <w:r>
        <w:rPr>
          <w:rFonts w:hint="eastAsia" w:ascii="仿宋_GB2312"/>
          <w:szCs w:val="32"/>
          <w:lang w:val="en-US" w:eastAsia="zh-CN"/>
        </w:rPr>
        <w:t>于</w:t>
      </w:r>
      <w:r>
        <w:rPr>
          <w:rFonts w:hint="eastAsia" w:ascii="仿宋_GB2312"/>
          <w:szCs w:val="32"/>
        </w:rPr>
        <w:t>2022年4月15日送达。现属普管</w:t>
      </w:r>
      <w:r>
        <w:rPr>
          <w:rFonts w:ascii="仿宋_GB2312"/>
          <w:szCs w:val="32"/>
        </w:rPr>
        <w:t>级</w:t>
      </w:r>
      <w:r>
        <w:rPr>
          <w:rFonts w:hint="eastAsia" w:ascii="仿宋_GB2312"/>
          <w:szCs w:val="32"/>
        </w:rPr>
        <w:t>罪犯。</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ascii="仿宋_GB2312" w:hAnsi="Times New Roman" w:cs="仿宋_GB2312"/>
          <w:color w:val="000000"/>
          <w:szCs w:val="32"/>
        </w:rPr>
      </w:pPr>
      <w:r>
        <w:rPr>
          <w:rFonts w:hint="eastAsia" w:ascii="仿宋_GB2312"/>
          <w:szCs w:val="32"/>
        </w:rPr>
        <w:t>该犯在死刑缓期执行期间没有故意犯罪，自入监以来改造表现如下：</w:t>
      </w:r>
      <w:r>
        <w:rPr>
          <w:rFonts w:ascii="仿宋_GB2312" w:hAnsi="Times New Roman" w:cs="仿宋_GB2312"/>
          <w:color w:val="000000"/>
          <w:szCs w:val="32"/>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仿宋_GB2312" w:hAnsi="仿宋"/>
          <w:iCs/>
          <w:color w:val="000000"/>
          <w:kern w:val="2"/>
          <w:szCs w:val="32"/>
        </w:rPr>
      </w:pPr>
      <w:r>
        <w:rPr>
          <w:rFonts w:hint="eastAsia" w:ascii="仿宋_GB2312" w:hAnsi="仿宋"/>
          <w:iCs/>
          <w:kern w:val="2"/>
          <w:szCs w:val="32"/>
        </w:rPr>
        <w:t>认罪悔罪：能服从法院判决，自书认罪悔罪书</w:t>
      </w:r>
      <w:r>
        <w:rPr>
          <w:rFonts w:hint="eastAsia" w:ascii="仿宋_GB2312" w:hAnsi="仿宋"/>
          <w:iCs/>
          <w:color w:val="000000"/>
          <w:kern w:val="2"/>
          <w:szCs w:val="32"/>
        </w:rPr>
        <w:t>。</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仿宋_GB2312" w:hAnsi="仿宋" w:cs="宋体"/>
          <w:color w:val="000000"/>
          <w:szCs w:val="32"/>
          <w:lang w:val="zh-CN"/>
        </w:rPr>
      </w:pPr>
      <w:r>
        <w:rPr>
          <w:rFonts w:hint="eastAsia" w:ascii="仿宋_GB2312"/>
          <w:szCs w:val="32"/>
        </w:rPr>
        <w:t>遵守监规：该犯自入监以来，违规4次，累计扣62分（</w:t>
      </w:r>
      <w:r>
        <w:rPr>
          <w:rFonts w:hint="eastAsia" w:ascii="仿宋_GB2312"/>
          <w:szCs w:val="32"/>
          <w:lang w:val="en-US" w:eastAsia="zh-CN"/>
        </w:rPr>
        <w:t>无重大违规</w:t>
      </w:r>
      <w:r>
        <w:rPr>
          <w:rFonts w:hint="eastAsia" w:ascii="仿宋_GB2312"/>
          <w:szCs w:val="32"/>
        </w:rPr>
        <w:t>）</w:t>
      </w:r>
      <w:r>
        <w:rPr>
          <w:rFonts w:hint="eastAsia" w:ascii="仿宋_GB2312"/>
          <w:szCs w:val="32"/>
          <w:lang w:eastAsia="zh-CN"/>
        </w:rPr>
        <w:t>。</w:t>
      </w:r>
      <w:r>
        <w:rPr>
          <w:rFonts w:hint="eastAsia" w:ascii="仿宋_GB2312"/>
          <w:szCs w:val="32"/>
        </w:rPr>
        <w:t>经民警教育后，</w:t>
      </w:r>
      <w:r>
        <w:rPr>
          <w:rFonts w:hint="eastAsia" w:ascii="仿宋_GB2312" w:hAnsi="仿宋" w:cs="宋体"/>
          <w:szCs w:val="32"/>
          <w:lang w:val="zh-CN"/>
        </w:rPr>
        <w:t>能基本遵守法律法规及监规纪律，接受教育改造</w:t>
      </w:r>
      <w:r>
        <w:rPr>
          <w:rFonts w:hint="eastAsia" w:ascii="仿宋_GB2312" w:hAnsi="仿宋" w:cs="宋体"/>
          <w:color w:val="000000"/>
          <w:szCs w:val="32"/>
          <w:lang w:val="zh-CN"/>
        </w:rPr>
        <w:t>。</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仿宋_GB2312"/>
          <w:szCs w:val="32"/>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仿宋_GB2312"/>
          <w:szCs w:val="32"/>
        </w:rPr>
      </w:pPr>
      <w:r>
        <w:rPr>
          <w:rFonts w:hint="eastAsia" w:ascii="仿宋_GB2312"/>
          <w:szCs w:val="32"/>
        </w:rPr>
        <w:t>奖惩情况：该犯2019年8月7日至2021年7月累计获考核分2460.5分，2021年8月至2024年9月累计获考核分4162.5分，合计获得考核分6623分，表扬11次。2019年8月7日至2021年7月违规3次，累计扣60分；2021年8月至2024年9月违规1次，累计扣2分，均无重大违规情形。</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仿宋_GB2312"/>
          <w:szCs w:val="32"/>
        </w:rPr>
      </w:pPr>
      <w:r>
        <w:rPr>
          <w:rFonts w:hint="eastAsia" w:ascii="仿宋_GB2312"/>
          <w:szCs w:val="32"/>
        </w:rPr>
        <w:t>原判财产性判项没收个人全部财产，追缴违法所得六万三千元。已履行6</w:t>
      </w:r>
      <w:r>
        <w:rPr>
          <w:rFonts w:hint="eastAsia" w:ascii="仿宋_GB2312"/>
          <w:szCs w:val="32"/>
          <w:lang w:val="en-US" w:eastAsia="zh-CN"/>
        </w:rPr>
        <w:t>4</w:t>
      </w:r>
      <w:r>
        <w:rPr>
          <w:rFonts w:hint="eastAsia" w:ascii="仿宋_GB2312"/>
          <w:szCs w:val="32"/>
        </w:rPr>
        <w:t>000元。其中本次向福建省龙岩市中级人民法院履行没收个人全部财产1000元，追缴违法所得63000元。考核期月均消费276.83元，缴交后账户可用余额139.04元。福建省龙岩市中级人民法院执行局回函：吕贵荣家属于2024年5月20日在该院退缴违法所得人民币10000元；福建省龙岩市中级人民法院于2024年9月2日作出（2024）闽08执字198号之一执行裁定书载明：被执行人吕贵荣已执行违法所得5.3万元，暂无其他可供执行的财产，终结本次执行程序。</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仿宋_GB2312"/>
          <w:szCs w:val="32"/>
        </w:rPr>
      </w:pPr>
      <w:r>
        <w:rPr>
          <w:rFonts w:hint="eastAsia" w:ascii="仿宋_GB2312"/>
          <w:szCs w:val="32"/>
        </w:rPr>
        <w:t>本案于2024年12月17日至2024年12月23日在狱内公示未收到不同意见。</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仿宋_GB2312"/>
          <w:color w:val="000000"/>
          <w:szCs w:val="32"/>
        </w:rPr>
      </w:pPr>
      <w:r>
        <w:rPr>
          <w:rFonts w:hint="eastAsia"/>
          <w:szCs w:val="32"/>
        </w:rPr>
        <w:t>因此，依照</w:t>
      </w:r>
      <w:r>
        <w:rPr>
          <w:rFonts w:hint="eastAsia" w:ascii="仿宋_GB2312" w:hAnsi="仿宋_GB2312" w:cs="仿宋_GB2312"/>
          <w:szCs w:val="32"/>
        </w:rPr>
        <w:t>《中华人民共和国刑法》第五十七条、第七十八条</w:t>
      </w:r>
      <w:r>
        <w:rPr>
          <w:rFonts w:hint="eastAsia" w:ascii="仿宋_GB2312" w:hAnsi="仿宋_GB2312" w:cs="仿宋_GB2312"/>
          <w:szCs w:val="32"/>
          <w:lang w:eastAsia="zh-CN"/>
        </w:rPr>
        <w:t>，</w:t>
      </w:r>
      <w:r>
        <w:rPr>
          <w:rFonts w:hint="eastAsia" w:ascii="仿宋_GB2312" w:hAnsi="仿宋_GB2312" w:cs="仿宋_GB2312"/>
          <w:szCs w:val="32"/>
        </w:rPr>
        <w:t>《中华人民共和国刑事诉讼法》第二百七十三条第二款和《中华</w:t>
      </w:r>
      <w:r>
        <w:rPr>
          <w:rFonts w:hint="eastAsia" w:ascii="仿宋_GB2312" w:hAnsi="仿宋_GB2312" w:cs="仿宋_GB2312"/>
          <w:color w:val="000000"/>
          <w:szCs w:val="32"/>
        </w:rPr>
        <w:t>人民共和国监狱法》第二十九条</w:t>
      </w:r>
      <w:r>
        <w:rPr>
          <w:rFonts w:hint="eastAsia" w:ascii="仿宋_GB2312" w:hAnsi="仿宋_GB2312" w:cs="仿宋_GB2312"/>
          <w:color w:val="000000"/>
          <w:szCs w:val="32"/>
          <w:lang w:val="en-US" w:eastAsia="zh-CN"/>
        </w:rPr>
        <w:t>的</w:t>
      </w:r>
      <w:r>
        <w:rPr>
          <w:rFonts w:hint="eastAsia" w:ascii="仿宋_GB2312" w:hAnsi="仿宋_GB2312" w:cs="仿宋_GB2312"/>
          <w:color w:val="000000"/>
          <w:szCs w:val="32"/>
        </w:rPr>
        <w:t>规定</w:t>
      </w:r>
      <w:r>
        <w:rPr>
          <w:rFonts w:hint="eastAsia" w:ascii="仿宋_GB2312"/>
          <w:color w:val="000000"/>
          <w:szCs w:val="32"/>
        </w:rPr>
        <w:t>，建议对罪犯吕贵荣予以减为有期徒刑二十五年，剥夺政治权利改为十年。特提请你院审理裁定。</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仿宋_GB2312"/>
          <w:szCs w:val="32"/>
        </w:rPr>
      </w:pPr>
      <w:r>
        <w:rPr>
          <w:rFonts w:hint="eastAsia" w:ascii="仿宋_GB2312"/>
          <w:szCs w:val="32"/>
        </w:rPr>
        <w:t>此致</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_GB2312"/>
          <w:szCs w:val="32"/>
        </w:rPr>
      </w:pPr>
      <w:r>
        <w:rPr>
          <w:rFonts w:hint="eastAsia" w:ascii="仿宋_GB2312"/>
          <w:szCs w:val="32"/>
        </w:rPr>
        <w:t>福建省高级人民法院</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仿宋_GB2312"/>
          <w:szCs w:val="32"/>
        </w:rPr>
      </w:pPr>
      <w:r>
        <w:rPr>
          <w:rFonts w:hint="eastAsia" w:ascii="仿宋_GB2312"/>
          <w:szCs w:val="32"/>
        </w:rPr>
        <w:t>附件：</w:t>
      </w:r>
      <w:r>
        <w:rPr>
          <w:rFonts w:hint="eastAsia" w:ascii="仿宋_GB2312"/>
          <w:szCs w:val="32"/>
          <w:lang w:val="en-US" w:eastAsia="zh-CN"/>
        </w:rPr>
        <w:t>1、</w:t>
      </w:r>
      <w:r>
        <w:rPr>
          <w:rFonts w:hint="eastAsia" w:ascii="仿宋_GB2312"/>
          <w:szCs w:val="32"/>
        </w:rPr>
        <w:t>罪犯吕贵荣卷宗3册</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861" w:leftChars="0" w:firstLine="640" w:firstLineChars="200"/>
        <w:jc w:val="left"/>
        <w:textAlignment w:val="auto"/>
        <w:rPr>
          <w:rFonts w:ascii="仿宋_GB2312"/>
          <w:szCs w:val="32"/>
        </w:rPr>
      </w:pPr>
      <w:r>
        <w:rPr>
          <w:rFonts w:hint="eastAsia" w:ascii="仿宋_GB2312"/>
          <w:szCs w:val="32"/>
          <w:lang w:val="en-US" w:eastAsia="zh-CN"/>
        </w:rPr>
        <w:t>2、</w:t>
      </w:r>
      <w:r>
        <w:rPr>
          <w:rFonts w:hint="eastAsia" w:ascii="仿宋_GB2312"/>
          <w:szCs w:val="32"/>
        </w:rPr>
        <w:t>减刑建议书2份</w:t>
      </w:r>
    </w:p>
    <w:p>
      <w:pPr>
        <w:keepNext w:val="0"/>
        <w:keepLines w:val="0"/>
        <w:pageBreakBefore w:val="0"/>
        <w:widowControl w:val="0"/>
        <w:kinsoku/>
        <w:wordWrap/>
        <w:overflowPunct/>
        <w:topLinePunct w:val="0"/>
        <w:autoSpaceDE/>
        <w:autoSpaceDN/>
        <w:bidi w:val="0"/>
        <w:adjustRightInd/>
        <w:snapToGrid/>
        <w:spacing w:line="440" w:lineRule="exact"/>
        <w:ind w:right="954" w:rightChars="298" w:firstLine="5414" w:firstLineChars="1692"/>
        <w:jc w:val="left"/>
        <w:textAlignment w:val="auto"/>
        <w:rPr>
          <w:rFonts w:hint="eastAsia" w:ascii="仿宋_GB2312"/>
          <w:szCs w:val="32"/>
        </w:rPr>
      </w:pPr>
      <w:r>
        <w:rPr>
          <w:rFonts w:hint="eastAsia" w:ascii="仿宋_GB2312"/>
          <w:szCs w:val="32"/>
        </w:rPr>
        <w:t xml:space="preserve"> 福建省厦门监狱</w:t>
      </w:r>
    </w:p>
    <w:p>
      <w:pPr>
        <w:keepNext w:val="0"/>
        <w:keepLines w:val="0"/>
        <w:pageBreakBefore w:val="0"/>
        <w:widowControl w:val="0"/>
        <w:kinsoku/>
        <w:wordWrap/>
        <w:overflowPunct/>
        <w:topLinePunct w:val="0"/>
        <w:autoSpaceDE/>
        <w:autoSpaceDN/>
        <w:bidi w:val="0"/>
        <w:adjustRightInd/>
        <w:snapToGrid/>
        <w:spacing w:line="440" w:lineRule="exact"/>
        <w:ind w:right="1213" w:rightChars="379" w:firstLine="614" w:firstLineChars="192"/>
        <w:jc w:val="left"/>
        <w:textAlignment w:val="auto"/>
        <w:rPr>
          <w:rFonts w:ascii="仿宋_GB2312"/>
          <w:szCs w:val="32"/>
        </w:rPr>
        <w:sectPr>
          <w:footerReference r:id="rId3" w:type="even"/>
          <w:type w:val="continuous"/>
          <w:pgSz w:w="11907" w:h="16840"/>
          <w:pgMar w:top="1871" w:right="1304" w:bottom="1871" w:left="1588" w:header="1588" w:footer="1588" w:gutter="0"/>
          <w:cols w:space="720" w:num="1"/>
          <w:docGrid w:type="lines" w:linePitch="595" w:charSpace="-6554"/>
        </w:sectPr>
      </w:pPr>
    </w:p>
    <w:p>
      <w:pPr>
        <w:keepNext w:val="0"/>
        <w:keepLines w:val="0"/>
        <w:pageBreakBefore w:val="0"/>
        <w:widowControl w:val="0"/>
        <w:kinsoku/>
        <w:wordWrap/>
        <w:overflowPunct/>
        <w:topLinePunct w:val="0"/>
        <w:autoSpaceDE/>
        <w:autoSpaceDN/>
        <w:bidi w:val="0"/>
        <w:adjustRightInd/>
        <w:snapToGrid/>
        <w:spacing w:line="440" w:lineRule="exact"/>
        <w:ind w:firstLine="5440" w:firstLineChars="1700"/>
        <w:jc w:val="left"/>
        <w:textAlignment w:val="auto"/>
        <w:rPr>
          <w:rFonts w:hint="eastAsia" w:ascii="方正小标宋简体" w:eastAsia="方正小标宋简体"/>
          <w:sz w:val="44"/>
          <w:szCs w:val="44"/>
        </w:rPr>
      </w:pPr>
      <w:r>
        <w:rPr>
          <w:rFonts w:hint="eastAsia" w:ascii="仿宋_GB2312"/>
          <w:szCs w:val="32"/>
        </w:rPr>
        <w:t>2024年12月26日</w:t>
      </w:r>
    </w:p>
    <w:sectPr>
      <w:type w:val="continuous"/>
      <w:pgSz w:w="11907" w:h="16840"/>
      <w:pgMar w:top="1871" w:right="1304" w:bottom="1871" w:left="1588" w:header="1588" w:footer="1588" w:gutter="0"/>
      <w:cols w:space="720" w:num="1"/>
      <w:docGrid w:type="lines" w:linePitch="59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大标宋简体">
    <w:altName w:val="Arial Unicode MS"/>
    <w:panose1 w:val="03000509000000000000"/>
    <w:charset w:val="86"/>
    <w:family w:val="script"/>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2042" w:y="1"/>
      <w:rPr>
        <w:rStyle w:val="9"/>
      </w:rPr>
    </w:pPr>
    <w:r>
      <w:fldChar w:fldCharType="begin"/>
    </w:r>
    <w:r>
      <w:rPr>
        <w:rStyle w:val="9"/>
      </w:rPr>
      <w:instrText xml:space="preserve">PAGE  </w:instrText>
    </w:r>
    <w:r>
      <w:fldChar w:fldCharType="separate"/>
    </w:r>
    <w:r>
      <w:rPr>
        <w:rStyle w:val="9"/>
      </w:rPr>
      <w:t>1</w: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5"/>
  <w:hyphenationZone w:val="360"/>
  <w:drawingGridHorizontalSpacing w:val="287"/>
  <w:drawingGridVerticalSpacing w:val="595"/>
  <w:displayHorizontalDrawingGridEvery w:val="1"/>
  <w:displayVerticalDrawingGridEvery w:val="1"/>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9F71A8"/>
    <w:rsid w:val="000151F4"/>
    <w:rsid w:val="000169E8"/>
    <w:rsid w:val="00023C42"/>
    <w:rsid w:val="000375B0"/>
    <w:rsid w:val="000456EC"/>
    <w:rsid w:val="0007248B"/>
    <w:rsid w:val="00080B36"/>
    <w:rsid w:val="0009005D"/>
    <w:rsid w:val="000948E8"/>
    <w:rsid w:val="000E0942"/>
    <w:rsid w:val="000F093A"/>
    <w:rsid w:val="00105EC4"/>
    <w:rsid w:val="00110802"/>
    <w:rsid w:val="00117158"/>
    <w:rsid w:val="00137DFD"/>
    <w:rsid w:val="0014498B"/>
    <w:rsid w:val="00162229"/>
    <w:rsid w:val="00164C36"/>
    <w:rsid w:val="001667A1"/>
    <w:rsid w:val="00185013"/>
    <w:rsid w:val="0018737A"/>
    <w:rsid w:val="00196E05"/>
    <w:rsid w:val="001B307E"/>
    <w:rsid w:val="001D53BD"/>
    <w:rsid w:val="001E2CBB"/>
    <w:rsid w:val="001E7D1F"/>
    <w:rsid w:val="00203CDE"/>
    <w:rsid w:val="00204BFC"/>
    <w:rsid w:val="00214436"/>
    <w:rsid w:val="00215B44"/>
    <w:rsid w:val="00217760"/>
    <w:rsid w:val="00243896"/>
    <w:rsid w:val="0024575E"/>
    <w:rsid w:val="002511E5"/>
    <w:rsid w:val="00270003"/>
    <w:rsid w:val="002821D6"/>
    <w:rsid w:val="00282CB6"/>
    <w:rsid w:val="00295F21"/>
    <w:rsid w:val="002A3190"/>
    <w:rsid w:val="002C270B"/>
    <w:rsid w:val="002C2A4E"/>
    <w:rsid w:val="002C4408"/>
    <w:rsid w:val="002D39F5"/>
    <w:rsid w:val="002D78C0"/>
    <w:rsid w:val="002E029B"/>
    <w:rsid w:val="0030665B"/>
    <w:rsid w:val="00316D7B"/>
    <w:rsid w:val="003434AF"/>
    <w:rsid w:val="0037523F"/>
    <w:rsid w:val="00381CA8"/>
    <w:rsid w:val="003910EF"/>
    <w:rsid w:val="003C6C66"/>
    <w:rsid w:val="003D1757"/>
    <w:rsid w:val="003D58D4"/>
    <w:rsid w:val="003E3E45"/>
    <w:rsid w:val="003F13D7"/>
    <w:rsid w:val="003F21D4"/>
    <w:rsid w:val="003F74E0"/>
    <w:rsid w:val="00434DD4"/>
    <w:rsid w:val="00447D4F"/>
    <w:rsid w:val="004666D2"/>
    <w:rsid w:val="004756E8"/>
    <w:rsid w:val="004B7D41"/>
    <w:rsid w:val="004F2933"/>
    <w:rsid w:val="005039B3"/>
    <w:rsid w:val="00506831"/>
    <w:rsid w:val="00527345"/>
    <w:rsid w:val="00531F5E"/>
    <w:rsid w:val="00540A30"/>
    <w:rsid w:val="005448F7"/>
    <w:rsid w:val="00550929"/>
    <w:rsid w:val="005662D1"/>
    <w:rsid w:val="00570747"/>
    <w:rsid w:val="00573010"/>
    <w:rsid w:val="005C5A63"/>
    <w:rsid w:val="005D0F93"/>
    <w:rsid w:val="00607FA8"/>
    <w:rsid w:val="00613718"/>
    <w:rsid w:val="006301B4"/>
    <w:rsid w:val="0064565D"/>
    <w:rsid w:val="0065087E"/>
    <w:rsid w:val="006604A0"/>
    <w:rsid w:val="00680EAF"/>
    <w:rsid w:val="006835C1"/>
    <w:rsid w:val="006C399C"/>
    <w:rsid w:val="006C5F0E"/>
    <w:rsid w:val="006D0E73"/>
    <w:rsid w:val="006F6BB1"/>
    <w:rsid w:val="0072706C"/>
    <w:rsid w:val="007318C1"/>
    <w:rsid w:val="007370EF"/>
    <w:rsid w:val="00743B61"/>
    <w:rsid w:val="00756083"/>
    <w:rsid w:val="00772A56"/>
    <w:rsid w:val="007824E9"/>
    <w:rsid w:val="007A63A9"/>
    <w:rsid w:val="007B009A"/>
    <w:rsid w:val="007B3F4A"/>
    <w:rsid w:val="007C6091"/>
    <w:rsid w:val="007D4A98"/>
    <w:rsid w:val="007D54F9"/>
    <w:rsid w:val="007D72CA"/>
    <w:rsid w:val="007F095E"/>
    <w:rsid w:val="007F25CC"/>
    <w:rsid w:val="007F326E"/>
    <w:rsid w:val="007F7241"/>
    <w:rsid w:val="0082422A"/>
    <w:rsid w:val="0082469E"/>
    <w:rsid w:val="00833F43"/>
    <w:rsid w:val="00834658"/>
    <w:rsid w:val="008476D9"/>
    <w:rsid w:val="00850932"/>
    <w:rsid w:val="008956F9"/>
    <w:rsid w:val="008F0D73"/>
    <w:rsid w:val="008F2E12"/>
    <w:rsid w:val="00903E2B"/>
    <w:rsid w:val="009179EA"/>
    <w:rsid w:val="00920328"/>
    <w:rsid w:val="00922A69"/>
    <w:rsid w:val="0092769F"/>
    <w:rsid w:val="009337AA"/>
    <w:rsid w:val="00974A7B"/>
    <w:rsid w:val="00982549"/>
    <w:rsid w:val="009A0103"/>
    <w:rsid w:val="009A2204"/>
    <w:rsid w:val="009A232D"/>
    <w:rsid w:val="009C36BA"/>
    <w:rsid w:val="009D1A18"/>
    <w:rsid w:val="009D1DFE"/>
    <w:rsid w:val="009D6B5D"/>
    <w:rsid w:val="009E4A2A"/>
    <w:rsid w:val="009E5B08"/>
    <w:rsid w:val="009F0D0F"/>
    <w:rsid w:val="00A01F85"/>
    <w:rsid w:val="00A05B27"/>
    <w:rsid w:val="00A067F7"/>
    <w:rsid w:val="00A07FD5"/>
    <w:rsid w:val="00A36B70"/>
    <w:rsid w:val="00A4296D"/>
    <w:rsid w:val="00A46398"/>
    <w:rsid w:val="00A52DED"/>
    <w:rsid w:val="00A53292"/>
    <w:rsid w:val="00A65DDA"/>
    <w:rsid w:val="00A727B4"/>
    <w:rsid w:val="00A76A24"/>
    <w:rsid w:val="00A9115F"/>
    <w:rsid w:val="00A9597E"/>
    <w:rsid w:val="00AA4A64"/>
    <w:rsid w:val="00AC2531"/>
    <w:rsid w:val="00AC5B53"/>
    <w:rsid w:val="00AD2BE2"/>
    <w:rsid w:val="00AF40CE"/>
    <w:rsid w:val="00B03F46"/>
    <w:rsid w:val="00B25BC3"/>
    <w:rsid w:val="00B36919"/>
    <w:rsid w:val="00B51DDE"/>
    <w:rsid w:val="00B601D2"/>
    <w:rsid w:val="00B6048F"/>
    <w:rsid w:val="00B63E29"/>
    <w:rsid w:val="00B842C0"/>
    <w:rsid w:val="00BA0FFF"/>
    <w:rsid w:val="00BC1F7B"/>
    <w:rsid w:val="00BC411B"/>
    <w:rsid w:val="00BC7FE8"/>
    <w:rsid w:val="00BD1D5B"/>
    <w:rsid w:val="00BE43A8"/>
    <w:rsid w:val="00C05ED9"/>
    <w:rsid w:val="00C06EA6"/>
    <w:rsid w:val="00C36201"/>
    <w:rsid w:val="00C36B1E"/>
    <w:rsid w:val="00C53D0B"/>
    <w:rsid w:val="00C56992"/>
    <w:rsid w:val="00C72D38"/>
    <w:rsid w:val="00C81263"/>
    <w:rsid w:val="00C870E9"/>
    <w:rsid w:val="00CA14EF"/>
    <w:rsid w:val="00CA2D4B"/>
    <w:rsid w:val="00CD30A0"/>
    <w:rsid w:val="00CE1BCE"/>
    <w:rsid w:val="00CF014D"/>
    <w:rsid w:val="00D011EE"/>
    <w:rsid w:val="00D03882"/>
    <w:rsid w:val="00D20AE4"/>
    <w:rsid w:val="00D508C3"/>
    <w:rsid w:val="00D63A37"/>
    <w:rsid w:val="00D642FC"/>
    <w:rsid w:val="00D70A0F"/>
    <w:rsid w:val="00D77FC5"/>
    <w:rsid w:val="00D8230D"/>
    <w:rsid w:val="00D87166"/>
    <w:rsid w:val="00D8797D"/>
    <w:rsid w:val="00D940EA"/>
    <w:rsid w:val="00DC6627"/>
    <w:rsid w:val="00DE78AD"/>
    <w:rsid w:val="00DF5776"/>
    <w:rsid w:val="00E70E86"/>
    <w:rsid w:val="00E872A8"/>
    <w:rsid w:val="00E93A16"/>
    <w:rsid w:val="00E943A3"/>
    <w:rsid w:val="00EA0FD1"/>
    <w:rsid w:val="00EA4C78"/>
    <w:rsid w:val="00EB62C6"/>
    <w:rsid w:val="00ED05E5"/>
    <w:rsid w:val="00EF26A6"/>
    <w:rsid w:val="00F01043"/>
    <w:rsid w:val="00F31431"/>
    <w:rsid w:val="00F4583E"/>
    <w:rsid w:val="00F51B40"/>
    <w:rsid w:val="00F56098"/>
    <w:rsid w:val="00F625DC"/>
    <w:rsid w:val="00F63DE2"/>
    <w:rsid w:val="00F64C14"/>
    <w:rsid w:val="00F85461"/>
    <w:rsid w:val="00F92D30"/>
    <w:rsid w:val="00FA1EFC"/>
    <w:rsid w:val="00FA546C"/>
    <w:rsid w:val="00FA7D07"/>
    <w:rsid w:val="00FB3B4D"/>
    <w:rsid w:val="00FC5CA2"/>
    <w:rsid w:val="00FE69CC"/>
    <w:rsid w:val="00FF5C11"/>
    <w:rsid w:val="041C7ADF"/>
    <w:rsid w:val="04473361"/>
    <w:rsid w:val="09C1558F"/>
    <w:rsid w:val="0B77106E"/>
    <w:rsid w:val="0C2D1EE7"/>
    <w:rsid w:val="0FD9401F"/>
    <w:rsid w:val="11267938"/>
    <w:rsid w:val="122F0D4E"/>
    <w:rsid w:val="131E64B9"/>
    <w:rsid w:val="13983772"/>
    <w:rsid w:val="147F76F5"/>
    <w:rsid w:val="149F71A8"/>
    <w:rsid w:val="14AA4E05"/>
    <w:rsid w:val="1629086A"/>
    <w:rsid w:val="1BDE1000"/>
    <w:rsid w:val="1DAC6C85"/>
    <w:rsid w:val="1E3A7189"/>
    <w:rsid w:val="1EE058A3"/>
    <w:rsid w:val="20CC23B9"/>
    <w:rsid w:val="228939FD"/>
    <w:rsid w:val="246C380B"/>
    <w:rsid w:val="25795221"/>
    <w:rsid w:val="26457FB6"/>
    <w:rsid w:val="27B57AFA"/>
    <w:rsid w:val="2B5E4EFB"/>
    <w:rsid w:val="2CF741D2"/>
    <w:rsid w:val="2D057E96"/>
    <w:rsid w:val="33A82237"/>
    <w:rsid w:val="345B2A56"/>
    <w:rsid w:val="3D4A4351"/>
    <w:rsid w:val="3E04175A"/>
    <w:rsid w:val="3E197A98"/>
    <w:rsid w:val="40D444FD"/>
    <w:rsid w:val="436A7377"/>
    <w:rsid w:val="43C61891"/>
    <w:rsid w:val="44D7501B"/>
    <w:rsid w:val="45A26265"/>
    <w:rsid w:val="49EF1636"/>
    <w:rsid w:val="4BE471F0"/>
    <w:rsid w:val="4F006ABE"/>
    <w:rsid w:val="4FA976E9"/>
    <w:rsid w:val="50A5680E"/>
    <w:rsid w:val="50C10E3E"/>
    <w:rsid w:val="51D432FE"/>
    <w:rsid w:val="558E1A9E"/>
    <w:rsid w:val="56D62BD5"/>
    <w:rsid w:val="5799066B"/>
    <w:rsid w:val="5A4D0DF5"/>
    <w:rsid w:val="5AF37A7C"/>
    <w:rsid w:val="5B2F5FBD"/>
    <w:rsid w:val="5C307F71"/>
    <w:rsid w:val="5DF259C1"/>
    <w:rsid w:val="628B5154"/>
    <w:rsid w:val="657F35AC"/>
    <w:rsid w:val="65BE1EFC"/>
    <w:rsid w:val="68491D25"/>
    <w:rsid w:val="6DBE3BC6"/>
    <w:rsid w:val="6F4C6E05"/>
    <w:rsid w:val="70284E8D"/>
    <w:rsid w:val="712B0995"/>
    <w:rsid w:val="72166990"/>
    <w:rsid w:val="72ED057D"/>
    <w:rsid w:val="765F4131"/>
    <w:rsid w:val="789C4673"/>
    <w:rsid w:val="7B4C139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Normal Indent"/>
    <w:basedOn w:val="1"/>
    <w:uiPriority w:val="0"/>
    <w:pPr>
      <w:ind w:firstLine="624"/>
    </w:pPr>
  </w:style>
  <w:style w:type="paragraph" w:styleId="3">
    <w:name w:val="Balloon Text"/>
    <w:basedOn w:val="1"/>
    <w:link w:val="10"/>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kern w:val="0"/>
      <w:sz w:val="24"/>
    </w:rPr>
  </w:style>
  <w:style w:type="character" w:styleId="9">
    <w:name w:val="page number"/>
    <w:basedOn w:val="8"/>
    <w:qFormat/>
    <w:uiPriority w:val="0"/>
  </w:style>
  <w:style w:type="character" w:customStyle="1" w:styleId="10">
    <w:name w:val="批注框文本 Char"/>
    <w:link w:val="3"/>
    <w:qFormat/>
    <w:uiPriority w:val="0"/>
    <w:rPr>
      <w:rFonts w:eastAsia="仿宋_GB2312"/>
      <w:kern w:val="32"/>
      <w:sz w:val="18"/>
      <w:szCs w:val="18"/>
    </w:rPr>
  </w:style>
  <w:style w:type="paragraph" w:customStyle="1" w:styleId="11">
    <w:name w:val="Body Text Indent1"/>
    <w:basedOn w:val="1"/>
    <w:qFormat/>
    <w:uiPriority w:val="0"/>
    <w:pPr>
      <w:ind w:left="420" w:leftChars="200"/>
    </w:pPr>
  </w:style>
  <w:style w:type="paragraph" w:customStyle="1" w:styleId="12">
    <w:name w:val="小小标题"/>
    <w:basedOn w:val="1"/>
    <w:qFormat/>
    <w:uiPriority w:val="0"/>
    <w:pPr>
      <w:ind w:firstLine="624"/>
    </w:pPr>
    <w:rPr>
      <w:rFonts w:eastAsia="楷体_GB2312"/>
      <w:b/>
    </w:rPr>
  </w:style>
  <w:style w:type="paragraph" w:customStyle="1" w:styleId="13">
    <w:name w:val="Body Text First Indent 21"/>
    <w:basedOn w:val="11"/>
    <w:qFormat/>
    <w:uiPriority w:val="0"/>
    <w:pPr>
      <w:spacing w:line="340" w:lineRule="exact"/>
      <w:ind w:right="-139" w:hanging="26" w:hangingChars="26"/>
    </w:pPr>
    <w:rPr>
      <w:rFonts w:ascii="华文中宋" w:hAnsi="华文中宋" w:eastAsia="华文中宋"/>
      <w:sz w:val="24"/>
    </w:rPr>
  </w:style>
  <w:style w:type="paragraph" w:customStyle="1" w:styleId="14">
    <w:name w:val="大标题"/>
    <w:basedOn w:val="1"/>
    <w:qFormat/>
    <w:uiPriority w:val="0"/>
    <w:pPr>
      <w:snapToGrid w:val="0"/>
      <w:jc w:val="center"/>
    </w:pPr>
    <w:rPr>
      <w:rFonts w:eastAsia="方正大标宋简体"/>
      <w:sz w:val="44"/>
    </w:rPr>
  </w:style>
  <w:style w:type="paragraph" w:customStyle="1" w:styleId="15">
    <w:name w:val="List Paragraph"/>
    <w:basedOn w:val="1"/>
    <w:qFormat/>
    <w:uiPriority w:val="99"/>
    <w:pPr>
      <w:ind w:firstLine="420" w:firstLineChars="200"/>
      <w:jc w:val="left"/>
    </w:pPr>
    <w:rPr>
      <w:rFonts w:hint="eastAsia" w:ascii="Courier New" w:hAnsi="Courier New" w:eastAsia="宋体"/>
      <w:iCs/>
      <w:color w:val="000000"/>
      <w:kern w:val="0"/>
      <w:sz w:val="40"/>
      <w:lang w:val="zh-CN"/>
    </w:rPr>
  </w:style>
  <w:style w:type="paragraph" w:customStyle="1" w:styleId="16">
    <w:name w:val="小标题"/>
    <w:basedOn w:val="1"/>
    <w:qFormat/>
    <w:uiPriority w:val="0"/>
    <w:pPr>
      <w:ind w:firstLine="624"/>
    </w:pPr>
    <w:rPr>
      <w:rFonts w:eastAsia="黑体"/>
    </w:rPr>
  </w:style>
  <w:style w:type="paragraph" w:customStyle="1" w:styleId="17">
    <w:name w:val="列表段落1"/>
    <w:basedOn w:val="1"/>
    <w:qFormat/>
    <w:uiPriority w:val="99"/>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4120;&#29992;&#25991;&#20214;\&#31119;&#24314;&#30465;&#30417;&#29425;&#31649;&#29702;&#23616;&#20415;&#31546;.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福建省监狱管理局便笺.dot</Template>
  <Company>Sky123.Org</Company>
  <Pages>3</Pages>
  <Words>258</Words>
  <Characters>1473</Characters>
  <Lines>12</Lines>
  <Paragraphs>3</Paragraphs>
  <TotalTime>6</TotalTime>
  <ScaleCrop>false</ScaleCrop>
  <LinksUpToDate>false</LinksUpToDate>
  <CharactersWithSpaces>1728</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2024-11-15T01:10:00Z</dcterms:created>
  <dc:creator>admin</dc:creator>
  <cp:lastModifiedBy>周文娟</cp:lastModifiedBy>
  <cp:lastPrinted>2025-01-06T11:17:12Z</cp:lastPrinted>
  <dcterms:modified xsi:type="dcterms:W3CDTF">2025-01-06T11:20:57Z</dcterms:modified>
  <dc:title>提请减刑案件分工审核表</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A56A36CFDC114E43B187EBE5B62EEFF5</vt:lpwstr>
  </property>
</Properties>
</file>