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pacing w:line="800" w:lineRule="exact"/>
        <w:ind w:firstLine="3080" w:firstLineChars="700"/>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ind w:firstLine="3080" w:firstLineChars="700"/>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7"/>
        <w:keepNext w:val="0"/>
        <w:keepLines w:val="0"/>
        <w:pageBreakBefore w:val="0"/>
        <w:widowControl w:val="0"/>
        <w:kinsoku/>
        <w:wordWrap/>
        <w:overflowPunct/>
        <w:topLinePunct w:val="0"/>
        <w:bidi w:val="0"/>
        <w:snapToGrid/>
        <w:spacing w:line="560" w:lineRule="exact"/>
        <w:ind w:left="640" w:right="320" w:firstLine="0" w:firstLineChars="0"/>
        <w:jc w:val="right"/>
        <w:textAlignment w:val="auto"/>
        <w:rPr>
          <w:rFonts w:eastAsia="楷体_GB2312" w:cs="楷体_GB2312"/>
          <w:szCs w:val="32"/>
        </w:rPr>
      </w:pPr>
      <w:r>
        <w:rPr>
          <w:rFonts w:hint="eastAsia" w:eastAsia="楷体_GB2312" w:cs="楷体_GB2312"/>
          <w:szCs w:val="32"/>
        </w:rPr>
        <w:t>〔</w:t>
      </w:r>
      <w:r>
        <w:rPr>
          <w:rFonts w:eastAsia="楷体_GB2312" w:cs="楷体_GB2312"/>
          <w:szCs w:val="32"/>
        </w:rPr>
        <w:t>20</w:t>
      </w:r>
      <w:r>
        <w:rPr>
          <w:rFonts w:hint="eastAsia" w:eastAsia="楷体_GB2312"/>
          <w:szCs w:val="32"/>
        </w:rPr>
        <w:t>25</w:t>
      </w:r>
      <w:r>
        <w:rPr>
          <w:rFonts w:hint="eastAsia" w:eastAsia="楷体_GB2312" w:cs="楷体_GB2312"/>
          <w:szCs w:val="32"/>
        </w:rPr>
        <w:t>〕闽厦狱减字第</w:t>
      </w:r>
      <w:r>
        <w:rPr>
          <w:rFonts w:hint="eastAsia" w:eastAsia="楷体_GB2312"/>
          <w:szCs w:val="32"/>
          <w:lang w:val="en-US" w:eastAsia="zh-CN"/>
        </w:rPr>
        <w:t>437</w:t>
      </w:r>
      <w:r>
        <w:rPr>
          <w:rFonts w:hint="eastAsia" w:eastAsia="楷体_GB2312" w:cs="楷体_GB2312"/>
          <w:szCs w:val="32"/>
        </w:rPr>
        <w:t>号</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szCs w:val="32"/>
        </w:rPr>
      </w:pPr>
      <w:r>
        <w:rPr>
          <w:rFonts w:hint="eastAsia" w:ascii="仿宋_GB2312"/>
          <w:szCs w:val="32"/>
        </w:rPr>
        <w:t>罪犯丘广宁</w:t>
      </w:r>
      <w:r>
        <w:rPr>
          <w:rFonts w:hint="eastAsia" w:ascii="仿宋_GB2312"/>
          <w:szCs w:val="32"/>
        </w:rPr>
        <w:fldChar w:fldCharType="begin"/>
      </w:r>
      <w:r>
        <w:rPr>
          <w:rFonts w:hint="eastAsia" w:ascii="仿宋_GB2312"/>
          <w:szCs w:val="32"/>
        </w:rPr>
        <w:instrText xml:space="preserve"> AUTOTEXTLIST  \* MERGEFORMAT </w:instrText>
      </w:r>
      <w:r>
        <w:rPr>
          <w:rFonts w:hint="eastAsia" w:ascii="仿宋_GB2312"/>
          <w:szCs w:val="32"/>
        </w:rPr>
        <w:fldChar w:fldCharType="end"/>
      </w:r>
      <w:r>
        <w:rPr>
          <w:rFonts w:hint="eastAsia" w:ascii="仿宋_GB2312"/>
          <w:szCs w:val="32"/>
        </w:rPr>
        <w:t>，男，1991年10月11日出生，汉族，初中文化，户籍所在地福建省长汀县。2008年因犯盗窃罪被福建省长汀县人民法院判处有期徒刑六个月，缓刑一年。系前科。</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szCs w:val="32"/>
        </w:rPr>
      </w:pPr>
      <w:r>
        <w:rPr>
          <w:rFonts w:hint="eastAsia" w:ascii="仿宋_GB2312"/>
          <w:szCs w:val="32"/>
        </w:rPr>
        <w:t>福建省龙岩市中级人民法院于2020年7月3日作出(2019)闽08刑初36号刑事判决，以</w:t>
      </w:r>
      <w:r>
        <w:rPr>
          <w:rFonts w:hint="eastAsia" w:ascii="仿宋_GB2312"/>
          <w:szCs w:val="32"/>
          <w:lang w:val="en-US" w:eastAsia="zh-CN"/>
        </w:rPr>
        <w:t>被告人</w:t>
      </w:r>
      <w:r>
        <w:rPr>
          <w:rFonts w:hint="eastAsia" w:ascii="仿宋_GB2312"/>
          <w:szCs w:val="32"/>
        </w:rPr>
        <w:t>丘广宁犯贩卖毒品罪，判处无期徒刑，剥夺政治权利终身，并处没收个人全部财产，责令退出非法所得人民币18000元（已查扣）。</w:t>
      </w:r>
      <w:r>
        <w:rPr>
          <w:rFonts w:hint="eastAsia" w:ascii="仿宋_GB2312"/>
          <w:szCs w:val="32"/>
          <w:lang w:val="en-US" w:eastAsia="zh-CN"/>
        </w:rPr>
        <w:t>该犯及</w:t>
      </w:r>
      <w:r>
        <w:rPr>
          <w:rFonts w:hint="eastAsia" w:ascii="仿宋_GB2312"/>
          <w:szCs w:val="32"/>
        </w:rPr>
        <w:t>同案犯不服，提出上诉。福建省高级人民法院于2021年10月28日作出(2020)闽刑终180号刑事判决</w:t>
      </w:r>
      <w:r>
        <w:rPr>
          <w:rFonts w:hint="eastAsia" w:ascii="仿宋_GB2312"/>
          <w:szCs w:val="32"/>
          <w:lang w:eastAsia="zh-CN"/>
        </w:rPr>
        <w:t>，</w:t>
      </w:r>
      <w:r>
        <w:rPr>
          <w:rFonts w:hint="eastAsia" w:ascii="仿宋_GB2312"/>
          <w:szCs w:val="32"/>
        </w:rPr>
        <w:t>驳回上诉，维持对被告人丘广宁的定罪量刑及对违法所得财物和供犯罪所用财物的判决。刑期</w:t>
      </w:r>
      <w:r>
        <w:rPr>
          <w:rFonts w:hint="eastAsia" w:ascii="仿宋_GB2312"/>
          <w:szCs w:val="32"/>
          <w:lang w:val="en-US" w:eastAsia="zh-CN"/>
        </w:rPr>
        <w:t>自</w:t>
      </w:r>
      <w:r>
        <w:rPr>
          <w:rFonts w:hint="eastAsia" w:ascii="仿宋_GB2312"/>
          <w:szCs w:val="32"/>
        </w:rPr>
        <w:t>2021年11月8日起。判决生效后，于2021年12月21日交付福建省厦门监狱执行刑罚。属普管级罪犯。</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szCs w:val="32"/>
        </w:rPr>
      </w:pPr>
      <w:r>
        <w:rPr>
          <w:rFonts w:hint="eastAsia" w:ascii="仿宋_GB2312" w:hAnsi="仿宋_GB2312" w:cs="仿宋_GB2312"/>
          <w:szCs w:val="32"/>
        </w:rPr>
        <w:t>该犯</w:t>
      </w:r>
      <w:r>
        <w:rPr>
          <w:rFonts w:hint="eastAsia" w:ascii="仿宋_GB2312" w:hAnsi="宋体"/>
          <w:iCs/>
          <w:kern w:val="0"/>
          <w:szCs w:val="32"/>
          <w:lang w:val="zh-CN"/>
        </w:rPr>
        <w:t>自</w:t>
      </w:r>
      <w:r>
        <w:rPr>
          <w:rFonts w:hint="eastAsia" w:ascii="仿宋_GB2312" w:hAnsi="宋体"/>
          <w:iCs/>
          <w:kern w:val="0"/>
          <w:szCs w:val="32"/>
        </w:rPr>
        <w:t>入监以来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p>
    <w:p>
      <w:pPr>
        <w:pStyle w:val="7"/>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
          <w:iCs/>
          <w:kern w:val="2"/>
          <w:szCs w:val="32"/>
        </w:rPr>
      </w:pPr>
      <w:r>
        <w:rPr>
          <w:rFonts w:hint="eastAsia" w:ascii="仿宋_GB2312" w:hAnsi="仿宋"/>
          <w:iCs/>
          <w:kern w:val="2"/>
          <w:szCs w:val="32"/>
        </w:rPr>
        <w:t>认罪悔罪：能服从法院判决，自书认罪悔罪书。</w:t>
      </w:r>
    </w:p>
    <w:p>
      <w:pPr>
        <w:pStyle w:val="7"/>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w:t>
      </w:r>
      <w:r>
        <w:rPr>
          <w:rFonts w:hint="eastAsia" w:ascii="仿宋_GB2312" w:hAnsi="仿宋_GB2312" w:cs="仿宋_GB2312"/>
          <w:bCs/>
          <w:szCs w:val="32"/>
        </w:rPr>
        <w:t>考核期有违规行为。经民警教育，</w:t>
      </w:r>
      <w:r>
        <w:rPr>
          <w:rFonts w:hint="eastAsia" w:ascii="仿宋_GB2312" w:hAnsi="仿宋" w:cs="宋体"/>
          <w:szCs w:val="32"/>
          <w:lang w:val="zh-CN"/>
        </w:rPr>
        <w:t>能遵守法律法规及监规纪律，接受教育改造。</w:t>
      </w:r>
    </w:p>
    <w:p>
      <w:pPr>
        <w:pStyle w:val="7"/>
        <w:keepNext w:val="0"/>
        <w:keepLines w:val="0"/>
        <w:pageBreakBefore w:val="0"/>
        <w:widowControl w:val="0"/>
        <w:kinsoku/>
        <w:wordWrap/>
        <w:overflowPunct/>
        <w:topLinePunct w:val="0"/>
        <w:autoSpaceDE w:val="0"/>
        <w:autoSpaceDN w:val="0"/>
        <w:bidi w:val="0"/>
        <w:adjustRightInd w:val="0"/>
        <w:snapToGrid/>
        <w:spacing w:line="560" w:lineRule="exact"/>
        <w:ind w:left="640" w:firstLine="0" w:firstLineChars="0"/>
        <w:jc w:val="left"/>
        <w:textAlignment w:val="auto"/>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7"/>
        <w:keepNext w:val="0"/>
        <w:keepLines w:val="0"/>
        <w:pageBreakBefore w:val="0"/>
        <w:widowControl w:val="0"/>
        <w:kinsoku/>
        <w:wordWrap/>
        <w:overflowPunct/>
        <w:topLinePunct w:val="0"/>
        <w:autoSpaceDE w:val="0"/>
        <w:autoSpaceDN w:val="0"/>
        <w:bidi w:val="0"/>
        <w:adjustRightInd w:val="0"/>
        <w:snapToGrid/>
        <w:spacing w:line="560" w:lineRule="exact"/>
        <w:ind w:firstLine="640"/>
        <w:jc w:val="left"/>
        <w:textAlignment w:val="auto"/>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hAnsi="仿宋_GB2312" w:cs="仿宋_GB2312"/>
          <w:bCs/>
          <w:szCs w:val="32"/>
        </w:rPr>
      </w:pPr>
      <w:r>
        <w:rPr>
          <w:rFonts w:hint="eastAsia" w:ascii="仿宋_GB2312" w:hAnsi="仿宋_GB2312" w:cs="仿宋_GB2312"/>
          <w:bCs/>
          <w:szCs w:val="32"/>
        </w:rPr>
        <w:t>该犯本轮考核期2021年12月21日至2025年3月累计获得3921.5分，表扬4次，物质奖励</w:t>
      </w:r>
      <w:bookmarkStart w:id="0" w:name="_GoBack"/>
      <w:bookmarkEnd w:id="0"/>
      <w:r>
        <w:rPr>
          <w:rFonts w:hint="eastAsia" w:ascii="仿宋_GB2312" w:hAnsi="仿宋_GB2312" w:cs="仿宋_GB2312"/>
          <w:bCs/>
          <w:szCs w:val="32"/>
        </w:rPr>
        <w:t>2次。考核期违规扣6分。</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szCs w:val="32"/>
        </w:rPr>
      </w:pPr>
      <w:r>
        <w:rPr>
          <w:rFonts w:hint="eastAsia"/>
          <w:szCs w:val="32"/>
        </w:rPr>
        <w:t>原判财产性判项没收个人全部财产，已履行13045.58元，追缴违法所得18000元（判决书中体现已履行）。福建省龙岩市中级人民法院回函：截</w:t>
      </w:r>
      <w:r>
        <w:rPr>
          <w:rFonts w:hint="eastAsia"/>
          <w:szCs w:val="32"/>
          <w:lang w:val="en-US" w:eastAsia="zh-CN"/>
        </w:rPr>
        <w:t>止日</w:t>
      </w:r>
      <w:r>
        <w:rPr>
          <w:rFonts w:hint="eastAsia"/>
          <w:szCs w:val="32"/>
        </w:rPr>
        <w:t>前，丘广宁已履行12845.58</w:t>
      </w:r>
      <w:r>
        <w:rPr>
          <w:rFonts w:hint="eastAsia"/>
          <w:szCs w:val="32"/>
          <w:lang w:val="en-US" w:eastAsia="zh-CN"/>
        </w:rPr>
        <w:t>元</w:t>
      </w:r>
      <w:r>
        <w:rPr>
          <w:rFonts w:hint="eastAsia"/>
          <w:szCs w:val="32"/>
        </w:rPr>
        <w:t>（</w:t>
      </w:r>
      <w:r>
        <w:rPr>
          <w:rFonts w:hint="eastAsia"/>
          <w:szCs w:val="32"/>
          <w:lang w:val="en-US" w:eastAsia="zh-CN"/>
        </w:rPr>
        <w:t>2022年</w:t>
      </w:r>
      <w:r>
        <w:rPr>
          <w:rFonts w:hint="eastAsia"/>
          <w:szCs w:val="32"/>
        </w:rPr>
        <w:t>银行</w:t>
      </w:r>
      <w:r>
        <w:rPr>
          <w:rFonts w:hint="eastAsia"/>
          <w:szCs w:val="32"/>
          <w:lang w:val="en-US" w:eastAsia="zh-CN"/>
        </w:rPr>
        <w:t>账户</w:t>
      </w:r>
      <w:r>
        <w:rPr>
          <w:rFonts w:hint="eastAsia"/>
          <w:szCs w:val="32"/>
        </w:rPr>
        <w:t>扣划11045.58元，2024年5月15日缴交1000元，2024年7月19日缴交800元）。暂未发现被执行人丘广宁有可</w:t>
      </w:r>
      <w:r>
        <w:rPr>
          <w:rFonts w:hint="eastAsia"/>
          <w:szCs w:val="32"/>
          <w:lang w:val="en-US" w:eastAsia="zh-CN"/>
        </w:rPr>
        <w:t>供</w:t>
      </w:r>
      <w:r>
        <w:rPr>
          <w:rFonts w:hint="eastAsia"/>
          <w:szCs w:val="32"/>
        </w:rPr>
        <w:t>执行的财产，对本案终结本次执行程序。考核期消费11011.15元，月均消费275.28元，账户余额1066.03元（2025年4月1日缴交200元后余469.40元）。</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szCs w:val="32"/>
        </w:rPr>
      </w:pPr>
      <w:r>
        <w:rPr>
          <w:rFonts w:hint="eastAsia" w:ascii="仿宋_GB2312"/>
          <w:szCs w:val="32"/>
        </w:rPr>
        <w:t>本案于</w:t>
      </w: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6</w:t>
      </w:r>
      <w:r>
        <w:rPr>
          <w:rFonts w:hint="eastAsia" w:ascii="仿宋_GB2312"/>
          <w:szCs w:val="32"/>
        </w:rPr>
        <w:t>月</w:t>
      </w:r>
      <w:r>
        <w:rPr>
          <w:rFonts w:hint="eastAsia" w:ascii="仿宋_GB2312"/>
          <w:szCs w:val="32"/>
          <w:lang w:val="en-US" w:eastAsia="zh-CN"/>
        </w:rPr>
        <w:t>23</w:t>
      </w:r>
      <w:r>
        <w:rPr>
          <w:rFonts w:hint="eastAsia" w:ascii="仿宋_GB2312"/>
          <w:szCs w:val="32"/>
        </w:rPr>
        <w:t>日至</w:t>
      </w: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6</w:t>
      </w:r>
      <w:r>
        <w:rPr>
          <w:rFonts w:hint="eastAsia" w:ascii="仿宋_GB2312"/>
          <w:szCs w:val="32"/>
        </w:rPr>
        <w:t>月</w:t>
      </w:r>
      <w:r>
        <w:rPr>
          <w:rFonts w:hint="eastAsia" w:ascii="仿宋_GB2312"/>
          <w:szCs w:val="32"/>
          <w:lang w:val="en-US" w:eastAsia="zh-CN"/>
        </w:rPr>
        <w:t>27</w:t>
      </w:r>
      <w:r>
        <w:rPr>
          <w:rFonts w:hint="eastAsia" w:ascii="仿宋_GB2312"/>
          <w:szCs w:val="32"/>
        </w:rPr>
        <w:t>日在狱内公示未收到不同意见。</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ascii="仿宋_GB2312" w:cs="仿宋_GB2312"/>
          <w:szCs w:val="32"/>
        </w:rPr>
      </w:pPr>
      <w:r>
        <w:rPr>
          <w:rFonts w:hint="eastAsia" w:ascii="仿宋_GB2312" w:hAnsi="仿宋_GB2312" w:cs="仿宋_GB2312"/>
          <w:szCs w:val="32"/>
        </w:rPr>
        <w:t>因此，</w:t>
      </w:r>
      <w:r>
        <w:rPr>
          <w:rFonts w:hint="eastAsia"/>
          <w:szCs w:val="32"/>
        </w:rPr>
        <w:t>依照</w:t>
      </w:r>
      <w:r>
        <w:rPr>
          <w:rFonts w:hint="eastAsia" w:ascii="仿宋_GB2312" w:hAnsi="仿宋_GB2312" w:cs="仿宋_GB2312"/>
          <w:szCs w:val="32"/>
        </w:rPr>
        <w:t>《中华人民共和国刑法》第五十七条、第七十八条，《中华人民共和国刑事诉讼法》第二百七十三条第二款和《中华人民共和国监狱法》第二十九条之规定，建议对罪犯丘广宁减为有期徒刑二十二年，剥夺政治权利改为十年。</w:t>
      </w:r>
      <w:r>
        <w:rPr>
          <w:rFonts w:hint="eastAsia"/>
          <w:szCs w:val="32"/>
        </w:rPr>
        <w:t>特提请你院审理裁定。</w:t>
      </w:r>
    </w:p>
    <w:p>
      <w:pPr>
        <w:pStyle w:val="2"/>
        <w:keepNext w:val="0"/>
        <w:keepLines w:val="0"/>
        <w:pageBreakBefore w:val="0"/>
        <w:widowControl w:val="0"/>
        <w:kinsoku/>
        <w:wordWrap/>
        <w:overflowPunct/>
        <w:topLinePunct w:val="0"/>
        <w:bidi w:val="0"/>
        <w:snapToGrid/>
        <w:spacing w:line="560" w:lineRule="exact"/>
        <w:ind w:right="-48" w:rightChars="-15" w:firstLine="640" w:firstLineChars="200"/>
        <w:jc w:val="left"/>
        <w:textAlignment w:val="auto"/>
        <w:rPr>
          <w:szCs w:val="32"/>
        </w:rPr>
      </w:pPr>
      <w:r>
        <w:rPr>
          <w:rFonts w:hint="eastAsia"/>
          <w:szCs w:val="32"/>
        </w:rPr>
        <w:t>此致</w:t>
      </w:r>
    </w:p>
    <w:p>
      <w:pPr>
        <w:pStyle w:val="7"/>
        <w:keepNext w:val="0"/>
        <w:keepLines w:val="0"/>
        <w:pageBreakBefore w:val="0"/>
        <w:widowControl w:val="0"/>
        <w:kinsoku/>
        <w:wordWrap/>
        <w:overflowPunct/>
        <w:topLinePunct w:val="0"/>
        <w:bidi w:val="0"/>
        <w:snapToGrid/>
        <w:spacing w:line="560" w:lineRule="exact"/>
        <w:ind w:right="-48" w:rightChars="-15" w:firstLine="0" w:firstLineChars="0"/>
        <w:jc w:val="left"/>
        <w:textAlignment w:val="auto"/>
        <w:rPr>
          <w:szCs w:val="32"/>
        </w:rPr>
      </w:pPr>
      <w:r>
        <w:rPr>
          <w:rFonts w:hint="eastAsia"/>
          <w:szCs w:val="32"/>
        </w:rPr>
        <w:t>福建省高级人民法院</w:t>
      </w:r>
    </w:p>
    <w:p>
      <w:pPr>
        <w:pStyle w:val="7"/>
        <w:keepNext w:val="0"/>
        <w:keepLines w:val="0"/>
        <w:pageBreakBefore w:val="0"/>
        <w:widowControl w:val="0"/>
        <w:kinsoku/>
        <w:wordWrap/>
        <w:overflowPunct/>
        <w:topLinePunct w:val="0"/>
        <w:bidi w:val="0"/>
        <w:snapToGrid/>
        <w:spacing w:line="560" w:lineRule="exact"/>
        <w:ind w:left="640" w:firstLine="0" w:firstLineChars="0"/>
        <w:jc w:val="left"/>
        <w:textAlignment w:val="auto"/>
        <w:rPr>
          <w:rFonts w:cs="仿宋_GB2312"/>
          <w:szCs w:val="32"/>
        </w:rPr>
      </w:pPr>
      <w:r>
        <w:rPr>
          <w:rFonts w:hint="eastAsia" w:cs="仿宋_GB2312"/>
          <w:szCs w:val="32"/>
        </w:rPr>
        <w:t>附件：⒈罪犯</w:t>
      </w:r>
      <w:r>
        <w:rPr>
          <w:rFonts w:hint="eastAsia" w:ascii="仿宋_GB2312" w:hAnsi="仿宋_GB2312" w:cs="仿宋_GB2312"/>
          <w:szCs w:val="32"/>
        </w:rPr>
        <w:t>丘广宁</w:t>
      </w:r>
      <w:r>
        <w:rPr>
          <w:rFonts w:hint="eastAsia" w:cs="仿宋_GB2312"/>
          <w:szCs w:val="32"/>
        </w:rPr>
        <w:t>卷宗2册</w:t>
      </w:r>
    </w:p>
    <w:p>
      <w:pPr>
        <w:pStyle w:val="7"/>
        <w:keepNext w:val="0"/>
        <w:keepLines w:val="0"/>
        <w:pageBreakBefore w:val="0"/>
        <w:widowControl w:val="0"/>
        <w:kinsoku/>
        <w:wordWrap/>
        <w:overflowPunct/>
        <w:topLinePunct w:val="0"/>
        <w:bidi w:val="0"/>
        <w:snapToGrid/>
        <w:spacing w:line="560" w:lineRule="exact"/>
        <w:ind w:left="640" w:right="-48" w:rightChars="-15" w:firstLine="960" w:firstLineChars="300"/>
        <w:jc w:val="left"/>
        <w:textAlignment w:val="auto"/>
        <w:rPr>
          <w:rFonts w:cs="仿宋_GB2312"/>
          <w:szCs w:val="32"/>
        </w:rPr>
      </w:pPr>
      <w:r>
        <w:rPr>
          <w:rFonts w:hint="eastAsia" w:cs="仿宋_GB2312"/>
          <w:szCs w:val="32"/>
        </w:rPr>
        <w:t>⒉减刑建议书2份</w:t>
      </w:r>
    </w:p>
    <w:p>
      <w:pPr>
        <w:pStyle w:val="2"/>
        <w:keepNext w:val="0"/>
        <w:keepLines w:val="0"/>
        <w:pageBreakBefore w:val="0"/>
        <w:widowControl w:val="0"/>
        <w:kinsoku/>
        <w:wordWrap/>
        <w:overflowPunct/>
        <w:topLinePunct w:val="0"/>
        <w:bidi w:val="0"/>
        <w:snapToGrid/>
        <w:spacing w:line="560" w:lineRule="exact"/>
        <w:ind w:right="1280" w:rightChars="400"/>
        <w:jc w:val="right"/>
        <w:textAlignment w:val="auto"/>
        <w:rPr>
          <w:szCs w:val="32"/>
        </w:rPr>
      </w:pPr>
      <w:r>
        <w:rPr>
          <w:rFonts w:hint="eastAsia"/>
          <w:szCs w:val="32"/>
        </w:rPr>
        <w:t>福建省厦门监狱</w:t>
      </w:r>
    </w:p>
    <w:p>
      <w:pPr>
        <w:pStyle w:val="2"/>
        <w:keepNext w:val="0"/>
        <w:keepLines w:val="0"/>
        <w:pageBreakBefore w:val="0"/>
        <w:widowControl w:val="0"/>
        <w:kinsoku/>
        <w:wordWrap/>
        <w:overflowPunct/>
        <w:topLinePunct w:val="0"/>
        <w:bidi w:val="0"/>
        <w:snapToGrid/>
        <w:spacing w:line="560" w:lineRule="exact"/>
        <w:ind w:right="1014" w:rightChars="317"/>
        <w:jc w:val="right"/>
        <w:textAlignment w:val="auto"/>
      </w:pPr>
      <w:r>
        <w:rPr>
          <w:rFonts w:hint="eastAsia"/>
          <w:szCs w:val="32"/>
          <w:lang w:val="en-US" w:eastAsia="zh-CN"/>
        </w:rPr>
        <w:t>2025</w:t>
      </w:r>
      <w:r>
        <w:rPr>
          <w:rFonts w:hint="eastAsia"/>
          <w:szCs w:val="32"/>
        </w:rPr>
        <w:t>年</w:t>
      </w:r>
      <w:r>
        <w:rPr>
          <w:rFonts w:hint="eastAsia"/>
          <w:szCs w:val="32"/>
          <w:lang w:val="en-US" w:eastAsia="zh-CN"/>
        </w:rPr>
        <w:t>6</w:t>
      </w:r>
      <w:r>
        <w:rPr>
          <w:rFonts w:hint="eastAsia"/>
          <w:szCs w:val="32"/>
        </w:rPr>
        <w:t>月</w:t>
      </w:r>
      <w:r>
        <w:rPr>
          <w:rFonts w:hint="eastAsia"/>
          <w:szCs w:val="32"/>
          <w:lang w:val="en-US" w:eastAsia="zh-CN"/>
        </w:rPr>
        <w:t>30</w:t>
      </w:r>
      <w:r>
        <w:rPr>
          <w:rFonts w:hint="eastAsia"/>
          <w:szCs w:val="32"/>
        </w:rPr>
        <w:t>日</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509"/>
    <w:rsid w:val="000138B2"/>
    <w:rsid w:val="00063C81"/>
    <w:rsid w:val="000902BB"/>
    <w:rsid w:val="000E26AD"/>
    <w:rsid w:val="00175A06"/>
    <w:rsid w:val="001D3115"/>
    <w:rsid w:val="00271BAB"/>
    <w:rsid w:val="002A24E1"/>
    <w:rsid w:val="002B4096"/>
    <w:rsid w:val="0032034A"/>
    <w:rsid w:val="00326D40"/>
    <w:rsid w:val="00341F49"/>
    <w:rsid w:val="003870BE"/>
    <w:rsid w:val="00387281"/>
    <w:rsid w:val="00413A95"/>
    <w:rsid w:val="004317B8"/>
    <w:rsid w:val="004419CC"/>
    <w:rsid w:val="004D1991"/>
    <w:rsid w:val="00504177"/>
    <w:rsid w:val="005A1553"/>
    <w:rsid w:val="00634A51"/>
    <w:rsid w:val="006805A8"/>
    <w:rsid w:val="00697CA9"/>
    <w:rsid w:val="006B3BD8"/>
    <w:rsid w:val="006D4E74"/>
    <w:rsid w:val="006F647F"/>
    <w:rsid w:val="007738BC"/>
    <w:rsid w:val="007C20CC"/>
    <w:rsid w:val="008D530F"/>
    <w:rsid w:val="009D0F13"/>
    <w:rsid w:val="00A0043C"/>
    <w:rsid w:val="00A414C7"/>
    <w:rsid w:val="00A76DFD"/>
    <w:rsid w:val="00B22EEB"/>
    <w:rsid w:val="00B4637C"/>
    <w:rsid w:val="00B72385"/>
    <w:rsid w:val="00BB2AE4"/>
    <w:rsid w:val="00BF24FE"/>
    <w:rsid w:val="00D44A1F"/>
    <w:rsid w:val="00D8533F"/>
    <w:rsid w:val="00DD0961"/>
    <w:rsid w:val="00E02753"/>
    <w:rsid w:val="00E41C0E"/>
    <w:rsid w:val="00E84094"/>
    <w:rsid w:val="00ED1509"/>
    <w:rsid w:val="00EE6A03"/>
    <w:rsid w:val="00F03328"/>
    <w:rsid w:val="00FC2EBA"/>
    <w:rsid w:val="00FF39F2"/>
    <w:rsid w:val="01071E3A"/>
    <w:rsid w:val="06F32C95"/>
    <w:rsid w:val="076518D6"/>
    <w:rsid w:val="08D603BC"/>
    <w:rsid w:val="098A1833"/>
    <w:rsid w:val="098C23A6"/>
    <w:rsid w:val="0B921ADF"/>
    <w:rsid w:val="0C5655E7"/>
    <w:rsid w:val="10130B55"/>
    <w:rsid w:val="10D83961"/>
    <w:rsid w:val="11CD04FF"/>
    <w:rsid w:val="128F4C37"/>
    <w:rsid w:val="14C63D4D"/>
    <w:rsid w:val="156F1DF1"/>
    <w:rsid w:val="16527C87"/>
    <w:rsid w:val="1B451A3D"/>
    <w:rsid w:val="1E0049EA"/>
    <w:rsid w:val="2258192B"/>
    <w:rsid w:val="27112229"/>
    <w:rsid w:val="2797590A"/>
    <w:rsid w:val="29940BED"/>
    <w:rsid w:val="2C395F1A"/>
    <w:rsid w:val="33052809"/>
    <w:rsid w:val="3367397D"/>
    <w:rsid w:val="36240700"/>
    <w:rsid w:val="39710B9A"/>
    <w:rsid w:val="39F1773C"/>
    <w:rsid w:val="3BC91AFF"/>
    <w:rsid w:val="3C9139BE"/>
    <w:rsid w:val="43557FD7"/>
    <w:rsid w:val="46D36A87"/>
    <w:rsid w:val="4B1A77C1"/>
    <w:rsid w:val="4B790AA1"/>
    <w:rsid w:val="527F323B"/>
    <w:rsid w:val="53A23019"/>
    <w:rsid w:val="599E39F0"/>
    <w:rsid w:val="5A8613FC"/>
    <w:rsid w:val="5CC0372F"/>
    <w:rsid w:val="650954B0"/>
    <w:rsid w:val="67444BFA"/>
    <w:rsid w:val="6A8767B3"/>
    <w:rsid w:val="6E9B2014"/>
    <w:rsid w:val="70C17284"/>
    <w:rsid w:val="728651B7"/>
    <w:rsid w:val="75160265"/>
    <w:rsid w:val="75AC0136"/>
    <w:rsid w:val="75DE6FF6"/>
    <w:rsid w:val="76C32D8D"/>
    <w:rsid w:val="78EB36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99"/>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列表段落1"/>
    <w:basedOn w:val="1"/>
    <w:qFormat/>
    <w:uiPriority w:val="99"/>
    <w:pPr>
      <w:ind w:firstLine="420" w:firstLineChars="200"/>
    </w:pPr>
  </w:style>
  <w:style w:type="character" w:customStyle="1" w:styleId="8">
    <w:name w:val="页眉 Char"/>
    <w:basedOn w:val="6"/>
    <w:link w:val="4"/>
    <w:qFormat/>
    <w:uiPriority w:val="0"/>
    <w:rPr>
      <w:rFonts w:ascii="Times New Roman" w:hAnsi="Times New Roman" w:eastAsia="仿宋_GB2312" w:cs="Times New Roman"/>
      <w:kern w:val="32"/>
      <w:sz w:val="18"/>
      <w:szCs w:val="18"/>
    </w:rPr>
  </w:style>
  <w:style w:type="character" w:customStyle="1" w:styleId="9">
    <w:name w:val="页脚 Char"/>
    <w:basedOn w:val="6"/>
    <w:link w:val="3"/>
    <w:qFormat/>
    <w:uiPriority w:val="0"/>
    <w:rPr>
      <w:rFonts w:ascii="Times New Roman" w:hAnsi="Times New Roman" w:eastAsia="仿宋_GB2312" w:cs="Times New Roman"/>
      <w:kern w:val="3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175</Words>
  <Characters>1004</Characters>
  <Lines>8</Lines>
  <Paragraphs>2</Paragraphs>
  <TotalTime>10</TotalTime>
  <ScaleCrop>false</ScaleCrop>
  <LinksUpToDate>false</LinksUpToDate>
  <CharactersWithSpaces>1177</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2023-12-18T06:55:00Z</dcterms:created>
  <dc:creator>user</dc:creator>
  <cp:lastModifiedBy>周文娟</cp:lastModifiedBy>
  <cp:lastPrinted>2025-05-06T00:03:00Z</cp:lastPrinted>
  <dcterms:modified xsi:type="dcterms:W3CDTF">2025-06-30T09:36:13Z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1BE661FAC8844FBD808EF32C5F14B917</vt:lpwstr>
  </property>
</Properties>
</file>