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jc w:val="center"/>
        <w:rPr>
          <w:rFonts w:ascii="方正小标宋简体" w:hAnsi="仿宋" w:eastAsia="方正小标宋简体" w:cs="方正小标宋简体"/>
          <w:sz w:val="44"/>
          <w:szCs w:val="44"/>
        </w:rPr>
      </w:pPr>
      <w:r>
        <w:rPr>
          <w:rFonts w:hint="eastAsia" w:ascii="方正小标宋简体" w:hAnsi="仿宋" w:eastAsia="方正小标宋简体" w:cs="方正小标宋简体"/>
          <w:sz w:val="44"/>
          <w:szCs w:val="44"/>
        </w:rPr>
        <w:t>福建省厦门监狱</w:t>
      </w:r>
    </w:p>
    <w:p>
      <w:pPr>
        <w:snapToGrid w:val="0"/>
        <w:spacing w:line="560" w:lineRule="exact"/>
        <w:jc w:val="center"/>
        <w:rPr>
          <w:rFonts w:ascii="方正小标宋简体" w:hAnsi="仿宋" w:eastAsia="方正小标宋简体" w:cs="方正小标宋简体"/>
          <w:sz w:val="44"/>
          <w:szCs w:val="44"/>
        </w:rPr>
      </w:pPr>
      <w:r>
        <w:rPr>
          <w:rFonts w:hint="eastAsia" w:ascii="方正小标宋简体" w:hAnsi="仿宋" w:eastAsia="方正小标宋简体" w:cs="方正小标宋简体"/>
          <w:sz w:val="44"/>
          <w:szCs w:val="44"/>
        </w:rPr>
        <w:t>提请减刑建议书</w:t>
      </w:r>
    </w:p>
    <w:p>
      <w:pPr>
        <w:spacing w:line="560" w:lineRule="exact"/>
        <w:jc w:val="right"/>
        <w:rPr>
          <w:rFonts w:hint="eastAsia" w:ascii="楷体_GB2312" w:hAnsi="楷体_GB2312" w:eastAsia="楷体_GB2312" w:cs="楷体_GB2312"/>
          <w:szCs w:val="32"/>
        </w:rPr>
      </w:pPr>
      <w:r>
        <w:rPr>
          <w:rFonts w:hint="eastAsia" w:ascii="楷体_GB2312" w:hAnsi="楷体_GB2312" w:eastAsia="楷体_GB2312" w:cs="楷体_GB2312"/>
          <w:szCs w:val="32"/>
        </w:rPr>
        <w:t>〔2025〕闽厦狱减字第</w:t>
      </w:r>
      <w:r>
        <w:rPr>
          <w:rFonts w:hint="eastAsia" w:ascii="楷体_GB2312" w:hAnsi="楷体_GB2312" w:eastAsia="楷体_GB2312" w:cs="楷体_GB2312"/>
          <w:szCs w:val="32"/>
          <w:lang w:val="en-US" w:eastAsia="zh-CN"/>
        </w:rPr>
        <w:t>442</w:t>
      </w:r>
      <w:r>
        <w:rPr>
          <w:rFonts w:hint="eastAsia" w:ascii="楷体_GB2312" w:hAnsi="楷体_GB2312" w:eastAsia="楷体_GB2312" w:cs="楷体_GB2312"/>
          <w:szCs w:val="32"/>
        </w:rPr>
        <w:t>号</w:t>
      </w:r>
    </w:p>
    <w:p>
      <w:pPr>
        <w:jc w:val="right"/>
        <w:rPr>
          <w:rFonts w:cs="楷体_GB2312" w:asciiTheme="majorEastAsia" w:hAnsiTheme="majorEastAsia" w:eastAsiaTheme="majorEastAsia"/>
          <w:szCs w:val="32"/>
        </w:rPr>
      </w:pP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left"/>
        <w:textAlignment w:val="auto"/>
        <w:rPr>
          <w:rFonts w:ascii="仿宋_GB2312" w:hAnsi="仿宋"/>
          <w:szCs w:val="32"/>
        </w:rPr>
      </w:pPr>
      <w:r>
        <w:rPr>
          <w:rFonts w:hint="eastAsia" w:ascii="仿宋_GB2312" w:hAnsi="仿宋"/>
          <w:szCs w:val="32"/>
        </w:rPr>
        <w:t>罪犯范承东</w:t>
      </w:r>
      <w:r>
        <w:rPr>
          <w:rFonts w:hint="eastAsia" w:ascii="仿宋_GB2312" w:hAnsi="仿宋"/>
          <w:szCs w:val="32"/>
        </w:rPr>
        <w:fldChar w:fldCharType="begin"/>
      </w:r>
      <w:r>
        <w:rPr>
          <w:rFonts w:hint="eastAsia" w:ascii="仿宋_GB2312" w:hAnsi="仿宋"/>
          <w:szCs w:val="32"/>
        </w:rPr>
        <w:instrText xml:space="preserve"> AUTOTEXTLIST  \* MERGEFORMAT </w:instrText>
      </w:r>
      <w:r>
        <w:rPr>
          <w:rFonts w:hint="eastAsia" w:ascii="仿宋_GB2312" w:hAnsi="仿宋"/>
          <w:szCs w:val="32"/>
        </w:rPr>
        <w:fldChar w:fldCharType="end"/>
      </w:r>
      <w:r>
        <w:rPr>
          <w:rFonts w:hint="eastAsia" w:ascii="仿宋_GB2312" w:hAnsi="仿宋"/>
          <w:szCs w:val="32"/>
        </w:rPr>
        <w:t>，男，1984年5月5日出生，汉族，初中文化，住重庆市开县</w:t>
      </w:r>
      <w:bookmarkStart w:id="1" w:name="_GoBack"/>
      <w:bookmarkEnd w:id="1"/>
      <w:r>
        <w:rPr>
          <w:rFonts w:hint="eastAsia" w:ascii="仿宋_GB2312" w:hAnsi="仿宋"/>
          <w:szCs w:val="32"/>
        </w:rPr>
        <w:t>，捕前系驾驶员。</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left"/>
        <w:textAlignment w:val="auto"/>
        <w:rPr>
          <w:rFonts w:ascii="仿宋_GB2312" w:hAnsi="仿宋"/>
          <w:szCs w:val="32"/>
        </w:rPr>
      </w:pPr>
      <w:r>
        <w:rPr>
          <w:rFonts w:hint="eastAsia" w:ascii="仿宋_GB2312" w:hAnsi="仿宋"/>
          <w:szCs w:val="32"/>
        </w:rPr>
        <w:t>福建省泉州市中级人民法院于2016年6月20日作出(2015)泉刑初字第137号刑事判决，以被告人范承东犯贩卖、运输毒品罪，判处死刑，剥夺政治权利终身，并处没收个人全部财产，追缴违法所得，予以没收，上缴国库。该犯及同案犯不服，提出上诉。福建省高级人民法院于2018年11月28日作出(2016)闽刑终342号刑事判决，撤销（2015)泉刑初字第137号刑事判决中关于上诉人范承东</w:t>
      </w:r>
      <w:r>
        <w:rPr>
          <w:rFonts w:hint="eastAsia" w:ascii="仿宋_GB2312" w:hAnsi="仿宋"/>
          <w:szCs w:val="32"/>
          <w:lang w:val="en-US" w:eastAsia="zh-CN"/>
        </w:rPr>
        <w:t>刑事部分</w:t>
      </w:r>
      <w:r>
        <w:rPr>
          <w:rFonts w:hint="eastAsia" w:ascii="仿宋_GB2312" w:hAnsi="仿宋"/>
          <w:szCs w:val="32"/>
        </w:rPr>
        <w:t>的判决，维持（2015)泉刑初字第137号刑事判决书中追缴违法所得，予以没收，上缴国库的判决；改判上诉人范承东犯贩卖、运输毒品罪，判处死刑，缓期二年执行，剥夺政治权利终身，并处没收个人全部财产。死刑，缓期二年执行考验期自2018年12月20日起至2020年12月19日届满。于2019年12月25日交付福建省厦门监狱执行刑罚。2021年6月24日，福建省高级人民法院作出（2021）闽刑更74号刑事裁定，对其减为无期徒刑，剥夺政治权利终身不变，于2021年7月16日送达。属普管级罪犯。</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left"/>
        <w:textAlignment w:val="auto"/>
        <w:rPr>
          <w:rFonts w:ascii="仿宋_GB2312" w:hAnsi="仿宋"/>
          <w:szCs w:val="32"/>
        </w:rPr>
      </w:pPr>
      <w:r>
        <w:rPr>
          <w:rFonts w:hint="eastAsia" w:ascii="仿宋_GB2312" w:hAnsi="仿宋"/>
          <w:szCs w:val="32"/>
        </w:rPr>
        <w:t>该犯在死刑缓期执行期间没有故意犯罪，无期徒刑期间确有悔改表现，具体事实如下：</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left"/>
        <w:textAlignment w:val="auto"/>
        <w:rPr>
          <w:rFonts w:ascii="仿宋_GB2312" w:hAnsi="仿宋"/>
          <w:szCs w:val="32"/>
        </w:rPr>
      </w:pPr>
      <w:r>
        <w:rPr>
          <w:rFonts w:hint="eastAsia" w:ascii="仿宋_GB2312" w:hAnsi="仿宋"/>
          <w:szCs w:val="32"/>
        </w:rPr>
        <w:t>认罪悔罪：能服从法院判决，自书认罪悔罪书。</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left"/>
        <w:textAlignment w:val="auto"/>
        <w:rPr>
          <w:rFonts w:ascii="仿宋_GB2312" w:hAnsi="仿宋"/>
          <w:szCs w:val="32"/>
        </w:rPr>
      </w:pPr>
      <w:r>
        <w:rPr>
          <w:rFonts w:hint="eastAsia" w:ascii="仿宋_GB2312" w:hAnsi="仿宋"/>
          <w:szCs w:val="32"/>
        </w:rPr>
        <w:t>遵守监规：基本能遵守法律法规及监规纪律，接受教育改造，考核期内有违规行为，经民警教育后，能</w:t>
      </w:r>
      <w:r>
        <w:rPr>
          <w:rFonts w:hint="eastAsia" w:ascii="仿宋_GB2312" w:hAnsi="仿宋"/>
          <w:szCs w:val="32"/>
          <w:lang w:val="en-US" w:eastAsia="zh-CN"/>
        </w:rPr>
        <w:t>认识到</w:t>
      </w:r>
      <w:r>
        <w:rPr>
          <w:rFonts w:hint="eastAsia" w:ascii="仿宋_GB2312" w:hAnsi="仿宋"/>
          <w:szCs w:val="32"/>
        </w:rPr>
        <w:t>自己的错误。</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left"/>
        <w:textAlignment w:val="auto"/>
        <w:rPr>
          <w:rFonts w:ascii="仿宋_GB2312" w:hAnsi="仿宋"/>
          <w:szCs w:val="32"/>
        </w:rPr>
      </w:pPr>
      <w:r>
        <w:rPr>
          <w:rFonts w:hint="eastAsia" w:ascii="仿宋_GB2312" w:hAnsi="仿宋"/>
          <w:szCs w:val="32"/>
        </w:rPr>
        <w:t>学习情况：能参加思想、文化、职业技术教育。</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left"/>
        <w:textAlignment w:val="auto"/>
        <w:rPr>
          <w:rFonts w:ascii="仿宋_GB2312" w:hAnsi="仿宋"/>
          <w:szCs w:val="32"/>
        </w:rPr>
      </w:pPr>
      <w:r>
        <w:rPr>
          <w:rFonts w:hint="eastAsia" w:ascii="仿宋_GB2312" w:hAnsi="仿宋"/>
          <w:szCs w:val="32"/>
        </w:rPr>
        <w:t>劳动改造：能参加劳动，努力完成劳动任务。</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left"/>
        <w:textAlignment w:val="auto"/>
        <w:rPr>
          <w:rFonts w:ascii="仿宋_GB2312" w:hAnsi="仿宋"/>
          <w:szCs w:val="32"/>
        </w:rPr>
      </w:pPr>
      <w:r>
        <w:rPr>
          <w:rFonts w:hint="eastAsia" w:ascii="仿宋_GB2312" w:hAnsi="仿宋"/>
          <w:szCs w:val="32"/>
        </w:rPr>
        <w:t>奖惩情况：该犯2019年12月25日至2020年12月累计获905.5分，2021年1月至2025年3月累计获考核分5785.5分，合计获得考核分6691分，表扬10次；该犯2019年12月25日至2020年12月无扣分，2021年1月至2025年3月违规累计扣10分。</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left"/>
        <w:textAlignment w:val="auto"/>
        <w:rPr>
          <w:rFonts w:ascii="仿宋_GB2312" w:hAnsi="仿宋"/>
          <w:szCs w:val="32"/>
        </w:rPr>
      </w:pPr>
      <w:bookmarkStart w:id="0" w:name="OLE_LINK1"/>
      <w:r>
        <w:rPr>
          <w:rFonts w:hint="eastAsia" w:ascii="仿宋_GB2312" w:hAnsi="仿宋"/>
          <w:szCs w:val="32"/>
        </w:rPr>
        <w:t>该犯原判财产性判项没收个人全部财产，继续追缴违法所得。该犯考核期内月均消费人民币278.57元，账户可用余额人民币325.93元。2025年3月20日福建省泉州市中级人民法院关于范承东财产性判项履行情况的复函载明：我院执行的（2020）闽05执10号、（2021）闽05执577号，已终结本次执行程序。范承东财产性判项履行情况核查如下：一、范承东已缴没收个人财产人民币60727.55元，违法所得人民币1600元；二、目前暂未发现存在拒不交代赃款、赃物去向情形；三、目前暂未发现存在隐瞒、藏匿、转移财产情形；四、目前暂未发现执行阶段存在妨害财产性判项执行情形；五、经法院系统核查无可供执行财产。</w:t>
      </w:r>
    </w:p>
    <w:bookmarkEnd w:id="0"/>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left"/>
        <w:textAlignment w:val="auto"/>
        <w:rPr>
          <w:rFonts w:hint="eastAsia" w:ascii="仿宋_GB2312" w:hAnsi="仿宋"/>
          <w:szCs w:val="32"/>
        </w:rPr>
      </w:pPr>
      <w:r>
        <w:rPr>
          <w:rFonts w:hint="eastAsia" w:ascii="仿宋_GB2312" w:hAnsi="仿宋"/>
          <w:szCs w:val="32"/>
        </w:rPr>
        <w:t>本案于2025年6月23日至2025年6月27日在狱内公示未收到不同意见。</w:t>
      </w:r>
    </w:p>
    <w:p>
      <w:pPr>
        <w:keepNext w:val="0"/>
        <w:keepLines w:val="0"/>
        <w:pageBreakBefore w:val="0"/>
        <w:widowControl w:val="0"/>
        <w:kinsoku/>
        <w:wordWrap/>
        <w:overflowPunct/>
        <w:topLinePunct w:val="0"/>
        <w:autoSpaceDE/>
        <w:autoSpaceDN/>
        <w:bidi w:val="0"/>
        <w:adjustRightInd/>
        <w:snapToGrid/>
        <w:spacing w:line="420" w:lineRule="exact"/>
        <w:ind w:firstLine="640" w:firstLineChars="200"/>
        <w:jc w:val="left"/>
        <w:textAlignment w:val="auto"/>
        <w:rPr>
          <w:rFonts w:ascii="仿宋_GB2312" w:hAnsi="仿宋"/>
          <w:szCs w:val="32"/>
        </w:rPr>
      </w:pPr>
      <w:r>
        <w:rPr>
          <w:rFonts w:hint="eastAsia" w:ascii="仿宋_GB2312" w:hAnsi="仿宋"/>
          <w:szCs w:val="32"/>
        </w:rPr>
        <w:t>因此，依照《中华人民共和国刑法》第五十七条、第七十八条、《中华人民共和国刑事诉讼法》第二百七十三条第二款和《中华人民共和国监狱法》第二十九条的规定，建议对罪犯范承东减为有期徒刑二十五年，剥夺政治权利改为十年。特提请你院审理裁定。</w:t>
      </w:r>
    </w:p>
    <w:p>
      <w:pPr>
        <w:pStyle w:val="3"/>
        <w:keepNext w:val="0"/>
        <w:keepLines w:val="0"/>
        <w:pageBreakBefore w:val="0"/>
        <w:widowControl w:val="0"/>
        <w:kinsoku/>
        <w:wordWrap/>
        <w:overflowPunct/>
        <w:topLinePunct w:val="0"/>
        <w:autoSpaceDE/>
        <w:autoSpaceDN/>
        <w:bidi w:val="0"/>
        <w:adjustRightInd/>
        <w:snapToGrid/>
        <w:spacing w:line="420" w:lineRule="exact"/>
        <w:ind w:right="-48" w:rightChars="-15" w:firstLine="614" w:firstLineChars="192"/>
        <w:jc w:val="left"/>
        <w:textAlignment w:val="auto"/>
        <w:rPr>
          <w:rFonts w:ascii="仿宋_GB2312" w:hAnsi="仿宋" w:eastAsia="仿宋_GB2312" w:cs="Times New Roman"/>
          <w:kern w:val="32"/>
          <w:sz w:val="32"/>
          <w:szCs w:val="32"/>
        </w:rPr>
      </w:pPr>
      <w:r>
        <w:rPr>
          <w:rFonts w:hint="eastAsia" w:ascii="仿宋_GB2312" w:hAnsi="仿宋" w:eastAsia="仿宋_GB2312" w:cs="Times New Roman"/>
          <w:kern w:val="32"/>
          <w:sz w:val="32"/>
          <w:szCs w:val="32"/>
        </w:rPr>
        <w:t>此致</w:t>
      </w:r>
    </w:p>
    <w:p>
      <w:pPr>
        <w:pStyle w:val="3"/>
        <w:keepNext w:val="0"/>
        <w:keepLines w:val="0"/>
        <w:pageBreakBefore w:val="0"/>
        <w:widowControl w:val="0"/>
        <w:kinsoku/>
        <w:wordWrap/>
        <w:overflowPunct/>
        <w:topLinePunct w:val="0"/>
        <w:autoSpaceDE/>
        <w:autoSpaceDN/>
        <w:bidi w:val="0"/>
        <w:adjustRightInd/>
        <w:snapToGrid/>
        <w:spacing w:line="420" w:lineRule="exact"/>
        <w:ind w:right="-48" w:rightChars="-15"/>
        <w:jc w:val="left"/>
        <w:textAlignment w:val="auto"/>
        <w:rPr>
          <w:rFonts w:ascii="仿宋_GB2312" w:hAnsi="仿宋" w:eastAsia="仿宋_GB2312" w:cs="Times New Roman"/>
          <w:kern w:val="32"/>
          <w:sz w:val="32"/>
          <w:szCs w:val="32"/>
        </w:rPr>
      </w:pPr>
      <w:r>
        <w:rPr>
          <w:rFonts w:hint="eastAsia" w:ascii="仿宋_GB2312" w:hAnsi="仿宋" w:eastAsia="仿宋_GB2312" w:cs="Times New Roman"/>
          <w:kern w:val="32"/>
          <w:sz w:val="32"/>
          <w:szCs w:val="32"/>
        </w:rPr>
        <w:t>福建省高级人民法院</w:t>
      </w:r>
    </w:p>
    <w:p>
      <w:pPr>
        <w:pStyle w:val="3"/>
        <w:keepNext w:val="0"/>
        <w:keepLines w:val="0"/>
        <w:pageBreakBefore w:val="0"/>
        <w:widowControl w:val="0"/>
        <w:kinsoku/>
        <w:wordWrap/>
        <w:overflowPunct/>
        <w:topLinePunct w:val="0"/>
        <w:autoSpaceDE/>
        <w:autoSpaceDN/>
        <w:bidi w:val="0"/>
        <w:adjustRightInd/>
        <w:snapToGrid/>
        <w:spacing w:line="420" w:lineRule="exact"/>
        <w:ind w:right="-48" w:rightChars="-15" w:firstLine="614" w:firstLineChars="192"/>
        <w:jc w:val="left"/>
        <w:textAlignment w:val="auto"/>
        <w:rPr>
          <w:rFonts w:ascii="仿宋_GB2312" w:hAnsi="仿宋" w:eastAsia="仿宋_GB2312" w:cs="Times New Roman"/>
          <w:kern w:val="32"/>
          <w:sz w:val="32"/>
          <w:szCs w:val="32"/>
        </w:rPr>
      </w:pPr>
      <w:r>
        <w:rPr>
          <w:rFonts w:hint="eastAsia" w:ascii="仿宋_GB2312" w:hAnsi="仿宋" w:eastAsia="仿宋_GB2312" w:cs="Times New Roman"/>
          <w:kern w:val="32"/>
          <w:sz w:val="32"/>
          <w:szCs w:val="32"/>
        </w:rPr>
        <w:t>附件：⒈罪犯范承东卷宗3册</w:t>
      </w:r>
    </w:p>
    <w:p>
      <w:pPr>
        <w:pStyle w:val="3"/>
        <w:keepNext w:val="0"/>
        <w:keepLines w:val="0"/>
        <w:pageBreakBefore w:val="0"/>
        <w:widowControl w:val="0"/>
        <w:kinsoku/>
        <w:wordWrap/>
        <w:overflowPunct/>
        <w:topLinePunct w:val="0"/>
        <w:autoSpaceDE/>
        <w:autoSpaceDN/>
        <w:bidi w:val="0"/>
        <w:adjustRightInd/>
        <w:snapToGrid/>
        <w:spacing w:line="420" w:lineRule="exact"/>
        <w:ind w:right="-48" w:rightChars="-15" w:firstLine="1568" w:firstLineChars="490"/>
        <w:jc w:val="left"/>
        <w:textAlignment w:val="auto"/>
        <w:rPr>
          <w:rFonts w:hint="eastAsia" w:ascii="仿宋_GB2312" w:hAnsi="仿宋" w:eastAsia="仿宋_GB2312" w:cs="Times New Roman"/>
          <w:kern w:val="32"/>
          <w:sz w:val="32"/>
          <w:szCs w:val="32"/>
        </w:rPr>
      </w:pPr>
      <w:r>
        <w:rPr>
          <w:rFonts w:hint="eastAsia" w:ascii="仿宋_GB2312" w:hAnsi="仿宋" w:eastAsia="仿宋_GB2312" w:cs="Times New Roman"/>
          <w:kern w:val="32"/>
          <w:sz w:val="32"/>
          <w:szCs w:val="32"/>
        </w:rPr>
        <w:t>⒉减刑建议书2份</w:t>
      </w:r>
    </w:p>
    <w:p/>
    <w:p>
      <w:pPr>
        <w:pStyle w:val="3"/>
        <w:keepNext w:val="0"/>
        <w:keepLines w:val="0"/>
        <w:pageBreakBefore w:val="0"/>
        <w:widowControl w:val="0"/>
        <w:kinsoku/>
        <w:wordWrap/>
        <w:overflowPunct/>
        <w:topLinePunct w:val="0"/>
        <w:autoSpaceDE/>
        <w:autoSpaceDN/>
        <w:bidi w:val="0"/>
        <w:adjustRightInd/>
        <w:snapToGrid/>
        <w:spacing w:line="420" w:lineRule="exact"/>
        <w:ind w:right="-48" w:rightChars="-15" w:firstLine="5600" w:firstLineChars="1750"/>
        <w:jc w:val="left"/>
        <w:textAlignment w:val="auto"/>
        <w:rPr>
          <w:rFonts w:ascii="仿宋_GB2312" w:hAnsi="仿宋" w:eastAsia="仿宋_GB2312" w:cs="Times New Roman"/>
          <w:kern w:val="32"/>
          <w:sz w:val="32"/>
          <w:szCs w:val="32"/>
        </w:rPr>
      </w:pPr>
      <w:r>
        <w:rPr>
          <w:rFonts w:hint="eastAsia" w:ascii="仿宋_GB2312" w:hAnsi="仿宋" w:eastAsia="仿宋_GB2312" w:cs="Times New Roman"/>
          <w:kern w:val="32"/>
          <w:sz w:val="32"/>
          <w:szCs w:val="32"/>
        </w:rPr>
        <w:t>福建省厦门监狱</w:t>
      </w:r>
    </w:p>
    <w:p>
      <w:pPr>
        <w:keepNext w:val="0"/>
        <w:keepLines w:val="0"/>
        <w:pageBreakBefore w:val="0"/>
        <w:widowControl w:val="0"/>
        <w:kinsoku/>
        <w:wordWrap/>
        <w:overflowPunct/>
        <w:topLinePunct w:val="0"/>
        <w:autoSpaceDE/>
        <w:autoSpaceDN/>
        <w:bidi w:val="0"/>
        <w:adjustRightInd/>
        <w:snapToGrid/>
        <w:spacing w:line="420" w:lineRule="exact"/>
        <w:ind w:right="1014" w:rightChars="317" w:firstLine="5440" w:firstLineChars="1700"/>
        <w:jc w:val="left"/>
        <w:textAlignment w:val="auto"/>
        <w:rPr>
          <w:rFonts w:ascii="仿宋_GB2312" w:hAnsiTheme="majorEastAsia"/>
          <w:szCs w:val="32"/>
        </w:rPr>
      </w:pPr>
      <w:r>
        <w:rPr>
          <w:rFonts w:hint="eastAsia" w:ascii="仿宋_GB2312" w:hAnsi="仿宋"/>
          <w:szCs w:val="32"/>
          <w:lang w:val="en-US" w:eastAsia="zh-CN"/>
        </w:rPr>
        <w:t>2025</w:t>
      </w:r>
      <w:r>
        <w:rPr>
          <w:rFonts w:hint="eastAsia" w:ascii="仿宋_GB2312" w:hAnsi="仿宋"/>
          <w:szCs w:val="32"/>
        </w:rPr>
        <w:t>年</w:t>
      </w:r>
      <w:r>
        <w:rPr>
          <w:rFonts w:hint="eastAsia" w:ascii="仿宋_GB2312" w:hAnsi="仿宋"/>
          <w:szCs w:val="32"/>
          <w:lang w:val="en-US" w:eastAsia="zh-CN"/>
        </w:rPr>
        <w:t>6</w:t>
      </w:r>
      <w:r>
        <w:rPr>
          <w:rFonts w:hint="eastAsia" w:ascii="仿宋_GB2312" w:hAnsi="仿宋"/>
          <w:szCs w:val="32"/>
        </w:rPr>
        <w:t>月</w:t>
      </w:r>
      <w:r>
        <w:rPr>
          <w:rFonts w:hint="eastAsia" w:ascii="仿宋_GB2312" w:hAnsi="仿宋"/>
          <w:szCs w:val="32"/>
          <w:lang w:val="en-US" w:eastAsia="zh-CN"/>
        </w:rPr>
        <w:t>30</w:t>
      </w:r>
      <w:r>
        <w:rPr>
          <w:rFonts w:hint="eastAsia" w:ascii="仿宋_GB2312" w:hAnsi="仿宋"/>
          <w:szCs w:val="32"/>
        </w:rPr>
        <w:t>日</w:t>
      </w:r>
    </w:p>
    <w:p>
      <w:pPr>
        <w:keepNext w:val="0"/>
        <w:keepLines w:val="0"/>
        <w:pageBreakBefore w:val="0"/>
        <w:widowControl w:val="0"/>
        <w:kinsoku/>
        <w:wordWrap/>
        <w:overflowPunct/>
        <w:topLinePunct w:val="0"/>
        <w:autoSpaceDE/>
        <w:autoSpaceDN/>
        <w:bidi w:val="0"/>
        <w:adjustRightInd/>
        <w:snapToGrid/>
        <w:spacing w:line="420" w:lineRule="exact"/>
        <w:ind w:right="1213" w:rightChars="379" w:firstLine="614" w:firstLineChars="192"/>
        <w:jc w:val="left"/>
        <w:textAlignment w:val="auto"/>
        <w:rPr>
          <w:rFonts w:ascii="仿宋_GB2312" w:hAnsi="仿宋"/>
          <w:szCs w:val="32"/>
        </w:rPr>
      </w:pPr>
    </w:p>
    <w:sectPr>
      <w:headerReference r:id="rId3" w:type="default"/>
      <w:footerReference r:id="rId4" w:type="default"/>
      <w:footerReference r:id="rId5" w:type="even"/>
      <w:pgSz w:w="11906" w:h="16838"/>
      <w:pgMar w:top="1871" w:right="1304" w:bottom="1871" w:left="1587" w:header="1587" w:footer="1587"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rPr>
        <w:rStyle w:val="8"/>
        <w:rFonts w:hint="eastAsia"/>
      </w:rPr>
      <w:fldChar w:fldCharType="begin"/>
    </w:r>
    <w:r>
      <w:rPr>
        <w:rStyle w:val="8"/>
        <w:rFonts w:hint="eastAsia"/>
      </w:rPr>
      <w:instrText xml:space="preserve">PAGE  </w:instrText>
    </w:r>
    <w:r>
      <w:rPr>
        <w:rStyle w:val="8"/>
        <w:rFonts w:hint="eastAsia"/>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71400"/>
    <w:rsid w:val="000026A3"/>
    <w:rsid w:val="00017D58"/>
    <w:rsid w:val="00024F36"/>
    <w:rsid w:val="00053754"/>
    <w:rsid w:val="00067CC2"/>
    <w:rsid w:val="00082A2E"/>
    <w:rsid w:val="00085F7C"/>
    <w:rsid w:val="000B68B0"/>
    <w:rsid w:val="000D6E2E"/>
    <w:rsid w:val="000E47C2"/>
    <w:rsid w:val="000F59AB"/>
    <w:rsid w:val="001029CB"/>
    <w:rsid w:val="00124154"/>
    <w:rsid w:val="00125941"/>
    <w:rsid w:val="00134F77"/>
    <w:rsid w:val="00144882"/>
    <w:rsid w:val="00146580"/>
    <w:rsid w:val="001541A1"/>
    <w:rsid w:val="00156724"/>
    <w:rsid w:val="00161176"/>
    <w:rsid w:val="00182917"/>
    <w:rsid w:val="001877A7"/>
    <w:rsid w:val="0020161F"/>
    <w:rsid w:val="00210F9D"/>
    <w:rsid w:val="00253602"/>
    <w:rsid w:val="00254EE0"/>
    <w:rsid w:val="00256103"/>
    <w:rsid w:val="00262B11"/>
    <w:rsid w:val="00267AD3"/>
    <w:rsid w:val="002846FA"/>
    <w:rsid w:val="00285078"/>
    <w:rsid w:val="002A670A"/>
    <w:rsid w:val="002B0008"/>
    <w:rsid w:val="002C7894"/>
    <w:rsid w:val="002E51ED"/>
    <w:rsid w:val="00300943"/>
    <w:rsid w:val="00320AFD"/>
    <w:rsid w:val="00327547"/>
    <w:rsid w:val="003810A7"/>
    <w:rsid w:val="00387E5C"/>
    <w:rsid w:val="003920B8"/>
    <w:rsid w:val="003D2B13"/>
    <w:rsid w:val="003E2C4D"/>
    <w:rsid w:val="003E68A9"/>
    <w:rsid w:val="003E7DDF"/>
    <w:rsid w:val="00415E4B"/>
    <w:rsid w:val="00420AB5"/>
    <w:rsid w:val="004244CD"/>
    <w:rsid w:val="00432BE4"/>
    <w:rsid w:val="00440500"/>
    <w:rsid w:val="004A67D8"/>
    <w:rsid w:val="00500804"/>
    <w:rsid w:val="00512A66"/>
    <w:rsid w:val="00520E95"/>
    <w:rsid w:val="00563171"/>
    <w:rsid w:val="00571250"/>
    <w:rsid w:val="00571E28"/>
    <w:rsid w:val="00572810"/>
    <w:rsid w:val="0057708C"/>
    <w:rsid w:val="00593C48"/>
    <w:rsid w:val="005C4719"/>
    <w:rsid w:val="005C731A"/>
    <w:rsid w:val="005E0BE3"/>
    <w:rsid w:val="005E6EFA"/>
    <w:rsid w:val="005E7A0E"/>
    <w:rsid w:val="00607E9B"/>
    <w:rsid w:val="00621204"/>
    <w:rsid w:val="006326BD"/>
    <w:rsid w:val="006346AA"/>
    <w:rsid w:val="00666730"/>
    <w:rsid w:val="0067080C"/>
    <w:rsid w:val="00673F1B"/>
    <w:rsid w:val="00680CEA"/>
    <w:rsid w:val="00690F71"/>
    <w:rsid w:val="006B707A"/>
    <w:rsid w:val="007006FF"/>
    <w:rsid w:val="0070480D"/>
    <w:rsid w:val="007113B3"/>
    <w:rsid w:val="00721020"/>
    <w:rsid w:val="00731C7C"/>
    <w:rsid w:val="00731C93"/>
    <w:rsid w:val="00747A31"/>
    <w:rsid w:val="007A0BFC"/>
    <w:rsid w:val="007B1AAF"/>
    <w:rsid w:val="007B389F"/>
    <w:rsid w:val="007B6212"/>
    <w:rsid w:val="007C5175"/>
    <w:rsid w:val="007F65D8"/>
    <w:rsid w:val="00805265"/>
    <w:rsid w:val="00812E07"/>
    <w:rsid w:val="00831894"/>
    <w:rsid w:val="00840035"/>
    <w:rsid w:val="00841A48"/>
    <w:rsid w:val="00846F30"/>
    <w:rsid w:val="00864907"/>
    <w:rsid w:val="00881C88"/>
    <w:rsid w:val="00887DEC"/>
    <w:rsid w:val="008A57B5"/>
    <w:rsid w:val="008D18E2"/>
    <w:rsid w:val="008D5A71"/>
    <w:rsid w:val="008D7A40"/>
    <w:rsid w:val="008E24F5"/>
    <w:rsid w:val="008E32C4"/>
    <w:rsid w:val="008E4B5C"/>
    <w:rsid w:val="008F197F"/>
    <w:rsid w:val="008F4894"/>
    <w:rsid w:val="00943040"/>
    <w:rsid w:val="00950EF7"/>
    <w:rsid w:val="009816E3"/>
    <w:rsid w:val="00984F66"/>
    <w:rsid w:val="00990463"/>
    <w:rsid w:val="009965AA"/>
    <w:rsid w:val="00997E35"/>
    <w:rsid w:val="009A7A26"/>
    <w:rsid w:val="009B43A4"/>
    <w:rsid w:val="009E6A54"/>
    <w:rsid w:val="00A117EF"/>
    <w:rsid w:val="00A24989"/>
    <w:rsid w:val="00A54217"/>
    <w:rsid w:val="00A62EB4"/>
    <w:rsid w:val="00A80ECB"/>
    <w:rsid w:val="00A90192"/>
    <w:rsid w:val="00AA7B00"/>
    <w:rsid w:val="00AB6530"/>
    <w:rsid w:val="00AC32D5"/>
    <w:rsid w:val="00AC45DD"/>
    <w:rsid w:val="00AE64F4"/>
    <w:rsid w:val="00AF24F9"/>
    <w:rsid w:val="00AF5943"/>
    <w:rsid w:val="00AF72B7"/>
    <w:rsid w:val="00B023D5"/>
    <w:rsid w:val="00B024E4"/>
    <w:rsid w:val="00B656CC"/>
    <w:rsid w:val="00B8075A"/>
    <w:rsid w:val="00BC2A49"/>
    <w:rsid w:val="00BC4DA1"/>
    <w:rsid w:val="00BD06A2"/>
    <w:rsid w:val="00BE245B"/>
    <w:rsid w:val="00BE535E"/>
    <w:rsid w:val="00BF6423"/>
    <w:rsid w:val="00C1533A"/>
    <w:rsid w:val="00C223EA"/>
    <w:rsid w:val="00C33444"/>
    <w:rsid w:val="00C55AFE"/>
    <w:rsid w:val="00C64E70"/>
    <w:rsid w:val="00C65881"/>
    <w:rsid w:val="00C84620"/>
    <w:rsid w:val="00C94316"/>
    <w:rsid w:val="00CA0F8B"/>
    <w:rsid w:val="00CA2206"/>
    <w:rsid w:val="00CC2B4B"/>
    <w:rsid w:val="00CD6AF8"/>
    <w:rsid w:val="00D000F3"/>
    <w:rsid w:val="00D048D6"/>
    <w:rsid w:val="00D214E9"/>
    <w:rsid w:val="00D363E0"/>
    <w:rsid w:val="00D540C2"/>
    <w:rsid w:val="00D54CE0"/>
    <w:rsid w:val="00D55EE8"/>
    <w:rsid w:val="00D6504E"/>
    <w:rsid w:val="00DA7A20"/>
    <w:rsid w:val="00DD0D4F"/>
    <w:rsid w:val="00E34A21"/>
    <w:rsid w:val="00E514FF"/>
    <w:rsid w:val="00E54106"/>
    <w:rsid w:val="00E71400"/>
    <w:rsid w:val="00E761F4"/>
    <w:rsid w:val="00E81F25"/>
    <w:rsid w:val="00E82F6A"/>
    <w:rsid w:val="00EB35A5"/>
    <w:rsid w:val="00EC3917"/>
    <w:rsid w:val="00ED1392"/>
    <w:rsid w:val="00ED59AA"/>
    <w:rsid w:val="00EE15BC"/>
    <w:rsid w:val="00EF232D"/>
    <w:rsid w:val="00EF28AA"/>
    <w:rsid w:val="00F27BA4"/>
    <w:rsid w:val="00F34CEF"/>
    <w:rsid w:val="00F73745"/>
    <w:rsid w:val="00F85B85"/>
    <w:rsid w:val="00F9154D"/>
    <w:rsid w:val="00FB1093"/>
    <w:rsid w:val="00FB67AE"/>
    <w:rsid w:val="00FB7982"/>
    <w:rsid w:val="00FE01F1"/>
    <w:rsid w:val="00FE1E5A"/>
    <w:rsid w:val="117712E4"/>
    <w:rsid w:val="297A00C3"/>
    <w:rsid w:val="2F225768"/>
    <w:rsid w:val="56B373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32"/>
      <w:sz w:val="32"/>
      <w:szCs w:val="20"/>
      <w:lang w:val="en-US" w:eastAsia="zh-CN" w:bidi="ar-SA"/>
    </w:rPr>
  </w:style>
  <w:style w:type="paragraph" w:styleId="2">
    <w:name w:val="heading 1"/>
    <w:basedOn w:val="1"/>
    <w:next w:val="1"/>
    <w:link w:val="12"/>
    <w:qFormat/>
    <w:uiPriority w:val="9"/>
    <w:pPr>
      <w:keepNext/>
      <w:keepLines/>
      <w:spacing w:before="340" w:after="330" w:line="578" w:lineRule="auto"/>
      <w:outlineLvl w:val="0"/>
    </w:pPr>
    <w:rPr>
      <w:rFonts w:asciiTheme="minorHAnsi" w:hAnsiTheme="minorHAnsi" w:eastAsiaTheme="minorEastAsia" w:cstheme="minorBidi"/>
      <w:b/>
      <w:bCs/>
      <w:kern w:val="44"/>
      <w:sz w:val="44"/>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Salutation"/>
    <w:basedOn w:val="1"/>
    <w:next w:val="1"/>
    <w:link w:val="11"/>
    <w:qFormat/>
    <w:uiPriority w:val="0"/>
    <w:rPr>
      <w:rFonts w:asciiTheme="minorHAnsi" w:hAnsiTheme="minorHAnsi" w:eastAsiaTheme="minorEastAsia" w:cstheme="minorBidi"/>
      <w:kern w:val="2"/>
      <w:sz w:val="21"/>
      <w:szCs w:val="22"/>
    </w:rPr>
  </w:style>
  <w:style w:type="paragraph" w:styleId="4">
    <w:name w:val="footer"/>
    <w:basedOn w:val="1"/>
    <w:link w:val="10"/>
    <w:semiHidden/>
    <w:unhideWhenUsed/>
    <w:qFormat/>
    <w:uiPriority w:val="99"/>
    <w:pPr>
      <w:tabs>
        <w:tab w:val="center" w:pos="4153"/>
        <w:tab w:val="right" w:pos="8306"/>
      </w:tabs>
      <w:snapToGrid w:val="0"/>
      <w:jc w:val="left"/>
    </w:pPr>
    <w:rPr>
      <w:rFonts w:asciiTheme="minorHAnsi" w:hAnsiTheme="minorHAnsi" w:eastAsiaTheme="minorEastAsia" w:cstheme="minorBidi"/>
      <w:kern w:val="2"/>
      <w:sz w:val="18"/>
      <w:szCs w:val="18"/>
    </w:rPr>
  </w:style>
  <w:style w:type="paragraph" w:styleId="5">
    <w:name w:val="header"/>
    <w:basedOn w:val="1"/>
    <w:link w:val="9"/>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rPr>
  </w:style>
  <w:style w:type="character" w:styleId="8">
    <w:name w:val="page number"/>
    <w:basedOn w:val="7"/>
    <w:semiHidden/>
    <w:unhideWhenUsed/>
    <w:uiPriority w:val="99"/>
  </w:style>
  <w:style w:type="character" w:customStyle="1" w:styleId="9">
    <w:name w:val="页眉 Char"/>
    <w:basedOn w:val="7"/>
    <w:link w:val="5"/>
    <w:semiHidden/>
    <w:qFormat/>
    <w:uiPriority w:val="99"/>
    <w:rPr>
      <w:sz w:val="18"/>
      <w:szCs w:val="18"/>
    </w:rPr>
  </w:style>
  <w:style w:type="character" w:customStyle="1" w:styleId="10">
    <w:name w:val="页脚 Char"/>
    <w:basedOn w:val="7"/>
    <w:link w:val="4"/>
    <w:semiHidden/>
    <w:qFormat/>
    <w:uiPriority w:val="99"/>
    <w:rPr>
      <w:sz w:val="18"/>
      <w:szCs w:val="18"/>
    </w:rPr>
  </w:style>
  <w:style w:type="character" w:customStyle="1" w:styleId="11">
    <w:name w:val="称呼 Char"/>
    <w:basedOn w:val="7"/>
    <w:link w:val="3"/>
    <w:qFormat/>
    <w:uiPriority w:val="0"/>
    <w:rPr>
      <w:rFonts w:ascii="Calibri" w:hAnsi="Calibri" w:eastAsia="仿宋_GB2312" w:cs="Times New Roman"/>
      <w:kern w:val="32"/>
      <w:sz w:val="32"/>
      <w:szCs w:val="20"/>
    </w:rPr>
  </w:style>
  <w:style w:type="character" w:customStyle="1" w:styleId="12">
    <w:name w:val="标题 1 Char"/>
    <w:basedOn w:val="7"/>
    <w:link w:val="2"/>
    <w:qFormat/>
    <w:uiPriority w:val="9"/>
    <w:rPr>
      <w:b/>
      <w:bCs/>
      <w:kern w:val="44"/>
      <w:sz w:val="44"/>
      <w:szCs w:val="44"/>
    </w:rPr>
  </w:style>
  <w:style w:type="paragraph" w:customStyle="1" w:styleId="13">
    <w:name w:val="列表段落1"/>
    <w:basedOn w:val="1"/>
    <w:qFormat/>
    <w:uiPriority w:val="99"/>
    <w:pPr>
      <w:ind w:firstLine="420" w:firstLineChars="200"/>
    </w:pPr>
    <w:rPr>
      <w:rFonts w:ascii="Times New Roman" w:hAnsi="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Organization</Company>
  <Pages>2</Pages>
  <Words>1147</Words>
  <Characters>1326</Characters>
  <Lines>9</Lines>
  <Paragraphs>2</Paragraphs>
  <TotalTime>3</TotalTime>
  <ScaleCrop>false</ScaleCrop>
  <LinksUpToDate>false</LinksUpToDate>
  <CharactersWithSpaces>1326</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2025-04-08T06:42:00Z</dcterms:created>
  <dc:creator>Windows 用户</dc:creator>
  <cp:lastModifiedBy>刘海滨</cp:lastModifiedBy>
  <dcterms:modified xsi:type="dcterms:W3CDTF">2025-07-07T05:27:36Z</dcterms:modified>
  <cp:revision>233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C1FA6D381A124B58966E15625D4B39C4</vt:lpwstr>
  </property>
</Properties>
</file>