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686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6"/>
        <w:spacing w:line="560" w:lineRule="exact"/>
        <w:ind w:left="702" w:hanging="62"/>
      </w:pPr>
    </w:p>
    <w:p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李阿肥</w:t>
      </w:r>
      <w:r>
        <w:rPr>
          <w:rFonts w:hint="eastAsia" w:ascii="仿宋_GB2312"/>
          <w:sz w:val="32"/>
          <w:szCs w:val="32"/>
        </w:rPr>
        <w:t>，男，19</w:t>
      </w:r>
      <w:r>
        <w:rPr>
          <w:rFonts w:hint="eastAsia" w:ascii="仿宋_GB2312"/>
          <w:sz w:val="32"/>
          <w:szCs w:val="32"/>
          <w:lang w:val="en-US" w:eastAsia="zh-CN"/>
        </w:rPr>
        <w:t>86</w:t>
      </w:r>
      <w:r>
        <w:rPr>
          <w:rFonts w:hint="eastAsia" w:ascii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5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26</w:t>
      </w:r>
      <w:r>
        <w:rPr>
          <w:rFonts w:hint="eastAsia" w:ascii="仿宋_GB2312"/>
          <w:sz w:val="32"/>
          <w:szCs w:val="32"/>
        </w:rPr>
        <w:t>日出生，</w:t>
      </w:r>
      <w:r>
        <w:rPr>
          <w:rFonts w:hint="eastAsia" w:ascii="仿宋_GB2312"/>
          <w:sz w:val="32"/>
          <w:szCs w:val="32"/>
          <w:lang w:val="en-US" w:eastAsia="zh-CN"/>
        </w:rPr>
        <w:t>汉族，初中</w:t>
      </w:r>
      <w:r>
        <w:rPr>
          <w:rFonts w:hint="eastAsia" w:ascii="仿宋_GB2312"/>
          <w:sz w:val="32"/>
          <w:szCs w:val="32"/>
        </w:rPr>
        <w:t>文化，</w:t>
      </w:r>
      <w:r>
        <w:rPr>
          <w:rFonts w:hint="eastAsia" w:ascii="仿宋_GB2312"/>
          <w:sz w:val="32"/>
          <w:szCs w:val="32"/>
          <w:lang w:val="en-US" w:eastAsia="zh-CN"/>
        </w:rPr>
        <w:t>住福建省南安市</w:t>
      </w:r>
      <w:bookmarkStart w:id="0" w:name="_GoBack"/>
      <w:bookmarkEnd w:id="0"/>
      <w:r>
        <w:rPr>
          <w:rFonts w:hint="eastAsia" w:ascii="仿宋_GB2312"/>
          <w:sz w:val="32"/>
          <w:szCs w:val="32"/>
        </w:rPr>
        <w:t>，捕前</w:t>
      </w:r>
      <w:r>
        <w:rPr>
          <w:rFonts w:hint="eastAsia" w:ascii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宋体"/>
          <w:color w:val="000000"/>
          <w:sz w:val="32"/>
          <w:szCs w:val="32"/>
          <w:u w:val="none"/>
        </w:rPr>
      </w:pPr>
      <w:r>
        <w:rPr>
          <w:rFonts w:hint="eastAsia" w:ascii="仿宋_GB2312"/>
          <w:sz w:val="32"/>
          <w:szCs w:val="32"/>
          <w:u w:val="none"/>
        </w:rPr>
        <w:t>福建省泉州市中级人民法院于2022年12月15日作出（2022）闽05刑初52号刑事附带民事判决，以被告人李阿肥犯故意杀人罪，判处死刑，缓期二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/>
          <w:sz w:val="32"/>
          <w:szCs w:val="32"/>
          <w:u w:val="none"/>
        </w:rPr>
        <w:t>执行，剥夺政治权利终身，并赔偿附带民事诉讼原告人经济损失合计人民币201818.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/>
          <w:sz w:val="32"/>
          <w:szCs w:val="32"/>
          <w:u w:val="none"/>
        </w:rPr>
        <w:t>5元；赔偿附带民事诉讼六原告人共同的经济损失合计人民币64539.19元。福建省高级人民法院于2023年7月14日作出（2023）闽刑核33451327号刑事裁定，核准泉州市中级人民法院（2022)闽05刑初52号以故意杀人罪判处被告人李阿肥死刑，缓期二年执行，剥夺政治权利终身的刑事判决。死刑，缓期二年执行考验期自2023年8月14日起至2025年8月13日届满。</w:t>
      </w: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2023年9月13日交付福建省厦门监狱执行刑罚。</w:t>
      </w:r>
      <w:r>
        <w:rPr>
          <w:rFonts w:hint="eastAsia" w:ascii="仿宋_GB2312" w:hAnsi="Calibri" w:cs="Times New Roman"/>
          <w:sz w:val="32"/>
          <w:szCs w:val="32"/>
          <w:u w:val="none"/>
        </w:rPr>
        <w:t>属</w:t>
      </w: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考察</w:t>
      </w:r>
      <w:r>
        <w:rPr>
          <w:rFonts w:hint="eastAsia" w:ascii="仿宋_GB2312" w:hAnsi="Calibri" w:cs="Times New Roman"/>
          <w:sz w:val="32"/>
          <w:szCs w:val="32"/>
          <w:u w:val="none"/>
        </w:rPr>
        <w:t>级罪犯。</w:t>
      </w:r>
    </w:p>
    <w:p>
      <w:pPr>
        <w:spacing w:line="560" w:lineRule="exact"/>
        <w:ind w:firstLine="640" w:firstLineChars="200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罪犯李阿肥在死刑缓期执行期间没有故意犯罪，自入监以来改造表现如下：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 w:val="32"/>
          <w:szCs w:val="32"/>
        </w:rPr>
      </w:pPr>
      <w:r>
        <w:rPr>
          <w:rFonts w:hint="eastAsia" w:ascii="仿宋_GB2312" w:hAnsi="仿宋"/>
          <w:iCs/>
          <w:kern w:val="2"/>
          <w:sz w:val="3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Times New Roman"/>
          <w:iCs/>
          <w:kern w:val="2"/>
          <w:sz w:val="32"/>
          <w:szCs w:val="32"/>
          <w:lang w:val="zh-CN"/>
        </w:rPr>
      </w:pPr>
      <w:r>
        <w:rPr>
          <w:rFonts w:hint="eastAsia" w:ascii="仿宋_GB2312" w:hAnsi="仿宋" w:cs="Times New Roman"/>
          <w:iCs/>
          <w:kern w:val="2"/>
          <w:sz w:val="32"/>
          <w:szCs w:val="32"/>
        </w:rPr>
        <w:t>遵守监规</w:t>
      </w:r>
      <w:r>
        <w:rPr>
          <w:rFonts w:hint="eastAsia" w:ascii="仿宋_GB2312" w:hAnsi="仿宋" w:cs="Times New Roman"/>
          <w:iCs/>
          <w:kern w:val="2"/>
          <w:sz w:val="32"/>
          <w:szCs w:val="32"/>
          <w:lang w:val="zh-CN"/>
        </w:rPr>
        <w:t>：能遵守法律法规及监规纪律，接受教育改造。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 w:val="32"/>
          <w:szCs w:val="32"/>
          <w:lang w:val="zh-CN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 w:val="32"/>
          <w:szCs w:val="32"/>
        </w:rPr>
        <w:t>思想、文化、职业技术教育</w:t>
      </w:r>
      <w:r>
        <w:rPr>
          <w:rFonts w:hint="eastAsia" w:ascii="仿宋_GB2312" w:hAnsi="仿宋" w:cs="宋体"/>
          <w:sz w:val="32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 w:val="32"/>
          <w:szCs w:val="32"/>
        </w:rPr>
        <w:t>劳动</w:t>
      </w:r>
      <w:r>
        <w:rPr>
          <w:rFonts w:hint="eastAsia" w:ascii="仿宋_GB2312" w:hAnsi="仿宋" w:cs="宋体"/>
          <w:sz w:val="32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奖惩情况：该犯考核期2023年</w:t>
      </w:r>
      <w:r>
        <w:rPr>
          <w:rFonts w:hint="eastAsia" w:ascii="仿宋_GB2312"/>
          <w:sz w:val="32"/>
          <w:szCs w:val="32"/>
          <w:lang w:val="en-US" w:eastAsia="zh-CN"/>
        </w:rPr>
        <w:t>9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13</w:t>
      </w:r>
      <w:r>
        <w:rPr>
          <w:rFonts w:hint="eastAsia" w:ascii="仿宋_GB2312"/>
          <w:sz w:val="32"/>
          <w:szCs w:val="32"/>
        </w:rPr>
        <w:t>日至2025年</w:t>
      </w:r>
      <w:r>
        <w:rPr>
          <w:rFonts w:hint="eastAsia" w:ascii="仿宋_GB2312"/>
          <w:sz w:val="32"/>
          <w:szCs w:val="32"/>
          <w:lang w:val="en-US" w:eastAsia="zh-CN"/>
        </w:rPr>
        <w:t>8</w:t>
      </w:r>
      <w:r>
        <w:rPr>
          <w:rFonts w:hint="eastAsia" w:ascii="仿宋_GB2312"/>
          <w:sz w:val="32"/>
          <w:szCs w:val="32"/>
        </w:rPr>
        <w:t>月，累计获考核分21</w:t>
      </w:r>
      <w:r>
        <w:rPr>
          <w:rFonts w:hint="eastAsia" w:ascii="仿宋_GB2312"/>
          <w:sz w:val="32"/>
          <w:szCs w:val="32"/>
          <w:lang w:val="en-US" w:eastAsia="zh-CN"/>
        </w:rPr>
        <w:t>34.5</w:t>
      </w:r>
      <w:r>
        <w:rPr>
          <w:rFonts w:hint="eastAsia" w:ascii="仿宋_GB2312"/>
          <w:sz w:val="32"/>
          <w:szCs w:val="32"/>
        </w:rPr>
        <w:t>分，表扬2次，物质奖励1次。考核期内无</w:t>
      </w:r>
      <w:r>
        <w:rPr>
          <w:rFonts w:hint="eastAsia" w:ascii="仿宋_GB2312"/>
          <w:sz w:val="32"/>
          <w:szCs w:val="32"/>
          <w:lang w:val="en-US" w:eastAsia="zh-CN"/>
        </w:rPr>
        <w:t>违规</w:t>
      </w:r>
      <w:r>
        <w:rPr>
          <w:rFonts w:hint="eastAsia" w:ascii="仿宋_GB2312"/>
          <w:sz w:val="32"/>
          <w:szCs w:val="32"/>
        </w:rPr>
        <w:t>扣分。</w:t>
      </w:r>
    </w:p>
    <w:p>
      <w:pPr>
        <w:spacing w:line="560" w:lineRule="exact"/>
        <w:ind w:firstLine="640" w:firstLineChars="200"/>
        <w:rPr>
          <w:rFonts w:hint="eastAsia" w:ascii="仿宋_GB2312" w:hAnsi="Calibri" w:cs="Times New Roman"/>
          <w:sz w:val="32"/>
          <w:szCs w:val="32"/>
        </w:rPr>
      </w:pPr>
      <w:r>
        <w:rPr>
          <w:rFonts w:hint="eastAsia" w:ascii="仿宋_GB2312" w:hAnsi="Calibri" w:cs="Times New Roman"/>
          <w:sz w:val="32"/>
          <w:szCs w:val="32"/>
        </w:rPr>
        <w:t>该犯原判财产性判项赔偿附带民事诉讼原告人经济损失合计人民币201818.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Calibri" w:cs="Times New Roman"/>
          <w:sz w:val="32"/>
          <w:szCs w:val="32"/>
        </w:rPr>
        <w:t>5元；赔偿附带民事诉讼六原告人共同的经济损失合计人民币64539.19元。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原审</w:t>
      </w:r>
      <w:r>
        <w:rPr>
          <w:rFonts w:hint="eastAsia" w:ascii="仿宋_GB2312" w:hAnsi="Calibri" w:cs="Times New Roman"/>
          <w:sz w:val="32"/>
          <w:szCs w:val="32"/>
        </w:rPr>
        <w:t>期间，该犯家属代其向原审法院预缴纳赔偿款110000元。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服刑期间未履行。</w:t>
      </w:r>
      <w:r>
        <w:rPr>
          <w:rFonts w:hint="eastAsia" w:ascii="仿宋_GB2312" w:hAnsi="Calibri" w:cs="Times New Roman"/>
          <w:sz w:val="32"/>
          <w:szCs w:val="32"/>
        </w:rPr>
        <w:t>该犯考核期内月均自选购物消费人民币150.56元，账户可用余额454.59元。</w:t>
      </w:r>
    </w:p>
    <w:p>
      <w:pPr>
        <w:spacing w:line="560" w:lineRule="exact"/>
        <w:ind w:firstLine="640" w:firstLineChars="200"/>
        <w:rPr>
          <w:rFonts w:hint="default" w:ascii="仿宋_GB2312" w:hAnsi="Calibri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cs="Times New Roman"/>
          <w:sz w:val="32"/>
          <w:szCs w:val="32"/>
          <w:u w:val="none"/>
          <w:lang w:val="en-US" w:eastAsia="zh-CN"/>
        </w:rPr>
        <w:t>该犯系因</w:t>
      </w:r>
      <w:r>
        <w:rPr>
          <w:rFonts w:hint="eastAsia" w:ascii="仿宋_GB2312"/>
          <w:sz w:val="32"/>
          <w:szCs w:val="32"/>
          <w:u w:val="none"/>
        </w:rPr>
        <w:t>故意杀人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被判处</w:t>
      </w:r>
      <w:r>
        <w:rPr>
          <w:rFonts w:hint="eastAsia" w:ascii="仿宋_GB2312"/>
          <w:sz w:val="32"/>
          <w:szCs w:val="32"/>
          <w:u w:val="none"/>
        </w:rPr>
        <w:t>死刑，缓期二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/>
          <w:sz w:val="32"/>
          <w:szCs w:val="32"/>
          <w:u w:val="none"/>
        </w:rPr>
        <w:t>执行</w:t>
      </w:r>
      <w:r>
        <w:rPr>
          <w:rFonts w:hint="eastAsia" w:ascii="仿宋_GB2312"/>
          <w:sz w:val="32"/>
          <w:szCs w:val="32"/>
          <w:u w:val="none"/>
          <w:lang w:val="en-US" w:eastAsia="zh-CN"/>
        </w:rPr>
        <w:t>的罪犯，属于从严掌握减刑对象。</w:t>
      </w:r>
    </w:p>
    <w:p>
      <w:pPr>
        <w:spacing w:line="560" w:lineRule="exact"/>
        <w:ind w:firstLine="640" w:firstLineChars="200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本案于2025年10月20日至2025年10月24日在狱内公示未收到不同意见。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Calibri" w:cs="Times New Roman"/>
          <w:sz w:val="32"/>
          <w:szCs w:val="32"/>
          <w:u w:val="none"/>
          <w:lang w:val="en-US" w:eastAsia="zh-CN"/>
        </w:rPr>
        <w:t>因此，依照《中华人民共和国刑法》第五十条、第五十七条、《中华人民共和国刑事诉讼法》第二百六十一条和《中华人民共和国监狱法》第三十一条规定，建议对罪犯李阿肥减为无期徒刑，剥夺政治权利终身不变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此致</w:t>
      </w:r>
    </w:p>
    <w:p>
      <w:pPr>
        <w:spacing w:line="560" w:lineRule="exact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福建省</w:t>
      </w:r>
      <w:r>
        <w:rPr>
          <w:rFonts w:hint="eastAsia" w:ascii="仿宋_GB2312"/>
          <w:sz w:val="32"/>
          <w:szCs w:val="32"/>
          <w:lang w:val="en-US" w:eastAsia="zh-CN"/>
        </w:rPr>
        <w:t>高级</w:t>
      </w:r>
      <w:r>
        <w:rPr>
          <w:rFonts w:hint="eastAsia" w:ascii="仿宋_GB2312"/>
          <w:sz w:val="32"/>
          <w:szCs w:val="32"/>
        </w:rPr>
        <w:t>人民法院</w:t>
      </w:r>
    </w:p>
    <w:p>
      <w:pPr>
        <w:spacing w:line="560" w:lineRule="exact"/>
        <w:ind w:firstLine="640" w:firstLineChars="20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附件：</w:t>
      </w:r>
      <w:r>
        <w:rPr>
          <w:rFonts w:hint="eastAsia" w:ascii="仿宋_GB2312"/>
          <w:sz w:val="32"/>
          <w:szCs w:val="32"/>
          <w:lang w:val="en-US" w:eastAsia="zh-CN"/>
        </w:rPr>
        <w:t>1.</w:t>
      </w: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李阿肥</w:t>
      </w:r>
      <w:r>
        <w:rPr>
          <w:rFonts w:hint="eastAsia" w:ascii="仿宋_GB2312"/>
          <w:sz w:val="32"/>
          <w:szCs w:val="32"/>
        </w:rPr>
        <w:t>卷宗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>册</w:t>
      </w:r>
    </w:p>
    <w:p>
      <w:pPr>
        <w:spacing w:line="560" w:lineRule="exact"/>
        <w:ind w:firstLine="1606" w:firstLineChars="502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⒉减刑建议书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 xml:space="preserve">份                     </w:t>
      </w:r>
    </w:p>
    <w:p>
      <w:pPr>
        <w:ind w:left="4620" w:leftChars="0" w:firstLine="1376" w:firstLineChars="430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福建省厦门监狱</w:t>
      </w:r>
    </w:p>
    <w:p>
      <w:pPr>
        <w:spacing w:line="560" w:lineRule="exact"/>
        <w:ind w:left="1260" w:leftChars="0" w:right="624" w:rightChars="195" w:firstLine="420" w:firstLineChars="0"/>
        <w:jc w:val="right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val="en-US" w:eastAsia="zh-CN"/>
        </w:rPr>
        <w:t xml:space="preserve">     2025</w:t>
      </w:r>
      <w:r>
        <w:rPr>
          <w:rFonts w:hint="eastAsia" w:ascii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27</w:t>
      </w:r>
      <w:r>
        <w:rPr>
          <w:rFonts w:hint="eastAsia" w:ascii="仿宋_GB2312"/>
          <w:sz w:val="32"/>
          <w:szCs w:val="32"/>
        </w:rPr>
        <w:t>日</w:t>
      </w:r>
    </w:p>
    <w:p>
      <w:pPr>
        <w:rPr>
          <w:rFonts w:hint="eastAsia" w:ascii="仿宋_GB2312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E48B0"/>
    <w:rsid w:val="0FEB447E"/>
    <w:rsid w:val="186078E7"/>
    <w:rsid w:val="23BF692B"/>
    <w:rsid w:val="30B20D1F"/>
    <w:rsid w:val="39460593"/>
    <w:rsid w:val="39E341A2"/>
    <w:rsid w:val="4D735433"/>
    <w:rsid w:val="6C95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Body Text First Indent 21"/>
    <w:basedOn w:val="7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7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2025-10-11T03:08:00Z</dcterms:created>
  <dc:creator>user</dc:creator>
  <cp:lastModifiedBy>林伟彬</cp:lastModifiedBy>
  <dcterms:modified xsi:type="dcterms:W3CDTF">2025-11-26T07:23:50Z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74EFB55C4C0C4288BFE3B6B29CD9E4DE</vt:lpwstr>
  </property>
</Properties>
</file>