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厦门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4"/>
        <w:spacing w:line="240" w:lineRule="auto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厦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eastAsia="楷体_GB2312"/>
          <w:szCs w:val="32"/>
          <w:lang w:val="en-US" w:eastAsia="zh-CN"/>
        </w:rPr>
        <w:t>106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卢海生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1992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布依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小学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</w:t>
      </w:r>
      <w:r>
        <w:rPr>
          <w:rFonts w:hint="eastAsia" w:ascii="仿宋_GB2312"/>
          <w:szCs w:val="32"/>
        </w:rPr>
        <w:t>贵州省晴隆县</w:t>
      </w:r>
      <w:bookmarkStart w:id="0" w:name="_GoBack"/>
      <w:bookmarkEnd w:id="0"/>
      <w:r>
        <w:rPr>
          <w:rFonts w:hint="eastAsia" w:ascii="仿宋_GB2312"/>
          <w:szCs w:val="32"/>
        </w:rPr>
        <w:t>，捕前</w:t>
      </w:r>
      <w:r>
        <w:rPr>
          <w:rFonts w:hint="eastAsia" w:ascii="仿宋_GB2312"/>
          <w:szCs w:val="32"/>
          <w:lang w:eastAsia="zh-CN"/>
        </w:rPr>
        <w:t>务工</w:t>
      </w:r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lang w:eastAsia="zh-CN"/>
        </w:rPr>
        <w:t>福建省泉州市中级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59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附带民事</w:t>
      </w:r>
      <w:r>
        <w:rPr>
          <w:rFonts w:hint="eastAsia" w:ascii="仿宋_GB2312"/>
          <w:szCs w:val="32"/>
        </w:rPr>
        <w:t>判决，以被告人</w:t>
      </w:r>
      <w:r>
        <w:rPr>
          <w:rFonts w:hint="eastAsia" w:ascii="仿宋_GB2312"/>
          <w:szCs w:val="32"/>
          <w:lang w:eastAsia="zh-CN"/>
        </w:rPr>
        <w:t>卢海生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eastAsia="zh-CN"/>
        </w:rPr>
        <w:t>故意伤害</w:t>
      </w:r>
      <w:r>
        <w:rPr>
          <w:rFonts w:hint="eastAsia" w:ascii="仿宋_GB2312"/>
          <w:szCs w:val="32"/>
        </w:rPr>
        <w:t>罪，判处死刑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缓期二年执行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剥夺政治权利</w:t>
      </w:r>
      <w:r>
        <w:rPr>
          <w:rFonts w:hint="eastAsia" w:ascii="仿宋_GB2312"/>
          <w:szCs w:val="32"/>
          <w:lang w:eastAsia="zh-CN"/>
        </w:rPr>
        <w:t>终身。</w:t>
      </w:r>
      <w:r>
        <w:rPr>
          <w:rFonts w:hint="eastAsia" w:ascii="仿宋_GB2312"/>
          <w:szCs w:val="32"/>
          <w:lang w:val="en-US" w:eastAsia="zh-CN"/>
        </w:rPr>
        <w:t>共同</w:t>
      </w:r>
      <w:r>
        <w:rPr>
          <w:rFonts w:hint="eastAsia" w:ascii="仿宋_GB2312"/>
          <w:szCs w:val="32"/>
          <w:lang w:eastAsia="zh-CN"/>
        </w:rPr>
        <w:t>赔偿附带民事诉讼原告人经济损失人民币</w:t>
      </w:r>
      <w:r>
        <w:rPr>
          <w:rFonts w:hint="eastAsia" w:ascii="仿宋_GB2312"/>
          <w:szCs w:val="32"/>
          <w:lang w:val="en-US" w:eastAsia="zh-CN"/>
        </w:rPr>
        <w:t>86356元，其中，个人赔偿32383.5元，互负连带赔偿责任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同案犯</w:t>
      </w:r>
      <w:r>
        <w:rPr>
          <w:rFonts w:hint="eastAsia" w:ascii="仿宋_GB2312"/>
          <w:szCs w:val="32"/>
        </w:rPr>
        <w:t>不服，提出上诉</w:t>
      </w:r>
      <w:r>
        <w:rPr>
          <w:rFonts w:hint="eastAsia" w:ascii="仿宋_GB2312"/>
          <w:szCs w:val="32"/>
          <w:lang w:eastAsia="zh-CN"/>
        </w:rPr>
        <w:t>。福建省高级人民法院于</w:t>
      </w:r>
      <w:r>
        <w:rPr>
          <w:rFonts w:hint="eastAsia" w:ascii="仿宋_GB2312"/>
          <w:szCs w:val="32"/>
          <w:lang w:val="en-US" w:eastAsia="zh-CN"/>
        </w:rPr>
        <w:t>2023年12月11日作出（2023）闽刑终211号刑事裁定：驳回上诉，维持原判。并以此裁定核准以故意伤害罪，判处被告人卢海生死刑，缓期二年执行，剥夺政治权利终身的刑事裁定。</w:t>
      </w:r>
      <w:r>
        <w:rPr>
          <w:rFonts w:hint="eastAsia" w:ascii="仿宋_GB2312"/>
          <w:szCs w:val="32"/>
          <w:lang w:eastAsia="zh-CN"/>
        </w:rPr>
        <w:t>死刑，</w:t>
      </w:r>
      <w:r>
        <w:rPr>
          <w:rFonts w:hint="eastAsia" w:ascii="仿宋_GB2312"/>
          <w:szCs w:val="32"/>
        </w:rPr>
        <w:t>缓期二年执行</w:t>
      </w:r>
      <w:r>
        <w:rPr>
          <w:rFonts w:hint="eastAsia" w:ascii="仿宋_GB2312"/>
          <w:szCs w:val="32"/>
          <w:lang w:eastAsia="zh-CN"/>
        </w:rPr>
        <w:t>考验期</w:t>
      </w:r>
      <w:r>
        <w:rPr>
          <w:rFonts w:hint="eastAsia" w:ascii="仿宋_GB2312"/>
          <w:szCs w:val="32"/>
        </w:rPr>
        <w:t>自2023年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日起</w:t>
      </w:r>
      <w:r>
        <w:rPr>
          <w:rFonts w:hint="eastAsia" w:ascii="仿宋_GB2312"/>
          <w:szCs w:val="32"/>
          <w:lang w:eastAsia="zh-CN"/>
        </w:rPr>
        <w:t>至</w:t>
      </w:r>
      <w:r>
        <w:rPr>
          <w:rFonts w:hint="eastAsia" w:ascii="仿宋_GB2312"/>
          <w:szCs w:val="32"/>
          <w:lang w:val="en-US" w:eastAsia="zh-CN"/>
        </w:rPr>
        <w:t>2025年12月28日届满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判决生效后，于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hint="eastAsia" w:ascii="仿宋_GB2312"/>
          <w:szCs w:val="32"/>
          <w:lang w:eastAsia="zh-CN"/>
        </w:rPr>
        <w:t>现</w:t>
      </w:r>
      <w:r>
        <w:rPr>
          <w:rFonts w:hint="eastAsia" w:ascii="仿宋_GB2312"/>
          <w:szCs w:val="32"/>
        </w:rPr>
        <w:t>属考察</w:t>
      </w:r>
      <w:r>
        <w:rPr>
          <w:rFonts w:hint="eastAsia" w:ascii="仿宋_GB2312"/>
          <w:szCs w:val="32"/>
          <w:lang w:val="en-US" w:eastAsia="zh-CN"/>
        </w:rPr>
        <w:t>级</w:t>
      </w:r>
      <w:r>
        <w:rPr>
          <w:rFonts w:hint="eastAsia" w:ascii="仿宋_GB2312"/>
          <w:szCs w:val="32"/>
        </w:rPr>
        <w:t>罪犯。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卢海生</w:t>
      </w:r>
      <w:r>
        <w:rPr>
          <w:rFonts w:hint="eastAsia" w:ascii="仿宋_GB2312"/>
          <w:szCs w:val="32"/>
        </w:rPr>
        <w:t>在死刑缓期</w:t>
      </w:r>
      <w:r>
        <w:rPr>
          <w:rFonts w:hint="eastAsia" w:ascii="仿宋_GB2312"/>
          <w:szCs w:val="32"/>
          <w:lang w:val="en-US" w:eastAsia="zh-CN"/>
        </w:rPr>
        <w:t>二年</w:t>
      </w:r>
      <w:r>
        <w:rPr>
          <w:rFonts w:hint="eastAsia" w:ascii="仿宋_GB2312"/>
          <w:szCs w:val="32"/>
        </w:rPr>
        <w:t>执行期间没有故意犯罪，自入监以来改造表现如下：</w:t>
      </w: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240" w:lineRule="auto"/>
        <w:ind w:firstLine="640" w:firstLineChars="20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/>
          <w:szCs w:val="32"/>
        </w:rPr>
        <w:t>遵守监规</w:t>
      </w:r>
      <w:r>
        <w:rPr>
          <w:rFonts w:hint="eastAsia" w:ascii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能遵守法律法规及监规纪律，接受教育改造。</w:t>
      </w:r>
    </w:p>
    <w:p>
      <w:pPr>
        <w:spacing w:line="240" w:lineRule="auto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学习情况：能参加</w:t>
      </w:r>
      <w:r>
        <w:rPr>
          <w:rFonts w:hint="eastAsia" w:ascii="仿宋_GB2312"/>
          <w:szCs w:val="32"/>
        </w:rPr>
        <w:t>思想、文化、职业技术教育</w:t>
      </w:r>
      <w:r>
        <w:rPr>
          <w:rFonts w:hint="eastAsia" w:ascii="仿宋_GB2312"/>
          <w:szCs w:val="32"/>
          <w:lang w:val="zh-CN"/>
        </w:rPr>
        <w:t>。</w:t>
      </w:r>
    </w:p>
    <w:p>
      <w:pPr>
        <w:spacing w:line="240" w:lineRule="auto"/>
        <w:ind w:firstLine="640" w:firstLineChars="200"/>
        <w:rPr>
          <w:rFonts w:ascii="仿宋_GB2312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劳动改造：能参加劳动，努力完成</w:t>
      </w:r>
      <w:r>
        <w:rPr>
          <w:rFonts w:hint="eastAsia" w:ascii="仿宋_GB2312"/>
          <w:szCs w:val="32"/>
        </w:rPr>
        <w:t>劳动</w:t>
      </w:r>
      <w:r>
        <w:rPr>
          <w:rFonts w:hint="eastAsia" w:ascii="仿宋_GB2312"/>
          <w:szCs w:val="32"/>
          <w:lang w:val="zh-CN"/>
        </w:rPr>
        <w:t>任务。</w:t>
      </w:r>
    </w:p>
    <w:p>
      <w:pPr>
        <w:spacing w:line="240" w:lineRule="auto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zh-CN"/>
        </w:rPr>
        <w:t>奖惩情况：该犯考核期</w:t>
      </w:r>
      <w:r>
        <w:rPr>
          <w:rFonts w:hint="eastAsia" w:ascii="仿宋_GB2312"/>
          <w:szCs w:val="32"/>
        </w:rPr>
        <w:t>202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  <w:lang w:val="zh-CN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  <w:lang w:val="zh-CN"/>
        </w:rPr>
        <w:t>日至</w:t>
      </w:r>
      <w:r>
        <w:rPr>
          <w:rFonts w:hint="eastAsia" w:ascii="仿宋_GB2312"/>
          <w:szCs w:val="32"/>
        </w:rPr>
        <w:t>2025</w:t>
      </w:r>
      <w:r>
        <w:rPr>
          <w:rFonts w:hint="eastAsia" w:ascii="仿宋_GB2312"/>
          <w:szCs w:val="32"/>
          <w:lang w:val="zh-CN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  <w:lang w:val="zh-CN"/>
        </w:rPr>
        <w:t>月累计获考核分</w:t>
      </w:r>
      <w:r>
        <w:rPr>
          <w:rFonts w:hint="eastAsia" w:ascii="仿宋_GB2312"/>
          <w:szCs w:val="32"/>
          <w:lang w:val="en-US" w:eastAsia="zh-CN"/>
        </w:rPr>
        <w:t>1642.5</w:t>
      </w:r>
      <w:r>
        <w:rPr>
          <w:rFonts w:hint="eastAsia" w:ascii="仿宋_GB2312"/>
          <w:szCs w:val="32"/>
          <w:lang w:val="zh-CN"/>
        </w:rPr>
        <w:t>分，表扬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val="zh-CN"/>
        </w:rPr>
        <w:t>次；</w:t>
      </w:r>
      <w:r>
        <w:rPr>
          <w:rFonts w:hint="eastAsia" w:ascii="仿宋_GB2312"/>
          <w:szCs w:val="32"/>
          <w:lang w:val="en-US" w:eastAsia="zh-CN"/>
        </w:rPr>
        <w:t>考核期内无</w:t>
      </w:r>
      <w:r>
        <w:rPr>
          <w:rFonts w:hint="eastAsia" w:ascii="仿宋_GB2312"/>
          <w:szCs w:val="32"/>
          <w:lang w:val="zh-CN"/>
        </w:rPr>
        <w:t>违规扣分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spacing w:line="240" w:lineRule="auto"/>
        <w:ind w:firstLine="640" w:firstLineChars="200"/>
        <w:rPr>
          <w:rFonts w:ascii="仿宋_GB2312"/>
          <w:color w:val="auto"/>
          <w:szCs w:val="32"/>
          <w:lang w:val="zh-CN"/>
        </w:rPr>
      </w:pPr>
      <w:r>
        <w:rPr>
          <w:rFonts w:hint="eastAsia" w:ascii="仿宋_GB2312"/>
          <w:szCs w:val="32"/>
          <w:lang w:val="zh-CN"/>
        </w:rPr>
        <w:t>原判财产性判项</w:t>
      </w:r>
      <w:r>
        <w:rPr>
          <w:rFonts w:hint="eastAsia" w:ascii="仿宋_GB2312"/>
          <w:szCs w:val="32"/>
          <w:lang w:val="en-US" w:eastAsia="zh-CN"/>
        </w:rPr>
        <w:t>共同</w:t>
      </w:r>
      <w:r>
        <w:rPr>
          <w:rFonts w:hint="eastAsia" w:ascii="仿宋_GB2312"/>
          <w:szCs w:val="32"/>
          <w:lang w:eastAsia="zh-CN"/>
        </w:rPr>
        <w:t>赔偿附带民事诉讼原告人经济损失</w:t>
      </w:r>
      <w:r>
        <w:rPr>
          <w:rFonts w:hint="eastAsia" w:ascii="仿宋_GB2312"/>
          <w:szCs w:val="32"/>
          <w:lang w:val="en-US" w:eastAsia="zh-CN"/>
        </w:rPr>
        <w:t>86356元，其中，个人赔偿32383.5元，互负连带赔偿责任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val="en-US" w:eastAsia="zh-CN"/>
        </w:rPr>
        <w:t>本次未</w:t>
      </w:r>
      <w:r>
        <w:rPr>
          <w:rFonts w:hint="eastAsia" w:ascii="仿宋_GB2312"/>
          <w:szCs w:val="32"/>
          <w:lang w:eastAsia="zh-CN"/>
        </w:rPr>
        <w:t>履行。</w:t>
      </w:r>
      <w:r>
        <w:rPr>
          <w:rFonts w:hint="eastAsia" w:ascii="仿宋_GB2312"/>
          <w:color w:val="auto"/>
          <w:szCs w:val="32"/>
          <w:lang w:val="zh-CN"/>
        </w:rPr>
        <w:t>考核期月均消费121.43元，账户可用余额988.68 元。</w:t>
      </w:r>
    </w:p>
    <w:p>
      <w:pPr>
        <w:spacing w:line="240" w:lineRule="auto"/>
        <w:ind w:firstLine="640" w:firstLineChars="200"/>
        <w:rPr>
          <w:rFonts w:ascii="仿宋_GB2312"/>
          <w:szCs w:val="32"/>
          <w:highlight w:val="none"/>
          <w:lang w:val="zh-CN"/>
        </w:rPr>
      </w:pPr>
      <w:r>
        <w:rPr>
          <w:rFonts w:hint="eastAsia" w:ascii="仿宋_GB2312"/>
          <w:szCs w:val="32"/>
          <w:lang w:val="zh-CN"/>
        </w:rPr>
        <w:t>本案</w:t>
      </w:r>
      <w:r>
        <w:rPr>
          <w:rFonts w:hint="eastAsia" w:ascii="仿宋_GB2312"/>
          <w:szCs w:val="32"/>
          <w:highlight w:val="none"/>
          <w:lang w:val="zh-CN"/>
        </w:rPr>
        <w:t>于</w:t>
      </w:r>
      <w:r>
        <w:rPr>
          <w:rFonts w:hint="eastAsia" w:ascii="仿宋_GB2312"/>
          <w:szCs w:val="32"/>
          <w:highlight w:val="none"/>
          <w:lang w:val="en-US" w:eastAsia="zh-CN"/>
        </w:rPr>
        <w:t>2026年2月13日至2026年2月26日</w:t>
      </w:r>
      <w:r>
        <w:rPr>
          <w:rFonts w:hint="eastAsia" w:ascii="仿宋_GB2312"/>
          <w:szCs w:val="32"/>
          <w:highlight w:val="none"/>
          <w:lang w:val="zh-CN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/>
          <w:szCs w:val="32"/>
          <w:highlight w:val="none"/>
          <w:lang w:val="zh-CN"/>
        </w:rPr>
      </w:pPr>
      <w:r>
        <w:rPr>
          <w:rFonts w:hint="eastAsia" w:ascii="仿宋_GB2312"/>
          <w:szCs w:val="32"/>
          <w:highlight w:val="none"/>
          <w:lang w:val="zh-CN"/>
        </w:rPr>
        <w:t>因此，依照《中华人民共和国刑法》第五十条、第五十七条，《中华人民共和国刑事诉讼法》第二百六十一条和《中华人民共和国监狱法》第三十一条</w:t>
      </w:r>
      <w:r>
        <w:rPr>
          <w:rFonts w:hint="eastAsia" w:ascii="仿宋_GB2312"/>
          <w:szCs w:val="32"/>
          <w:highlight w:val="none"/>
          <w:lang w:val="en-US" w:eastAsia="zh-CN"/>
        </w:rPr>
        <w:t>之</w:t>
      </w:r>
      <w:r>
        <w:rPr>
          <w:rFonts w:hint="eastAsia" w:ascii="仿宋_GB2312"/>
          <w:szCs w:val="32"/>
          <w:highlight w:val="none"/>
          <w:lang w:val="zh-CN"/>
        </w:rPr>
        <w:t>规定，建议对罪犯卢海生减为无期徒刑，剥夺政治权利终身不变。特提请你院审理裁定。</w:t>
      </w:r>
    </w:p>
    <w:p>
      <w:pPr>
        <w:spacing w:line="240" w:lineRule="auto"/>
        <w:ind w:right="-48" w:rightChars="-15" w:firstLine="640" w:firstLineChars="200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此致</w:t>
      </w:r>
    </w:p>
    <w:p>
      <w:pPr>
        <w:spacing w:line="240" w:lineRule="auto"/>
        <w:ind w:right="-48" w:rightChars="-15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福建省高级人民法院</w:t>
      </w:r>
    </w:p>
    <w:p>
      <w:pPr>
        <w:spacing w:line="240" w:lineRule="auto"/>
        <w:ind w:left="64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附件：⒈罪犯</w:t>
      </w:r>
      <w:r>
        <w:rPr>
          <w:rFonts w:hint="eastAsia" w:cs="仿宋_GB2312"/>
          <w:szCs w:val="32"/>
          <w:highlight w:val="none"/>
          <w:lang w:eastAsia="zh-CN"/>
        </w:rPr>
        <w:t>卢海生</w:t>
      </w:r>
      <w:r>
        <w:rPr>
          <w:rFonts w:hint="eastAsia" w:cs="仿宋_GB2312"/>
          <w:szCs w:val="32"/>
          <w:highlight w:val="none"/>
        </w:rPr>
        <w:t>卷宗2册</w:t>
      </w:r>
    </w:p>
    <w:p>
      <w:pPr>
        <w:spacing w:line="240" w:lineRule="auto"/>
        <w:ind w:left="640" w:right="-48" w:rightChars="-15" w:firstLine="960" w:firstLineChars="300"/>
        <w:rPr>
          <w:rFonts w:cs="仿宋_GB2312"/>
          <w:szCs w:val="32"/>
          <w:highlight w:val="none"/>
        </w:rPr>
      </w:pPr>
      <w:r>
        <w:rPr>
          <w:rFonts w:hint="eastAsia" w:cs="仿宋_GB2312"/>
          <w:szCs w:val="32"/>
          <w:highlight w:val="none"/>
        </w:rPr>
        <w:t>⒉减刑建议书2份</w:t>
      </w:r>
    </w:p>
    <w:p>
      <w:pPr>
        <w:spacing w:line="240" w:lineRule="auto"/>
        <w:ind w:right="1280" w:rightChars="400"/>
        <w:jc w:val="right"/>
        <w:rPr>
          <w:szCs w:val="32"/>
          <w:highlight w:val="none"/>
        </w:rPr>
      </w:pPr>
      <w:r>
        <w:rPr>
          <w:rFonts w:hint="eastAsia"/>
          <w:szCs w:val="32"/>
          <w:highlight w:val="none"/>
        </w:rPr>
        <w:t>福建省厦门监狱</w:t>
      </w:r>
    </w:p>
    <w:p>
      <w:pPr>
        <w:tabs>
          <w:tab w:val="left" w:pos="8000"/>
        </w:tabs>
        <w:wordWrap w:val="0"/>
        <w:spacing w:line="240" w:lineRule="auto"/>
        <w:ind w:right="1014" w:rightChars="317"/>
        <w:jc w:val="right"/>
        <w:rPr>
          <w:highlight w:val="none"/>
        </w:rPr>
      </w:pPr>
      <w:r>
        <w:rPr>
          <w:rFonts w:hint="eastAsia"/>
          <w:szCs w:val="32"/>
          <w:highlight w:val="none"/>
          <w:lang w:val="en-US" w:eastAsia="zh-CN"/>
        </w:rPr>
        <w:t xml:space="preserve"> 2026</w:t>
      </w:r>
      <w:r>
        <w:rPr>
          <w:rFonts w:hint="eastAsia"/>
          <w:szCs w:val="32"/>
          <w:highlight w:val="none"/>
        </w:rPr>
        <w:t>年</w:t>
      </w:r>
      <w:r>
        <w:rPr>
          <w:rFonts w:hint="eastAsia"/>
          <w:szCs w:val="32"/>
          <w:highlight w:val="none"/>
          <w:lang w:val="en-US" w:eastAsia="zh-CN"/>
        </w:rPr>
        <w:t>3</w:t>
      </w:r>
      <w:r>
        <w:rPr>
          <w:rFonts w:hint="eastAsia"/>
          <w:szCs w:val="32"/>
          <w:highlight w:val="none"/>
        </w:rPr>
        <w:t>月</w:t>
      </w:r>
      <w:r>
        <w:rPr>
          <w:rFonts w:hint="eastAsia"/>
          <w:szCs w:val="32"/>
          <w:highlight w:val="none"/>
          <w:lang w:val="en-US" w:eastAsia="zh-CN"/>
        </w:rPr>
        <w:t>2</w:t>
      </w:r>
      <w:r>
        <w:rPr>
          <w:rFonts w:hint="eastAsia"/>
          <w:szCs w:val="32"/>
          <w:highlight w:val="none"/>
          <w:lang w:eastAsia="zh-CN"/>
        </w:rPr>
        <w:t>日</w:t>
      </w:r>
      <w:r>
        <w:rPr>
          <w:rFonts w:hint="eastAsia"/>
          <w:szCs w:val="32"/>
          <w:highlight w:val="none"/>
          <w:lang w:val="en-US" w:eastAsia="zh-CN"/>
        </w:rPr>
        <w:t xml:space="preserve"> </w:t>
      </w:r>
    </w:p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sz w:val="18"/>
        <w:szCs w:val="18"/>
      </w:rPr>
    </w:pPr>
    <w:r>
      <w:rPr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  <w:szCs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uXW5UtAAAAAFAQAADwAAAAAAAAABACAAAAAi&#10;AAAAZHJzL2Rvd25yZXYueG1sUEsBAhQAFAAAAAgAh07iQMx1qn3ZAQAAvwMAAA4AAAAAAAAAAQAg&#10;AAAAHwEAAGRycy9lMm9Eb2MueG1sUEsFBgAAAAAGAAYAWQEAAGo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sz w:val="18"/>
                        <w:szCs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r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center"/>
      <w:rPr>
        <w:sz w:val="18"/>
        <w:szCs w:val="18"/>
      </w:rPr>
    </w:pPr>
    <w:r>
      <w:rPr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Bdr>
                              <w:bottom w:val="single" w:color="auto" w:sz="6" w:space="1"/>
                            </w:pBd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center"/>
                            <w:rPr>
                              <w:color w:val="FFFFF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j+zfn0gAAAAUBAAAPAAAA&#10;AAAAAAEAIAAAACIAAABkcnMvZG93bnJldi54bWxQSwECFAAUAAAACACHTuJA3/yqGRsCAABZBAAA&#10;DgAAAAAAAAABACAAAAAhAQAAZHJzL2Uyb0RvYy54bWxQSwUGAAAAAAYABgBZAQAArg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Bdr>
                        <w:bottom w:val="single" w:color="auto" w:sz="6" w:space="1"/>
                      </w:pBdr>
                      <w:tabs>
                        <w:tab w:val="center" w:pos="4153"/>
                        <w:tab w:val="right" w:pos="8306"/>
                      </w:tabs>
                      <w:snapToGrid w:val="0"/>
                      <w:jc w:val="center"/>
                      <w:rPr>
                        <w:color w:val="FFFFFF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5071E"/>
    <w:rsid w:val="02A243E6"/>
    <w:rsid w:val="05AF1527"/>
    <w:rsid w:val="35CD7D9C"/>
    <w:rsid w:val="3DCC2A5C"/>
    <w:rsid w:val="4BB1437C"/>
    <w:rsid w:val="59FD1143"/>
    <w:rsid w:val="5BF67AA4"/>
    <w:rsid w:val="5DC5159B"/>
    <w:rsid w:val="5E1166D5"/>
    <w:rsid w:val="614B34AD"/>
    <w:rsid w:val="746818F1"/>
    <w:rsid w:val="78983B8F"/>
    <w:rsid w:val="793A0295"/>
    <w:rsid w:val="7CAA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2025-12-04T14:45:00Z</dcterms:created>
  <dc:creator>admin</dc:creator>
  <cp:lastModifiedBy>刘海滨</cp:lastModifiedBy>
  <cp:lastPrinted>2026-01-27T00:10:00Z</cp:lastPrinted>
  <dcterms:modified xsi:type="dcterms:W3CDTF">2026-03-31T05:52:53Z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8E5E996AD65A455A8D88AC0A561900AC</vt:lpwstr>
  </property>
</Properties>
</file>