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spacing w:line="600" w:lineRule="exact"/>
        <w:ind w:firstLine="0" w:firstLineChars="0"/>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福建省厦门监狱</w:t>
      </w:r>
    </w:p>
    <w:p>
      <w:pPr>
        <w:snapToGrid w:val="0"/>
        <w:spacing w:line="6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提请减刑建议书</w:t>
      </w:r>
    </w:p>
    <w:p>
      <w:pPr>
        <w:pStyle w:val="10"/>
        <w:keepNext w:val="0"/>
        <w:keepLines w:val="0"/>
        <w:pageBreakBefore w:val="0"/>
        <w:widowControl w:val="0"/>
        <w:kinsoku/>
        <w:wordWrap/>
        <w:overflowPunct/>
        <w:topLinePunct w:val="0"/>
        <w:autoSpaceDE/>
        <w:autoSpaceDN/>
        <w:bidi w:val="0"/>
        <w:adjustRightInd/>
        <w:snapToGrid/>
        <w:spacing w:line="500" w:lineRule="exact"/>
        <w:ind w:right="320" w:firstLine="640"/>
        <w:jc w:val="right"/>
        <w:textAlignment w:val="auto"/>
        <w:rPr>
          <w:rFonts w:eastAsia="楷体_GB2312" w:cs="楷体_GB2312"/>
          <w:szCs w:val="32"/>
        </w:rPr>
      </w:pPr>
      <w:r>
        <w:rPr>
          <w:rFonts w:hint="eastAsia" w:ascii="楷体_GB2312" w:hAnsi="楷体_GB2312" w:eastAsia="楷体_GB2312" w:cs="楷体_GB2312"/>
          <w:szCs w:val="32"/>
        </w:rPr>
        <w:t>〔2026〕闽厦狱减字第</w:t>
      </w:r>
      <w:r>
        <w:rPr>
          <w:rFonts w:hint="eastAsia" w:ascii="楷体_GB2312" w:hAnsi="楷体_GB2312" w:eastAsia="楷体_GB2312" w:cs="楷体_GB2312"/>
          <w:szCs w:val="32"/>
          <w:lang w:val="en-US" w:eastAsia="zh-CN"/>
        </w:rPr>
        <w:t>100</w:t>
      </w:r>
      <w:r>
        <w:rPr>
          <w:rFonts w:hint="eastAsia" w:ascii="楷体_GB2312" w:hAnsi="楷体_GB2312" w:eastAsia="楷体_GB2312" w:cs="楷体_GB2312"/>
          <w:szCs w:val="32"/>
        </w:rPr>
        <w:t>号</w:t>
      </w: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Cs w:val="32"/>
          <w:lang w:bidi="en-US"/>
        </w:rPr>
      </w:pPr>
      <w:r>
        <w:rPr>
          <w:rFonts w:hint="eastAsia" w:ascii="仿宋_GB2312" w:hAnsi="仿宋_GB2312" w:eastAsia="仿宋_GB2312" w:cs="仿宋_GB2312"/>
          <w:szCs w:val="32"/>
          <w:lang w:bidi="en-US"/>
        </w:rPr>
        <w:t>罪犯吉克伟格（别名吉克阿格）</w:t>
      </w:r>
      <w:r>
        <w:rPr>
          <w:rFonts w:hint="eastAsia" w:ascii="仿宋_GB2312" w:hAnsi="仿宋_GB2312" w:eastAsia="仿宋_GB2312" w:cs="仿宋_GB2312"/>
          <w:szCs w:val="32"/>
          <w:lang w:bidi="en-US"/>
        </w:rPr>
        <w:fldChar w:fldCharType="begin"/>
      </w:r>
      <w:r>
        <w:rPr>
          <w:rFonts w:hint="eastAsia" w:ascii="仿宋_GB2312" w:hAnsi="仿宋_GB2312" w:eastAsia="仿宋_GB2312" w:cs="仿宋_GB2312"/>
          <w:szCs w:val="32"/>
          <w:lang w:bidi="en-US"/>
        </w:rPr>
        <w:instrText xml:space="preserve"> AUTOTEXTLIST  \* MERGEFORMAT </w:instrText>
      </w:r>
      <w:r>
        <w:rPr>
          <w:rFonts w:hint="eastAsia" w:ascii="仿宋_GB2312" w:hAnsi="仿宋_GB2312" w:eastAsia="仿宋_GB2312" w:cs="仿宋_GB2312"/>
          <w:szCs w:val="32"/>
          <w:lang w:bidi="en-US"/>
        </w:rPr>
        <w:fldChar w:fldCharType="end"/>
      </w:r>
      <w:r>
        <w:rPr>
          <w:rFonts w:hint="eastAsia" w:ascii="仿宋_GB2312" w:hAnsi="仿宋_GB2312" w:eastAsia="仿宋_GB2312" w:cs="仿宋_GB2312"/>
          <w:szCs w:val="32"/>
          <w:lang w:bidi="en-US"/>
        </w:rPr>
        <w:t>，男，1989年9月10日出生，彝族，小学文化，住四川省凉山彝族自治州美姑县</w:t>
      </w:r>
      <w:bookmarkStart w:id="0" w:name="_GoBack"/>
      <w:bookmarkEnd w:id="0"/>
      <w:r>
        <w:rPr>
          <w:rFonts w:hint="eastAsia" w:ascii="仿宋_GB2312" w:hAnsi="仿宋_GB2312" w:eastAsia="仿宋_GB2312" w:cs="仿宋_GB2312"/>
          <w:szCs w:val="32"/>
          <w:lang w:bidi="en-US"/>
        </w:rPr>
        <w:t>，捕前无业。</w:t>
      </w: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Cs w:val="32"/>
          <w:lang w:bidi="en-US"/>
        </w:rPr>
      </w:pPr>
      <w:r>
        <w:rPr>
          <w:rFonts w:hint="eastAsia" w:ascii="仿宋_GB2312" w:hAnsi="仿宋_GB2312" w:eastAsia="仿宋_GB2312" w:cs="仿宋_GB2312"/>
          <w:szCs w:val="32"/>
          <w:lang w:bidi="en-US"/>
        </w:rPr>
        <w:t>福建省龙岩市中级人民法院于2018年4月28日作出（2016）闽08刑初20号刑事判决，以被告人吉克伟格犯故意杀人罪，判处无期徒刑，剥夺政治权利终身，继续追缴</w:t>
      </w:r>
      <w:r>
        <w:rPr>
          <w:rFonts w:hint="eastAsia" w:ascii="仿宋_GB2312" w:hAnsi="仿宋_GB2312" w:eastAsia="仿宋_GB2312" w:cs="仿宋_GB2312"/>
          <w:szCs w:val="32"/>
          <w:lang w:val="en-US" w:eastAsia="zh-CN" w:bidi="en-US"/>
        </w:rPr>
        <w:t>各</w:t>
      </w:r>
      <w:r>
        <w:rPr>
          <w:rFonts w:hint="eastAsia" w:ascii="仿宋_GB2312" w:hAnsi="仿宋_GB2312" w:eastAsia="仿宋_GB2312" w:cs="仿宋_GB2312"/>
          <w:szCs w:val="32"/>
          <w:lang w:bidi="en-US"/>
        </w:rPr>
        <w:t>被告人的违法所得归还被害人。该犯及同案犯不服，提出上诉。福建省高级人民法院于2020年11月20日作出</w:t>
      </w:r>
      <w:r>
        <w:rPr>
          <w:rFonts w:hint="eastAsia" w:ascii="仿宋_GB2312" w:hAnsi="仿宋_GB2312" w:cs="仿宋_GB2312"/>
          <w:szCs w:val="32"/>
          <w:lang w:eastAsia="zh-CN" w:bidi="en-US"/>
        </w:rPr>
        <w:t>（</w:t>
      </w:r>
      <w:r>
        <w:rPr>
          <w:rFonts w:hint="eastAsia" w:ascii="仿宋_GB2312" w:hAnsi="仿宋_GB2312" w:cs="仿宋_GB2312"/>
          <w:szCs w:val="32"/>
          <w:lang w:val="en-US" w:eastAsia="zh-CN" w:bidi="en-US"/>
        </w:rPr>
        <w:t>2018</w:t>
      </w:r>
      <w:r>
        <w:rPr>
          <w:rFonts w:hint="eastAsia" w:ascii="仿宋_GB2312" w:hAnsi="仿宋_GB2312" w:cs="仿宋_GB2312"/>
          <w:szCs w:val="32"/>
          <w:lang w:eastAsia="zh-CN" w:bidi="en-US"/>
        </w:rPr>
        <w:t>）</w:t>
      </w:r>
      <w:r>
        <w:rPr>
          <w:rFonts w:hint="eastAsia" w:ascii="仿宋_GB2312" w:hAnsi="仿宋_GB2312" w:eastAsia="仿宋_GB2312" w:cs="仿宋_GB2312"/>
          <w:szCs w:val="32"/>
          <w:lang w:bidi="en-US"/>
        </w:rPr>
        <w:t>闽刑终248号刑事裁定，驳回上诉，维持原判。刑期自2020年11月27日起。2021年1月18日交付福建省厦门监狱执行刑罚。2025年4月21日，福建省高级人民法院作出</w:t>
      </w:r>
      <w:r>
        <w:rPr>
          <w:rFonts w:hint="eastAsia" w:ascii="仿宋_GB2312" w:hAnsi="仿宋_GB2312" w:cs="仿宋_GB2312"/>
          <w:color w:val="auto"/>
          <w:szCs w:val="32"/>
          <w:lang w:eastAsia="zh-CN" w:bidi="en-US"/>
        </w:rPr>
        <w:t>（</w:t>
      </w:r>
      <w:r>
        <w:rPr>
          <w:rFonts w:hint="eastAsia" w:ascii="仿宋_GB2312" w:hAnsi="仿宋_GB2312" w:cs="仿宋_GB2312"/>
          <w:color w:val="auto"/>
          <w:szCs w:val="32"/>
          <w:lang w:val="en-US" w:eastAsia="zh-CN" w:bidi="en-US"/>
        </w:rPr>
        <w:t>2025</w:t>
      </w:r>
      <w:r>
        <w:rPr>
          <w:rFonts w:hint="eastAsia" w:ascii="仿宋_GB2312" w:hAnsi="仿宋_GB2312" w:cs="仿宋_GB2312"/>
          <w:color w:val="auto"/>
          <w:szCs w:val="32"/>
          <w:lang w:eastAsia="zh-CN" w:bidi="en-US"/>
        </w:rPr>
        <w:t>）</w:t>
      </w:r>
      <w:r>
        <w:rPr>
          <w:rFonts w:hint="eastAsia" w:ascii="仿宋_GB2312" w:hAnsi="仿宋_GB2312" w:eastAsia="仿宋_GB2312" w:cs="仿宋_GB2312"/>
          <w:szCs w:val="32"/>
          <w:lang w:bidi="en-US"/>
        </w:rPr>
        <w:t>闽刑更130号刑事裁定，对其不予减刑，2025年5月16日送达。属普管级罪犯。</w:t>
      </w: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Cs w:val="32"/>
          <w:lang w:bidi="en-US"/>
        </w:rPr>
      </w:pPr>
      <w:r>
        <w:rPr>
          <w:rFonts w:hint="eastAsia" w:ascii="仿宋_GB2312" w:hAnsi="仿宋_GB2312" w:eastAsia="仿宋_GB2312" w:cs="仿宋_GB2312"/>
          <w:szCs w:val="32"/>
          <w:lang w:bidi="en-US"/>
        </w:rPr>
        <w:t>罪犯吉克伟格自入监以来</w:t>
      </w:r>
      <w:r>
        <w:rPr>
          <w:rFonts w:hint="eastAsia" w:ascii="仿宋_GB2312" w:hAnsi="仿宋_GB2312" w:cs="仿宋_GB2312"/>
          <w:szCs w:val="32"/>
          <w:lang w:val="en-US" w:eastAsia="zh-CN" w:bidi="en-US"/>
        </w:rPr>
        <w:t>确有悔改表现，具体事实如下</w:t>
      </w:r>
      <w:r>
        <w:rPr>
          <w:rFonts w:hint="eastAsia" w:ascii="仿宋_GB2312" w:hAnsi="仿宋_GB2312" w:eastAsia="仿宋_GB2312" w:cs="仿宋_GB2312"/>
          <w:szCs w:val="32"/>
          <w:lang w:bidi="en-US"/>
        </w:rPr>
        <w:t xml:space="preserve">： </w:t>
      </w: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Cs w:val="32"/>
          <w:lang w:bidi="en-US"/>
        </w:rPr>
      </w:pPr>
      <w:r>
        <w:rPr>
          <w:rFonts w:hint="eastAsia" w:ascii="仿宋_GB2312" w:hAnsi="仿宋_GB2312" w:eastAsia="仿宋_GB2312" w:cs="仿宋_GB2312"/>
          <w:szCs w:val="32"/>
          <w:lang w:bidi="en-US"/>
        </w:rPr>
        <w:t>认罪悔罪：能服从法院判决，自书认罪悔罪书。</w:t>
      </w: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Cs w:val="32"/>
          <w:lang w:bidi="en-US"/>
        </w:rPr>
      </w:pPr>
      <w:r>
        <w:rPr>
          <w:rFonts w:hint="eastAsia" w:ascii="仿宋_GB2312" w:hAnsi="仿宋_GB2312" w:eastAsia="仿宋_GB2312" w:cs="仿宋_GB2312"/>
          <w:szCs w:val="32"/>
          <w:lang w:bidi="en-US"/>
        </w:rPr>
        <w:t>遵守监规：考核期内有违规</w:t>
      </w:r>
      <w:r>
        <w:rPr>
          <w:rFonts w:hint="eastAsia" w:ascii="仿宋_GB2312" w:hAnsi="仿宋_GB2312" w:cs="仿宋_GB2312"/>
          <w:szCs w:val="32"/>
          <w:lang w:val="en-US" w:eastAsia="zh-CN" w:bidi="en-US"/>
        </w:rPr>
        <w:t>行为</w:t>
      </w:r>
      <w:r>
        <w:rPr>
          <w:rFonts w:hint="eastAsia" w:ascii="仿宋_GB2312" w:hAnsi="仿宋_GB2312" w:eastAsia="仿宋_GB2312" w:cs="仿宋_GB2312"/>
          <w:szCs w:val="32"/>
          <w:lang w:bidi="en-US"/>
        </w:rPr>
        <w:t>，经民警批评教育后，能认识到错误。目前能遵守法律法规及监规纪律，接受教育改造。</w:t>
      </w: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Cs w:val="32"/>
          <w:lang w:bidi="en-US"/>
        </w:rPr>
      </w:pPr>
      <w:r>
        <w:rPr>
          <w:rFonts w:hint="eastAsia" w:ascii="仿宋_GB2312" w:hAnsi="仿宋_GB2312" w:eastAsia="仿宋_GB2312" w:cs="仿宋_GB2312"/>
          <w:szCs w:val="32"/>
          <w:lang w:bidi="en-US"/>
        </w:rPr>
        <w:t>学习情况：能参加思想、文化、职业技术教育。</w:t>
      </w: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Cs w:val="32"/>
          <w:lang w:bidi="en-US"/>
        </w:rPr>
      </w:pPr>
      <w:r>
        <w:rPr>
          <w:rFonts w:hint="eastAsia" w:ascii="仿宋_GB2312" w:hAnsi="仿宋_GB2312" w:eastAsia="仿宋_GB2312" w:cs="仿宋_GB2312"/>
          <w:szCs w:val="32"/>
          <w:lang w:bidi="en-US"/>
        </w:rPr>
        <w:t>劳动改造：能参加劳动，努力完成劳动任务。</w:t>
      </w: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Cs w:val="32"/>
          <w:lang w:val="en-US" w:eastAsia="zh-CN" w:bidi="en-US"/>
        </w:rPr>
      </w:pPr>
      <w:r>
        <w:rPr>
          <w:rFonts w:hint="eastAsia" w:ascii="仿宋_GB2312" w:hAnsi="仿宋_GB2312" w:eastAsia="仿宋_GB2312" w:cs="仿宋_GB2312"/>
          <w:szCs w:val="32"/>
          <w:lang w:bidi="en-US"/>
        </w:rPr>
        <w:t>奖惩情况：该犯考核期2021年1月18日至2025年11月累计获考核分5790分，表扬8次</w:t>
      </w:r>
      <w:r>
        <w:rPr>
          <w:rFonts w:hint="eastAsia" w:ascii="仿宋_GB2312" w:hAnsi="仿宋_GB2312" w:cs="仿宋_GB2312"/>
          <w:szCs w:val="32"/>
          <w:lang w:eastAsia="zh-CN" w:bidi="en-US"/>
        </w:rPr>
        <w:t>，</w:t>
      </w:r>
      <w:r>
        <w:rPr>
          <w:rFonts w:hint="eastAsia" w:ascii="仿宋_GB2312" w:hAnsi="仿宋_GB2312" w:eastAsia="仿宋_GB2312" w:cs="仿宋_GB2312"/>
          <w:szCs w:val="32"/>
          <w:lang w:bidi="en-US"/>
        </w:rPr>
        <w:t>物质奖励1次；</w:t>
      </w:r>
      <w:r>
        <w:rPr>
          <w:rFonts w:hint="eastAsia" w:ascii="仿宋_GB2312" w:hAnsi="仿宋_GB2312" w:eastAsia="仿宋_GB2312" w:cs="仿宋_GB2312"/>
          <w:szCs w:val="32"/>
          <w:lang w:val="en-US" w:eastAsia="zh-CN" w:bidi="en-US"/>
        </w:rPr>
        <w:t>违规2次</w:t>
      </w:r>
      <w:r>
        <w:rPr>
          <w:rFonts w:hint="eastAsia" w:ascii="仿宋_GB2312" w:hAnsi="仿宋_GB2312" w:eastAsia="仿宋_GB2312" w:cs="仿宋_GB2312"/>
          <w:szCs w:val="32"/>
          <w:lang w:bidi="en-US"/>
        </w:rPr>
        <w:t>，累计扣考核分12分。</w:t>
      </w:r>
      <w:r>
        <w:rPr>
          <w:rFonts w:hint="eastAsia" w:ascii="仿宋_GB2312" w:hAnsi="仿宋_GB2312" w:eastAsia="仿宋_GB2312" w:cs="仿宋_GB2312"/>
          <w:szCs w:val="32"/>
          <w:lang w:val="en-US" w:eastAsia="zh-CN" w:bidi="en-US"/>
        </w:rPr>
        <w:t>无重大违规。</w:t>
      </w: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Cs w:val="32"/>
        </w:rPr>
      </w:pPr>
      <w:r>
        <w:rPr>
          <w:rFonts w:hint="eastAsia" w:ascii="仿宋_GB2312" w:hAnsi="仿宋_GB2312" w:eastAsia="仿宋_GB2312" w:cs="仿宋_GB2312"/>
          <w:szCs w:val="32"/>
          <w:lang w:bidi="en-US"/>
        </w:rPr>
        <w:t>该犯原判财产性判项</w:t>
      </w:r>
      <w:r>
        <w:rPr>
          <w:rFonts w:hint="eastAsia" w:ascii="仿宋_GB2312" w:hAnsi="仿宋_GB2312" w:eastAsia="仿宋_GB2312" w:cs="仿宋_GB2312"/>
          <w:szCs w:val="32"/>
          <w:lang w:val="en-US" w:eastAsia="zh-CN" w:bidi="en-US"/>
        </w:rPr>
        <w:t>继续追缴违法所得，</w:t>
      </w:r>
      <w:r>
        <w:rPr>
          <w:rFonts w:hint="eastAsia" w:ascii="仿宋_GB2312" w:hAnsi="仿宋_GB2312" w:eastAsia="仿宋_GB2312" w:cs="仿宋_GB2312"/>
          <w:szCs w:val="32"/>
          <w:lang w:bidi="en-US"/>
        </w:rPr>
        <w:t>已履行人民币8363.36元；其中本次提请向福建省龙岩市中级人民法院缴纳违法所得人民币8300元；由福建省龙岩市中级人民法院扣划其银行存款人民币63.36元。该犯考核期内月均消费人民币207.53元，账户</w:t>
      </w:r>
      <w:r>
        <w:rPr>
          <w:rFonts w:hint="eastAsia" w:ascii="仿宋_GB2312" w:hAnsi="仿宋_GB2312" w:cs="仿宋_GB2312"/>
          <w:szCs w:val="32"/>
          <w:lang w:val="en-US" w:eastAsia="zh-CN" w:bidi="en-US"/>
        </w:rPr>
        <w:t>可用</w:t>
      </w:r>
      <w:r>
        <w:rPr>
          <w:rFonts w:hint="eastAsia" w:ascii="仿宋_GB2312" w:hAnsi="仿宋_GB2312" w:eastAsia="仿宋_GB2312" w:cs="仿宋_GB2312"/>
          <w:szCs w:val="32"/>
          <w:lang w:bidi="en-US"/>
        </w:rPr>
        <w:t>余额人民币666.27元。</w:t>
      </w:r>
      <w:r>
        <w:rPr>
          <w:rFonts w:hint="eastAsia" w:ascii="仿宋_GB2312" w:hAnsi="仿宋_GB2312" w:cs="仿宋_GB2312"/>
          <w:szCs w:val="32"/>
          <w:lang w:val="en-US" w:eastAsia="zh-CN" w:bidi="en-US"/>
        </w:rPr>
        <w:t>福建省龙岩市中级人民法院于2024年11月13日出具的刑事财产刑执行情况告知函载明：本院依法划扣被执行人吉克伟格银行存款63.36元，除此以外，未发现被执行人有可供执行财产。本院委托四川省凉山彝族自治州美姑县人民法院查封了被执行人吉克伟格与他人共有的坐落于美姑县的不动产，鉴于上述房产地处农村，处置困难，且共有人对共有的房产尚未析产，故本院暂不处置上述房产。本院对本案终结本次执行程序。</w:t>
      </w:r>
      <w:r>
        <w:rPr>
          <w:rFonts w:hint="eastAsia" w:ascii="仿宋_GB2312" w:hAnsi="仿宋_GB2312" w:eastAsia="仿宋_GB2312" w:cs="仿宋_GB2312"/>
          <w:szCs w:val="32"/>
          <w:lang w:bidi="en-US"/>
        </w:rPr>
        <w:t>福建省龙岩市中级人民法院于2025年10月20日财产性判项复函载明：</w:t>
      </w:r>
      <w:r>
        <w:rPr>
          <w:rFonts w:hint="eastAsia" w:ascii="仿宋_GB2312" w:hAnsi="仿宋_GB2312" w:eastAsia="仿宋_GB2312" w:cs="仿宋_GB2312"/>
          <w:bCs/>
          <w:szCs w:val="32"/>
          <w:lang w:bidi="en-US"/>
        </w:rPr>
        <w:t>被执行人吉克伟格在（2016）闽08刑初20号刑事判决书的财产性判项为追缴被执行人吉克伟格违法所得90000元返还被害人。具体执行情况如下：</w:t>
      </w:r>
      <w:r>
        <w:rPr>
          <w:rFonts w:hint="eastAsia" w:ascii="仿宋_GB2312" w:hAnsi="仿宋_GB2312" w:eastAsia="仿宋_GB2312" w:cs="仿宋_GB2312"/>
          <w:szCs w:val="32"/>
          <w:lang w:bidi="en-US"/>
        </w:rPr>
        <w:t>1、已追缴被执行人吉克伟格63.36元；2、暂未发现存在隐瞒、藏匿、转移财产情节，暂未发现存在妨</w:t>
      </w:r>
      <w:r>
        <w:rPr>
          <w:rFonts w:hint="eastAsia" w:ascii="仿宋_GB2312" w:hAnsi="仿宋_GB2312" w:cs="仿宋_GB2312"/>
          <w:szCs w:val="32"/>
          <w:lang w:val="en-US" w:eastAsia="zh-CN" w:bidi="en-US"/>
        </w:rPr>
        <w:t>碍</w:t>
      </w:r>
      <w:r>
        <w:rPr>
          <w:rFonts w:hint="eastAsia" w:ascii="仿宋_GB2312" w:hAnsi="仿宋_GB2312" w:eastAsia="仿宋_GB2312" w:cs="仿宋_GB2312"/>
          <w:szCs w:val="32"/>
          <w:lang w:bidi="en-US"/>
        </w:rPr>
        <w:t xml:space="preserve">财产性判项执行情节；3、经法院查控系统核实暂未发现有其他可供执行的财产。  </w:t>
      </w: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Cs w:val="32"/>
          <w:lang w:bidi="en-US"/>
        </w:rPr>
      </w:pPr>
      <w:r>
        <w:rPr>
          <w:rFonts w:hint="eastAsia" w:ascii="仿宋_GB2312" w:hAnsi="仿宋_GB2312" w:eastAsia="仿宋_GB2312" w:cs="仿宋_GB2312"/>
          <w:szCs w:val="32"/>
          <w:lang w:bidi="en-US"/>
        </w:rPr>
        <w:t>该犯系</w:t>
      </w:r>
      <w:r>
        <w:rPr>
          <w:rFonts w:hint="eastAsia" w:ascii="仿宋_GB2312" w:hAnsi="仿宋_GB2312" w:eastAsia="仿宋_GB2312" w:cs="仿宋_GB2312"/>
          <w:szCs w:val="32"/>
          <w:lang w:val="en-US" w:eastAsia="zh-CN" w:bidi="en-US"/>
        </w:rPr>
        <w:t>被判处无期徒刑的故意杀人犯罪</w:t>
      </w:r>
      <w:r>
        <w:rPr>
          <w:rFonts w:hint="eastAsia" w:ascii="仿宋_GB2312" w:hAnsi="仿宋_GB2312" w:eastAsia="仿宋_GB2312" w:cs="仿宋_GB2312"/>
          <w:szCs w:val="32"/>
          <w:lang w:bidi="en-US"/>
        </w:rPr>
        <w:t>罪犯，财产性判项未履行完毕且考核期内存在账户异动行为，属于从严掌握减刑对象。</w:t>
      </w: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Cs w:val="32"/>
        </w:rPr>
      </w:pPr>
      <w:r>
        <w:rPr>
          <w:rFonts w:hint="eastAsia" w:ascii="仿宋_GB2312" w:hAnsi="仿宋_GB2312" w:eastAsia="仿宋_GB2312" w:cs="仿宋_GB2312"/>
          <w:szCs w:val="32"/>
        </w:rPr>
        <w:t>本案于</w:t>
      </w:r>
      <w:r>
        <w:rPr>
          <w:rFonts w:hint="eastAsia" w:ascii="仿宋_GB2312" w:hAnsi="仿宋_GB2312" w:cs="仿宋_GB2312"/>
          <w:szCs w:val="32"/>
          <w:lang w:val="en-US" w:eastAsia="zh-CN"/>
        </w:rPr>
        <w:t>2026</w:t>
      </w:r>
      <w:r>
        <w:rPr>
          <w:rFonts w:hint="eastAsia" w:ascii="仿宋_GB2312" w:hAnsi="仿宋_GB2312" w:eastAsia="仿宋_GB2312" w:cs="仿宋_GB2312"/>
          <w:szCs w:val="32"/>
        </w:rPr>
        <w:t>年</w:t>
      </w:r>
      <w:r>
        <w:rPr>
          <w:rFonts w:hint="eastAsia" w:ascii="仿宋_GB2312" w:hAnsi="仿宋_GB2312" w:cs="仿宋_GB2312"/>
          <w:szCs w:val="32"/>
          <w:lang w:val="en-US" w:eastAsia="zh-CN"/>
        </w:rPr>
        <w:t>2</w:t>
      </w:r>
      <w:r>
        <w:rPr>
          <w:rFonts w:hint="eastAsia" w:ascii="仿宋_GB2312" w:hAnsi="仿宋_GB2312" w:eastAsia="仿宋_GB2312" w:cs="仿宋_GB2312"/>
          <w:szCs w:val="32"/>
        </w:rPr>
        <w:t>月</w:t>
      </w:r>
      <w:r>
        <w:rPr>
          <w:rFonts w:hint="eastAsia" w:ascii="仿宋_GB2312" w:hAnsi="仿宋_GB2312" w:cs="仿宋_GB2312"/>
          <w:szCs w:val="32"/>
          <w:lang w:val="en-US" w:eastAsia="zh-CN"/>
        </w:rPr>
        <w:t>13</w:t>
      </w:r>
      <w:r>
        <w:rPr>
          <w:rFonts w:hint="eastAsia" w:ascii="仿宋_GB2312" w:hAnsi="仿宋_GB2312" w:eastAsia="仿宋_GB2312" w:cs="仿宋_GB2312"/>
          <w:szCs w:val="32"/>
        </w:rPr>
        <w:t>日至</w:t>
      </w:r>
      <w:r>
        <w:rPr>
          <w:rFonts w:hint="eastAsia" w:ascii="仿宋_GB2312" w:hAnsi="仿宋_GB2312" w:cs="仿宋_GB2312"/>
          <w:szCs w:val="32"/>
          <w:lang w:val="en-US" w:eastAsia="zh-CN"/>
        </w:rPr>
        <w:t>2026</w:t>
      </w:r>
      <w:r>
        <w:rPr>
          <w:rFonts w:hint="eastAsia" w:ascii="仿宋_GB2312" w:hAnsi="仿宋_GB2312" w:eastAsia="仿宋_GB2312" w:cs="仿宋_GB2312"/>
          <w:szCs w:val="32"/>
        </w:rPr>
        <w:t>年</w:t>
      </w:r>
      <w:r>
        <w:rPr>
          <w:rFonts w:hint="eastAsia" w:ascii="仿宋_GB2312" w:hAnsi="仿宋_GB2312" w:cs="仿宋_GB2312"/>
          <w:szCs w:val="32"/>
          <w:lang w:val="en-US" w:eastAsia="zh-CN"/>
        </w:rPr>
        <w:t>2</w:t>
      </w:r>
      <w:r>
        <w:rPr>
          <w:rFonts w:hint="eastAsia" w:ascii="仿宋_GB2312" w:hAnsi="仿宋_GB2312" w:eastAsia="仿宋_GB2312" w:cs="仿宋_GB2312"/>
          <w:szCs w:val="32"/>
        </w:rPr>
        <w:t>月</w:t>
      </w:r>
      <w:r>
        <w:rPr>
          <w:rFonts w:hint="eastAsia" w:ascii="仿宋_GB2312" w:hAnsi="仿宋_GB2312" w:cs="仿宋_GB2312"/>
          <w:szCs w:val="32"/>
          <w:lang w:val="en-US" w:eastAsia="zh-CN"/>
        </w:rPr>
        <w:t>26</w:t>
      </w:r>
      <w:r>
        <w:rPr>
          <w:rFonts w:hint="eastAsia" w:ascii="仿宋_GB2312" w:hAnsi="仿宋_GB2312" w:eastAsia="仿宋_GB2312" w:cs="仿宋_GB2312"/>
          <w:szCs w:val="32"/>
        </w:rPr>
        <w:t xml:space="preserve">日在狱内公示未收到不同意见。 </w:t>
      </w: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Cs w:val="32"/>
        </w:rPr>
      </w:pPr>
      <w:r>
        <w:rPr>
          <w:rFonts w:hint="eastAsia" w:ascii="仿宋_GB2312" w:hAnsi="仿宋_GB2312" w:eastAsia="仿宋_GB2312" w:cs="仿宋_GB2312"/>
          <w:szCs w:val="32"/>
        </w:rPr>
        <w:t>因此，依照《中华人民共和国刑法》第五十七条、第七十八条</w:t>
      </w:r>
      <w:r>
        <w:rPr>
          <w:rFonts w:hint="eastAsia" w:ascii="仿宋_GB2312" w:hAnsi="仿宋_GB2312" w:cs="仿宋_GB2312"/>
          <w:szCs w:val="32"/>
          <w:lang w:eastAsia="zh-CN"/>
        </w:rPr>
        <w:t>、</w:t>
      </w:r>
      <w:r>
        <w:rPr>
          <w:rFonts w:hint="eastAsia" w:ascii="仿宋_GB2312" w:hAnsi="仿宋_GB2312" w:eastAsia="仿宋_GB2312" w:cs="仿宋_GB2312"/>
          <w:szCs w:val="32"/>
        </w:rPr>
        <w:t>《中华人民共和国刑事诉讼法》第二百七十三条第二款和《中华人民共和国监狱法》第二十九条规定，建议对罪犯吉克伟格减为有期徒刑二十二年，剥夺政治权利改为十年。特提请你院审理裁定。</w:t>
      </w:r>
    </w:p>
    <w:p>
      <w:pPr>
        <w:pStyle w:val="2"/>
        <w:keepNext w:val="0"/>
        <w:keepLines w:val="0"/>
        <w:pageBreakBefore w:val="0"/>
        <w:widowControl w:val="0"/>
        <w:kinsoku/>
        <w:wordWrap/>
        <w:overflowPunct/>
        <w:topLinePunct w:val="0"/>
        <w:autoSpaceDE/>
        <w:autoSpaceDN/>
        <w:bidi w:val="0"/>
        <w:adjustRightInd/>
        <w:snapToGrid/>
        <w:spacing w:line="440" w:lineRule="exact"/>
        <w:ind w:right="-48" w:rightChars="-15" w:firstLine="640" w:firstLineChars="200"/>
        <w:textAlignment w:val="auto"/>
        <w:rPr>
          <w:rFonts w:hint="eastAsia" w:ascii="仿宋_GB2312" w:hAnsi="仿宋_GB2312" w:eastAsia="仿宋_GB2312" w:cs="仿宋_GB2312"/>
          <w:szCs w:val="32"/>
        </w:rPr>
      </w:pPr>
      <w:r>
        <w:rPr>
          <w:rFonts w:hint="eastAsia" w:ascii="仿宋_GB2312" w:hAnsi="仿宋_GB2312" w:eastAsia="仿宋_GB2312" w:cs="仿宋_GB2312"/>
          <w:szCs w:val="32"/>
        </w:rPr>
        <w:t>此致</w:t>
      </w:r>
    </w:p>
    <w:p>
      <w:pPr>
        <w:pStyle w:val="10"/>
        <w:keepNext w:val="0"/>
        <w:keepLines w:val="0"/>
        <w:pageBreakBefore w:val="0"/>
        <w:widowControl w:val="0"/>
        <w:kinsoku/>
        <w:wordWrap/>
        <w:overflowPunct/>
        <w:topLinePunct w:val="0"/>
        <w:autoSpaceDE/>
        <w:autoSpaceDN/>
        <w:bidi w:val="0"/>
        <w:adjustRightInd/>
        <w:snapToGrid/>
        <w:spacing w:line="440" w:lineRule="exact"/>
        <w:ind w:right="-48" w:rightChars="-15" w:firstLine="0" w:firstLineChars="0"/>
        <w:textAlignment w:val="auto"/>
        <w:rPr>
          <w:rFonts w:hint="eastAsia" w:ascii="仿宋_GB2312" w:hAnsi="仿宋_GB2312" w:eastAsia="仿宋_GB2312" w:cs="仿宋_GB2312"/>
          <w:szCs w:val="32"/>
        </w:rPr>
      </w:pPr>
      <w:r>
        <w:rPr>
          <w:rFonts w:hint="eastAsia" w:ascii="仿宋_GB2312" w:hAnsi="仿宋_GB2312" w:eastAsia="仿宋_GB2312" w:cs="仿宋_GB2312"/>
          <w:szCs w:val="32"/>
        </w:rPr>
        <w:t>福建省高级人民法院</w:t>
      </w:r>
    </w:p>
    <w:p>
      <w:pPr>
        <w:pStyle w:val="10"/>
        <w:keepNext w:val="0"/>
        <w:keepLines w:val="0"/>
        <w:pageBreakBefore w:val="0"/>
        <w:widowControl w:val="0"/>
        <w:kinsoku/>
        <w:wordWrap/>
        <w:overflowPunct/>
        <w:topLinePunct w:val="0"/>
        <w:autoSpaceDE/>
        <w:autoSpaceDN/>
        <w:bidi w:val="0"/>
        <w:adjustRightInd/>
        <w:snapToGrid/>
        <w:spacing w:line="440" w:lineRule="exact"/>
        <w:ind w:left="641" w:firstLine="0" w:firstLineChars="0"/>
        <w:textAlignment w:val="auto"/>
        <w:rPr>
          <w:rFonts w:hint="eastAsia" w:ascii="仿宋_GB2312" w:hAnsi="仿宋_GB2312" w:eastAsia="仿宋_GB2312" w:cs="仿宋_GB2312"/>
          <w:szCs w:val="32"/>
        </w:rPr>
      </w:pPr>
      <w:r>
        <w:rPr>
          <w:rFonts w:hint="eastAsia" w:ascii="仿宋_GB2312" w:hAnsi="仿宋_GB2312" w:eastAsia="仿宋_GB2312" w:cs="仿宋_GB2312"/>
          <w:szCs w:val="32"/>
        </w:rPr>
        <w:t>附件：⒈罪犯吉克伟格卷宗2册</w:t>
      </w:r>
    </w:p>
    <w:p>
      <w:pPr>
        <w:pStyle w:val="10"/>
        <w:keepNext w:val="0"/>
        <w:keepLines w:val="0"/>
        <w:pageBreakBefore w:val="0"/>
        <w:widowControl w:val="0"/>
        <w:kinsoku/>
        <w:wordWrap/>
        <w:overflowPunct/>
        <w:topLinePunct w:val="0"/>
        <w:autoSpaceDE/>
        <w:autoSpaceDN/>
        <w:bidi w:val="0"/>
        <w:adjustRightInd/>
        <w:snapToGrid/>
        <w:spacing w:line="440" w:lineRule="exact"/>
        <w:ind w:left="641" w:right="-48" w:rightChars="-15" w:firstLine="960" w:firstLineChars="300"/>
        <w:textAlignment w:val="auto"/>
        <w:rPr>
          <w:rFonts w:hint="eastAsia" w:ascii="仿宋_GB2312" w:hAnsi="仿宋_GB2312" w:eastAsia="仿宋_GB2312" w:cs="仿宋_GB2312"/>
          <w:szCs w:val="32"/>
        </w:rPr>
      </w:pPr>
      <w:r>
        <w:rPr>
          <w:rFonts w:hint="eastAsia" w:ascii="仿宋_GB2312" w:hAnsi="仿宋_GB2312" w:eastAsia="仿宋_GB2312" w:cs="仿宋_GB2312"/>
          <w:szCs w:val="32"/>
        </w:rPr>
        <w:t>⒉减刑建议书2份</w:t>
      </w:r>
    </w:p>
    <w:p>
      <w:pPr>
        <w:pStyle w:val="2"/>
        <w:keepNext w:val="0"/>
        <w:keepLines w:val="0"/>
        <w:pageBreakBefore w:val="0"/>
        <w:widowControl w:val="0"/>
        <w:kinsoku/>
        <w:wordWrap/>
        <w:overflowPunct/>
        <w:topLinePunct w:val="0"/>
        <w:autoSpaceDE/>
        <w:autoSpaceDN/>
        <w:bidi w:val="0"/>
        <w:adjustRightInd/>
        <w:snapToGrid/>
        <w:spacing w:line="440" w:lineRule="exact"/>
        <w:ind w:right="1280" w:rightChars="400"/>
        <w:jc w:val="right"/>
        <w:textAlignment w:val="auto"/>
        <w:rPr>
          <w:rFonts w:hint="eastAsia" w:ascii="仿宋_GB2312" w:hAnsi="仿宋_GB2312" w:eastAsia="仿宋_GB2312" w:cs="仿宋_GB2312"/>
          <w:szCs w:val="32"/>
        </w:rPr>
      </w:pPr>
      <w:r>
        <w:rPr>
          <w:rFonts w:hint="eastAsia" w:ascii="仿宋_GB2312" w:hAnsi="仿宋_GB2312" w:eastAsia="仿宋_GB2312" w:cs="仿宋_GB2312"/>
          <w:szCs w:val="32"/>
        </w:rPr>
        <w:t>福建省厦门监狱</w:t>
      </w:r>
    </w:p>
    <w:p>
      <w:pPr>
        <w:pStyle w:val="2"/>
        <w:keepNext w:val="0"/>
        <w:keepLines w:val="0"/>
        <w:pageBreakBefore w:val="0"/>
        <w:widowControl w:val="0"/>
        <w:kinsoku/>
        <w:wordWrap/>
        <w:overflowPunct/>
        <w:topLinePunct w:val="0"/>
        <w:autoSpaceDE/>
        <w:autoSpaceDN/>
        <w:bidi w:val="0"/>
        <w:adjustRightInd/>
        <w:snapToGrid/>
        <w:spacing w:line="440" w:lineRule="exact"/>
        <w:ind w:right="1280" w:rightChars="400"/>
        <w:jc w:val="right"/>
        <w:textAlignment w:val="auto"/>
        <w:rPr>
          <w:rFonts w:hint="eastAsia" w:ascii="仿宋_GB2312" w:hAnsi="仿宋_GB2312" w:eastAsia="仿宋_GB2312" w:cs="仿宋_GB2312"/>
          <w:szCs w:val="32"/>
        </w:rPr>
      </w:pPr>
      <w:r>
        <w:rPr>
          <w:rFonts w:hint="eastAsia" w:ascii="仿宋_GB2312" w:hAnsi="仿宋_GB2312" w:cs="仿宋_GB2312"/>
          <w:szCs w:val="32"/>
          <w:lang w:val="en-US" w:eastAsia="zh-CN"/>
        </w:rPr>
        <w:t>2026</w:t>
      </w:r>
      <w:r>
        <w:rPr>
          <w:rFonts w:hint="eastAsia" w:ascii="仿宋_GB2312" w:hAnsi="仿宋_GB2312" w:eastAsia="仿宋_GB2312" w:cs="仿宋_GB2312"/>
          <w:szCs w:val="32"/>
        </w:rPr>
        <w:t>年</w:t>
      </w:r>
      <w:r>
        <w:rPr>
          <w:rFonts w:hint="eastAsia" w:ascii="仿宋_GB2312" w:hAnsi="仿宋_GB2312" w:cs="仿宋_GB2312"/>
          <w:szCs w:val="32"/>
          <w:lang w:val="en-US" w:eastAsia="zh-CN"/>
        </w:rPr>
        <w:t>3</w:t>
      </w:r>
      <w:r>
        <w:rPr>
          <w:rFonts w:hint="eastAsia" w:ascii="仿宋_GB2312" w:hAnsi="仿宋_GB2312" w:eastAsia="仿宋_GB2312" w:cs="仿宋_GB2312"/>
          <w:szCs w:val="32"/>
        </w:rPr>
        <w:t>月</w:t>
      </w:r>
      <w:r>
        <w:rPr>
          <w:rFonts w:hint="eastAsia" w:ascii="仿宋_GB2312" w:hAnsi="仿宋_GB2312" w:cs="仿宋_GB2312"/>
          <w:szCs w:val="32"/>
          <w:lang w:val="en-US" w:eastAsia="zh-CN"/>
        </w:rPr>
        <w:t>2</w:t>
      </w:r>
      <w:r>
        <w:rPr>
          <w:rFonts w:hint="eastAsia" w:ascii="仿宋_GB2312" w:hAnsi="仿宋_GB2312" w:eastAsia="仿宋_GB2312" w:cs="仿宋_GB2312"/>
          <w:szCs w:val="32"/>
        </w:rPr>
        <w:t>日</w:t>
      </w:r>
    </w:p>
    <w:sectPr>
      <w:pgSz w:w="11906" w:h="16838"/>
      <w:pgMar w:top="1871" w:right="1304" w:bottom="1871"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55F40"/>
    <w:rsid w:val="000041AA"/>
    <w:rsid w:val="00036E04"/>
    <w:rsid w:val="00053CFB"/>
    <w:rsid w:val="00055F40"/>
    <w:rsid w:val="00080E46"/>
    <w:rsid w:val="00091CE1"/>
    <w:rsid w:val="0009239B"/>
    <w:rsid w:val="000C0A2B"/>
    <w:rsid w:val="001452BC"/>
    <w:rsid w:val="00152D57"/>
    <w:rsid w:val="00161530"/>
    <w:rsid w:val="00163CF9"/>
    <w:rsid w:val="001C49CF"/>
    <w:rsid w:val="001F17D4"/>
    <w:rsid w:val="00216A28"/>
    <w:rsid w:val="00233485"/>
    <w:rsid w:val="002375AE"/>
    <w:rsid w:val="00254ED8"/>
    <w:rsid w:val="00261780"/>
    <w:rsid w:val="00261B4F"/>
    <w:rsid w:val="0026326E"/>
    <w:rsid w:val="0028200E"/>
    <w:rsid w:val="002A08A7"/>
    <w:rsid w:val="002F4904"/>
    <w:rsid w:val="002F5C18"/>
    <w:rsid w:val="002F7D59"/>
    <w:rsid w:val="0030008F"/>
    <w:rsid w:val="003346F4"/>
    <w:rsid w:val="0036054F"/>
    <w:rsid w:val="003A6204"/>
    <w:rsid w:val="003C03ED"/>
    <w:rsid w:val="003F7677"/>
    <w:rsid w:val="00463084"/>
    <w:rsid w:val="004655CD"/>
    <w:rsid w:val="00473CAF"/>
    <w:rsid w:val="004912F6"/>
    <w:rsid w:val="00497A2C"/>
    <w:rsid w:val="004A40DD"/>
    <w:rsid w:val="004D7A26"/>
    <w:rsid w:val="00500AE0"/>
    <w:rsid w:val="00553628"/>
    <w:rsid w:val="0056463F"/>
    <w:rsid w:val="005656FE"/>
    <w:rsid w:val="00577DA6"/>
    <w:rsid w:val="005941CD"/>
    <w:rsid w:val="005B55E0"/>
    <w:rsid w:val="005C2C25"/>
    <w:rsid w:val="005E179A"/>
    <w:rsid w:val="005E2D25"/>
    <w:rsid w:val="005E4E50"/>
    <w:rsid w:val="006246FE"/>
    <w:rsid w:val="00650DD6"/>
    <w:rsid w:val="00655A2D"/>
    <w:rsid w:val="00661674"/>
    <w:rsid w:val="0066597E"/>
    <w:rsid w:val="0068652E"/>
    <w:rsid w:val="006937B5"/>
    <w:rsid w:val="006F00FF"/>
    <w:rsid w:val="006F05A8"/>
    <w:rsid w:val="00715718"/>
    <w:rsid w:val="00723BC7"/>
    <w:rsid w:val="00727931"/>
    <w:rsid w:val="007326D0"/>
    <w:rsid w:val="007A2A2F"/>
    <w:rsid w:val="007B6109"/>
    <w:rsid w:val="007C5405"/>
    <w:rsid w:val="008011B3"/>
    <w:rsid w:val="00810D0D"/>
    <w:rsid w:val="00842DF7"/>
    <w:rsid w:val="00851ECF"/>
    <w:rsid w:val="00855296"/>
    <w:rsid w:val="0087266F"/>
    <w:rsid w:val="00886810"/>
    <w:rsid w:val="008A434F"/>
    <w:rsid w:val="008A554E"/>
    <w:rsid w:val="008B706F"/>
    <w:rsid w:val="008C1E08"/>
    <w:rsid w:val="008C2256"/>
    <w:rsid w:val="008D45B6"/>
    <w:rsid w:val="00902090"/>
    <w:rsid w:val="00924E94"/>
    <w:rsid w:val="009441C9"/>
    <w:rsid w:val="0095578C"/>
    <w:rsid w:val="00960E09"/>
    <w:rsid w:val="009B5492"/>
    <w:rsid w:val="009D69A4"/>
    <w:rsid w:val="009D77D5"/>
    <w:rsid w:val="009E1248"/>
    <w:rsid w:val="00A1031C"/>
    <w:rsid w:val="00A15E5C"/>
    <w:rsid w:val="00A62108"/>
    <w:rsid w:val="00A769A0"/>
    <w:rsid w:val="00A778C4"/>
    <w:rsid w:val="00A822D2"/>
    <w:rsid w:val="00A903CA"/>
    <w:rsid w:val="00A9086D"/>
    <w:rsid w:val="00A90AD6"/>
    <w:rsid w:val="00A93C85"/>
    <w:rsid w:val="00AA60DC"/>
    <w:rsid w:val="00AC261A"/>
    <w:rsid w:val="00AF549C"/>
    <w:rsid w:val="00B132D4"/>
    <w:rsid w:val="00B24651"/>
    <w:rsid w:val="00B87CCA"/>
    <w:rsid w:val="00BA4CB3"/>
    <w:rsid w:val="00BB2608"/>
    <w:rsid w:val="00BB6643"/>
    <w:rsid w:val="00BE6211"/>
    <w:rsid w:val="00C2189D"/>
    <w:rsid w:val="00C27670"/>
    <w:rsid w:val="00C3296A"/>
    <w:rsid w:val="00C45E79"/>
    <w:rsid w:val="00C56CC6"/>
    <w:rsid w:val="00C60C1D"/>
    <w:rsid w:val="00C64776"/>
    <w:rsid w:val="00C77F5B"/>
    <w:rsid w:val="00CB2A8D"/>
    <w:rsid w:val="00CB3139"/>
    <w:rsid w:val="00CD022B"/>
    <w:rsid w:val="00CD31CC"/>
    <w:rsid w:val="00CE4B89"/>
    <w:rsid w:val="00D11033"/>
    <w:rsid w:val="00D31676"/>
    <w:rsid w:val="00D31C42"/>
    <w:rsid w:val="00D814D6"/>
    <w:rsid w:val="00D8234F"/>
    <w:rsid w:val="00D91DD7"/>
    <w:rsid w:val="00DA55B7"/>
    <w:rsid w:val="00DB420E"/>
    <w:rsid w:val="00DC115D"/>
    <w:rsid w:val="00DF28E5"/>
    <w:rsid w:val="00E205C7"/>
    <w:rsid w:val="00E60796"/>
    <w:rsid w:val="00E67E74"/>
    <w:rsid w:val="00EA0BDE"/>
    <w:rsid w:val="00EA3F77"/>
    <w:rsid w:val="00ED0DC2"/>
    <w:rsid w:val="00ED2EDF"/>
    <w:rsid w:val="00EE6B96"/>
    <w:rsid w:val="00F26790"/>
    <w:rsid w:val="00F26A67"/>
    <w:rsid w:val="00F31548"/>
    <w:rsid w:val="00F550F9"/>
    <w:rsid w:val="00F676B3"/>
    <w:rsid w:val="00F9515A"/>
    <w:rsid w:val="00FB76A0"/>
    <w:rsid w:val="00FC18C7"/>
    <w:rsid w:val="00FD12AD"/>
    <w:rsid w:val="00FE076F"/>
    <w:rsid w:val="00FE4DDA"/>
    <w:rsid w:val="0C9A5711"/>
    <w:rsid w:val="118E21BB"/>
    <w:rsid w:val="186608B4"/>
    <w:rsid w:val="1ED3740F"/>
    <w:rsid w:val="312C6455"/>
    <w:rsid w:val="3AC1298C"/>
    <w:rsid w:val="43D91BF3"/>
    <w:rsid w:val="4895629E"/>
    <w:rsid w:val="53136E42"/>
    <w:rsid w:val="53582305"/>
    <w:rsid w:val="58DA2CD6"/>
    <w:rsid w:val="58F03E96"/>
    <w:rsid w:val="61C404B8"/>
    <w:rsid w:val="6B467D4C"/>
    <w:rsid w:val="73D11797"/>
    <w:rsid w:val="7FE21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99"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32"/>
      <w:sz w:val="32"/>
      <w:lang w:val="en-US" w:eastAsia="zh-CN" w:bidi="ar-SA"/>
    </w:rPr>
  </w:style>
  <w:style w:type="character" w:default="1" w:styleId="6">
    <w:name w:val="Default Paragraph Font"/>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7"/>
    <w:qFormat/>
    <w:uiPriority w:val="99"/>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称呼 Char"/>
    <w:basedOn w:val="6"/>
    <w:link w:val="2"/>
    <w:qFormat/>
    <w:uiPriority w:val="99"/>
    <w:rPr>
      <w:rFonts w:ascii="Times New Roman" w:hAnsi="Times New Roman" w:eastAsia="仿宋_GB2312" w:cs="Times New Roman"/>
      <w:kern w:val="32"/>
      <w:sz w:val="32"/>
      <w:szCs w:val="20"/>
    </w:rPr>
  </w:style>
  <w:style w:type="character" w:customStyle="1" w:styleId="8">
    <w:name w:val="页脚 Char"/>
    <w:basedOn w:val="6"/>
    <w:link w:val="3"/>
    <w:semiHidden/>
    <w:qFormat/>
    <w:uiPriority w:val="99"/>
    <w:rPr>
      <w:sz w:val="18"/>
      <w:szCs w:val="18"/>
    </w:rPr>
  </w:style>
  <w:style w:type="character" w:customStyle="1" w:styleId="9">
    <w:name w:val="页眉 Char"/>
    <w:basedOn w:val="6"/>
    <w:link w:val="4"/>
    <w:semiHidden/>
    <w:qFormat/>
    <w:uiPriority w:val="99"/>
    <w:rPr>
      <w:sz w:val="18"/>
      <w:szCs w:val="18"/>
    </w:rPr>
  </w:style>
  <w:style w:type="paragraph" w:customStyle="1" w:styleId="10">
    <w:name w:val="列表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2</Pages>
  <Words>182</Words>
  <Characters>1038</Characters>
  <Lines>8</Lines>
  <Paragraphs>2</Paragraphs>
  <TotalTime>172</TotalTime>
  <ScaleCrop>false</ScaleCrop>
  <LinksUpToDate>false</LinksUpToDate>
  <CharactersWithSpaces>1218</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2025-08-19T07:23:00Z</dcterms:created>
  <dc:creator>user</dc:creator>
  <cp:lastModifiedBy>邱耿勤</cp:lastModifiedBy>
  <cp:lastPrinted>2026-02-28T04:41:00Z</cp:lastPrinted>
  <dcterms:modified xsi:type="dcterms:W3CDTF">2026-03-03T08:57:21Z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A1C754157A7B449ABDFCFC241479EBC4</vt:lpwstr>
  </property>
</Properties>
</file>