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</w:t>
      </w:r>
      <w:r>
        <w:rPr>
          <w:rFonts w:hint="eastAsia" w:ascii="Times New Roman" w:hAnsi="Times New Roman" w:eastAsia="楷体_GB2312" w:cs="楷体_GB2312"/>
          <w:color w:val="FF0000"/>
          <w:szCs w:val="32"/>
        </w:rPr>
        <w:t>减</w:t>
      </w:r>
      <w:r>
        <w:rPr>
          <w:rFonts w:hint="eastAsia" w:ascii="Times New Roman" w:hAnsi="Times New Roman" w:eastAsia="楷体_GB2312" w:cs="楷体_GB2312"/>
          <w:szCs w:val="32"/>
        </w:rPr>
        <w:t>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41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spacing w:line="620" w:lineRule="exact"/>
        <w:ind w:firstLine="640" w:firstLineChars="200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姚明旭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</w:t>
      </w:r>
      <w:r>
        <w:rPr>
          <w:rFonts w:hint="eastAsia" w:ascii="仿宋_GB2312" w:hAnsi="仿宋"/>
          <w:szCs w:val="32"/>
          <w:lang w:val="en-US" w:eastAsia="zh-CN"/>
        </w:rPr>
        <w:t>1993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9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18</w:t>
      </w:r>
      <w:r>
        <w:rPr>
          <w:rFonts w:hint="eastAsia" w:ascii="仿宋_GB2312" w:hAnsi="仿宋"/>
          <w:szCs w:val="32"/>
        </w:rPr>
        <w:t>日出生，</w:t>
      </w:r>
      <w:r>
        <w:rPr>
          <w:rFonts w:hint="eastAsia" w:ascii="仿宋_GB2312" w:hAnsi="仿宋"/>
          <w:szCs w:val="32"/>
          <w:lang w:eastAsia="zh-CN"/>
        </w:rPr>
        <w:t>汉族</w:t>
      </w:r>
      <w:r>
        <w:rPr>
          <w:rFonts w:hint="eastAsia" w:ascii="仿宋_GB2312" w:hAnsi="仿宋"/>
          <w:szCs w:val="32"/>
        </w:rPr>
        <w:t>，</w:t>
      </w:r>
      <w:r>
        <w:rPr>
          <w:rFonts w:hint="eastAsia" w:ascii="仿宋_GB2312" w:hAnsi="仿宋"/>
          <w:szCs w:val="32"/>
          <w:lang w:eastAsia="zh-CN"/>
        </w:rPr>
        <w:t>文盲</w:t>
      </w:r>
      <w:r>
        <w:rPr>
          <w:rFonts w:hint="eastAsia" w:ascii="仿宋_GB2312" w:hAnsi="仿宋"/>
          <w:szCs w:val="32"/>
        </w:rPr>
        <w:t>文化，捕前</w:t>
      </w:r>
      <w:r>
        <w:rPr>
          <w:rFonts w:hint="eastAsia" w:ascii="仿宋_GB2312" w:hAnsi="仿宋"/>
          <w:color w:val="auto"/>
          <w:szCs w:val="32"/>
        </w:rPr>
        <w:t>系</w:t>
      </w:r>
      <w:r>
        <w:rPr>
          <w:rFonts w:hint="eastAsia" w:ascii="仿宋_GB2312" w:hAnsi="仿宋"/>
          <w:color w:val="auto"/>
          <w:szCs w:val="32"/>
          <w:lang w:eastAsia="zh-CN"/>
        </w:rPr>
        <w:t>无业，</w:t>
      </w:r>
      <w:r>
        <w:rPr>
          <w:rFonts w:hint="eastAsia" w:ascii="仿宋_GB2312" w:hAnsi="仿宋"/>
          <w:szCs w:val="32"/>
        </w:rPr>
        <w:t>户籍所在地</w:t>
      </w:r>
      <w:r>
        <w:rPr>
          <w:rFonts w:hint="eastAsia" w:ascii="仿宋_GB2312" w:hAnsi="仿宋" w:cs="仿宋_GB2312"/>
          <w:szCs w:val="32"/>
          <w:lang w:eastAsia="zh-CN"/>
        </w:rPr>
        <w:t>广东省汕头市潮阳区</w:t>
      </w:r>
      <w:bookmarkStart w:id="0" w:name="_GoBack"/>
      <w:bookmarkEnd w:id="0"/>
      <w:r>
        <w:rPr>
          <w:rFonts w:hint="eastAsia" w:ascii="仿宋_GB2312" w:hAnsi="仿宋" w:cs="仿宋_GB2312"/>
          <w:szCs w:val="32"/>
        </w:rPr>
        <w:t>，</w:t>
      </w:r>
      <w:r>
        <w:rPr>
          <w:rFonts w:hint="eastAsia" w:ascii="仿宋_GB2312" w:hAnsi="仿宋"/>
          <w:szCs w:val="32"/>
        </w:rPr>
        <w:t>曾因犯掩饰、隐瞒犯罪所得罪，于2019年6月24日被广东省汕头市潮阳区人民法院判处有期徒刑八个月，于2019年8月26日刑满释放。曾因吸毒，于2016年10月13日被广东省汕头市公安局潮阳分局行政拘留十五日，后被责令接受社区戒毒三年；又因吸毒，于2018年12月27日被广东省汕头市公安局潮阳分局行政拘留十五日，后被强制隔离戒毒二年，后于2020年6月24日责令接受社区康复三年；再因赌博，于2020年12月29日被行政拘留十五日</w:t>
      </w:r>
      <w:r>
        <w:rPr>
          <w:rFonts w:hint="eastAsia" w:ascii="仿宋_GB2312" w:hAnsi="仿宋"/>
          <w:szCs w:val="32"/>
          <w:lang w:eastAsia="zh-CN"/>
        </w:rPr>
        <w:t>，系累犯。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仿宋_GB2312"/>
          <w:szCs w:val="32"/>
        </w:rPr>
        <w:t>福建省</w:t>
      </w:r>
      <w:r>
        <w:rPr>
          <w:rFonts w:hint="eastAsia" w:ascii="仿宋_GB2312" w:hAnsi="仿宋" w:cs="仿宋_GB2312"/>
          <w:szCs w:val="32"/>
          <w:lang w:eastAsia="zh-CN"/>
        </w:rPr>
        <w:t>莆田市荔城区人民法院</w:t>
      </w:r>
      <w:r>
        <w:rPr>
          <w:rFonts w:hint="eastAsia" w:ascii="仿宋_GB2312" w:hAnsi="仿宋" w:cs="仿宋_GB2312"/>
          <w:szCs w:val="32"/>
        </w:rPr>
        <w:t>于</w:t>
      </w:r>
      <w:r>
        <w:rPr>
          <w:rFonts w:hint="eastAsia" w:ascii="仿宋_GB2312" w:hAnsi="仿宋" w:cs="仿宋_GB2312"/>
          <w:color w:val="auto"/>
          <w:szCs w:val="32"/>
        </w:rPr>
        <w:t>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" w:cs="仿宋_GB2312"/>
          <w:color w:val="auto"/>
          <w:szCs w:val="32"/>
        </w:rPr>
        <w:t>日</w:t>
      </w:r>
      <w:r>
        <w:rPr>
          <w:rFonts w:hint="eastAsia" w:ascii="仿宋_GB2312" w:hAnsi="仿宋" w:cs="仿宋_GB2312"/>
          <w:szCs w:val="32"/>
        </w:rPr>
        <w:t>作出(20</w:t>
      </w:r>
      <w:r>
        <w:rPr>
          <w:rFonts w:hint="eastAsia" w:ascii="仿宋_GB2312" w:hAnsi="仿宋" w:cs="仿宋_GB2312"/>
          <w:szCs w:val="32"/>
          <w:lang w:val="en-US" w:eastAsia="zh-CN"/>
        </w:rPr>
        <w:t>22</w:t>
      </w:r>
      <w:r>
        <w:rPr>
          <w:rFonts w:hint="eastAsia" w:ascii="仿宋_GB2312" w:hAnsi="仿宋" w:cs="仿宋_GB2312"/>
          <w:szCs w:val="32"/>
        </w:rPr>
        <w:t>)</w:t>
      </w:r>
      <w:r>
        <w:rPr>
          <w:rFonts w:hint="eastAsia" w:ascii="仿宋_GB2312" w:hAnsi="仿宋" w:cs="仿宋_GB2312"/>
          <w:szCs w:val="32"/>
          <w:lang w:eastAsia="zh-CN"/>
        </w:rPr>
        <w:t>闽</w:t>
      </w:r>
      <w:r>
        <w:rPr>
          <w:rFonts w:hint="eastAsia" w:ascii="仿宋_GB2312" w:hAnsi="仿宋" w:cs="仿宋_GB2312"/>
          <w:szCs w:val="32"/>
          <w:lang w:val="en-US" w:eastAsia="zh-CN"/>
        </w:rPr>
        <w:t>0304</w:t>
      </w:r>
      <w:r>
        <w:rPr>
          <w:rFonts w:hint="eastAsia" w:ascii="仿宋_GB2312" w:hAnsi="仿宋" w:cs="仿宋_GB2312"/>
          <w:szCs w:val="32"/>
        </w:rPr>
        <w:t>刑初</w:t>
      </w:r>
      <w:r>
        <w:rPr>
          <w:rFonts w:hint="eastAsia" w:ascii="仿宋_GB2312" w:hAnsi="仿宋" w:cs="仿宋_GB2312"/>
          <w:szCs w:val="32"/>
          <w:lang w:val="en-US" w:eastAsia="zh-CN"/>
        </w:rPr>
        <w:t>292</w:t>
      </w:r>
      <w:r>
        <w:rPr>
          <w:rFonts w:hint="eastAsia" w:ascii="仿宋_GB2312" w:hAnsi="仿宋" w:cs="仿宋_GB2312"/>
          <w:szCs w:val="32"/>
        </w:rPr>
        <w:t>号</w:t>
      </w:r>
      <w:r>
        <w:rPr>
          <w:rFonts w:hint="eastAsia" w:ascii="仿宋_GB2312" w:hAnsi="仿宋" w:cs="仿宋_GB2312"/>
          <w:szCs w:val="32"/>
          <w:lang w:eastAsia="zh-CN"/>
        </w:rPr>
        <w:t>判决</w:t>
      </w:r>
      <w:r>
        <w:rPr>
          <w:rFonts w:hint="eastAsia" w:ascii="仿宋_GB2312" w:hAnsi="仿宋" w:cs="仿宋_GB2312"/>
          <w:szCs w:val="32"/>
        </w:rPr>
        <w:t>，以被告人</w:t>
      </w:r>
      <w:r>
        <w:rPr>
          <w:rFonts w:hint="eastAsia" w:ascii="仿宋_GB2312" w:hAnsi="仿宋" w:cs="仿宋_GB2312"/>
          <w:szCs w:val="32"/>
          <w:lang w:eastAsia="zh-CN"/>
        </w:rPr>
        <w:t>姚明旭</w:t>
      </w:r>
      <w:r>
        <w:rPr>
          <w:rFonts w:hint="eastAsia" w:ascii="仿宋_GB2312" w:hAnsi="仿宋" w:cs="仿宋_GB2312"/>
          <w:szCs w:val="32"/>
        </w:rPr>
        <w:t>犯</w:t>
      </w:r>
      <w:r>
        <w:rPr>
          <w:rFonts w:hint="eastAsia" w:ascii="仿宋_GB2312" w:hAnsi="仿宋" w:cs="仿宋_GB2312"/>
          <w:szCs w:val="32"/>
          <w:lang w:eastAsia="zh-CN"/>
        </w:rPr>
        <w:t>贩卖毒品</w:t>
      </w:r>
      <w:r>
        <w:rPr>
          <w:rFonts w:hint="eastAsia" w:ascii="仿宋_GB2312" w:hAnsi="仿宋" w:cs="仿宋_GB2312"/>
          <w:szCs w:val="32"/>
        </w:rPr>
        <w:t>罪，判处有期徒刑</w:t>
      </w:r>
      <w:r>
        <w:rPr>
          <w:rFonts w:hint="eastAsia" w:ascii="仿宋_GB2312" w:hAnsi="仿宋" w:cs="仿宋_GB2312"/>
          <w:szCs w:val="32"/>
          <w:lang w:eastAsia="zh-CN"/>
        </w:rPr>
        <w:t>十五年</w:t>
      </w:r>
      <w:r>
        <w:rPr>
          <w:rFonts w:hint="eastAsia" w:ascii="仿宋_GB2312" w:hAnsi="仿宋" w:cs="仿宋_GB2312"/>
          <w:color w:val="auto"/>
          <w:szCs w:val="32"/>
        </w:rPr>
        <w:t>，并处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没收个人全部财产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,责令被告人姚明旭退出毒资人民币11980元，予以没收，上缴国库；扣押的现金28900元用于执行被告人的财产刑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" w:cs="仿宋_GB2312"/>
          <w:color w:val="auto"/>
          <w:szCs w:val="32"/>
        </w:rPr>
        <w:t>该犯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不服，</w:t>
      </w:r>
      <w:r>
        <w:rPr>
          <w:rFonts w:hint="eastAsia" w:ascii="仿宋_GB2312" w:hAnsi="仿宋" w:cs="仿宋_GB2312"/>
          <w:color w:val="auto"/>
          <w:szCs w:val="32"/>
        </w:rPr>
        <w:t>提出上诉,202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color w:val="auto"/>
          <w:szCs w:val="32"/>
        </w:rPr>
        <w:t>日福建省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莆田市中级</w:t>
      </w:r>
      <w:r>
        <w:rPr>
          <w:rFonts w:hint="eastAsia" w:ascii="仿宋_GB2312" w:hAnsi="仿宋" w:cs="仿宋_GB2312"/>
          <w:color w:val="auto"/>
          <w:szCs w:val="32"/>
        </w:rPr>
        <w:t>人民法院以(20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03</w:t>
      </w:r>
      <w:r>
        <w:rPr>
          <w:rFonts w:hint="eastAsia" w:ascii="仿宋_GB2312" w:hAnsi="仿宋" w:cs="仿宋_GB2312"/>
          <w:color w:val="auto"/>
          <w:szCs w:val="32"/>
        </w:rPr>
        <w:t>刑终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551</w:t>
      </w:r>
      <w:r>
        <w:rPr>
          <w:rFonts w:hint="eastAsia" w:ascii="仿宋_GB2312" w:hAnsi="仿宋" w:cs="仿宋_GB2312"/>
          <w:color w:val="auto"/>
          <w:szCs w:val="32"/>
        </w:rPr>
        <w:t>号刑事</w:t>
      </w:r>
      <w:r>
        <w:rPr>
          <w:rFonts w:hint="eastAsia" w:ascii="仿宋_GB2312" w:hAnsi="仿宋" w:cs="仿宋_GB2312"/>
          <w:szCs w:val="32"/>
        </w:rPr>
        <w:t>裁定书</w:t>
      </w:r>
      <w:r>
        <w:rPr>
          <w:rFonts w:hint="eastAsia" w:ascii="仿宋_GB2312" w:hAnsi="仿宋" w:cs="仿宋_GB2312"/>
          <w:szCs w:val="32"/>
          <w:lang w:eastAsia="zh-CN"/>
        </w:rPr>
        <w:t>，驳回上诉，维持原判。</w:t>
      </w:r>
      <w:r>
        <w:rPr>
          <w:rFonts w:hint="eastAsia" w:ascii="仿宋_GB2312" w:hAnsi="仿宋" w:cs="仿宋_GB2312"/>
          <w:szCs w:val="32"/>
        </w:rPr>
        <w:t>刑期自20</w:t>
      </w:r>
      <w:r>
        <w:rPr>
          <w:rFonts w:hint="eastAsia" w:ascii="仿宋_GB2312" w:hAnsi="仿宋" w:cs="仿宋_GB2312"/>
          <w:szCs w:val="32"/>
          <w:lang w:val="en-US" w:eastAsia="zh-CN"/>
        </w:rPr>
        <w:t>22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val="en-US" w:eastAsia="zh-CN"/>
        </w:rPr>
        <w:t>1</w:t>
      </w:r>
      <w:r>
        <w:rPr>
          <w:rFonts w:hint="eastAsia" w:ascii="仿宋_GB2312" w:hAnsi="仿宋" w:cs="仿宋_GB2312"/>
          <w:szCs w:val="32"/>
        </w:rPr>
        <w:t>月</w:t>
      </w:r>
      <w:r>
        <w:rPr>
          <w:rFonts w:hint="eastAsia" w:ascii="仿宋_GB2312" w:hAnsi="仿宋" w:cs="仿宋_GB2312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szCs w:val="32"/>
        </w:rPr>
        <w:t>日起至20</w:t>
      </w:r>
      <w:r>
        <w:rPr>
          <w:rFonts w:hint="eastAsia" w:ascii="仿宋_GB2312" w:hAnsi="仿宋" w:cs="仿宋_GB2312"/>
          <w:szCs w:val="32"/>
          <w:lang w:val="en-US" w:eastAsia="zh-CN"/>
        </w:rPr>
        <w:t>37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val="en-US" w:eastAsia="zh-CN"/>
        </w:rPr>
        <w:t>1</w:t>
      </w:r>
      <w:r>
        <w:rPr>
          <w:rFonts w:hint="eastAsia" w:ascii="仿宋_GB2312" w:hAnsi="仿宋" w:cs="仿宋_GB2312"/>
          <w:szCs w:val="32"/>
        </w:rPr>
        <w:t>月</w:t>
      </w:r>
      <w:r>
        <w:rPr>
          <w:rFonts w:hint="eastAsia" w:ascii="仿宋_GB2312" w:hAnsi="仿宋" w:cs="仿宋_GB2312"/>
          <w:szCs w:val="32"/>
          <w:lang w:val="en-US" w:eastAsia="zh-CN"/>
        </w:rPr>
        <w:t>19</w:t>
      </w:r>
      <w:r>
        <w:rPr>
          <w:rFonts w:hint="eastAsia" w:ascii="仿宋_GB2312" w:hAnsi="仿宋" w:cs="仿宋_GB2312"/>
          <w:szCs w:val="32"/>
        </w:rPr>
        <w:t>日止。20</w:t>
      </w:r>
      <w:r>
        <w:rPr>
          <w:rFonts w:hint="eastAsia" w:ascii="仿宋_GB2312" w:hAnsi="仿宋" w:cs="仿宋_GB2312"/>
          <w:szCs w:val="32"/>
          <w:lang w:val="en-US" w:eastAsia="zh-CN"/>
        </w:rPr>
        <w:t>23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szCs w:val="32"/>
        </w:rPr>
        <w:t>月</w:t>
      </w:r>
      <w:r>
        <w:rPr>
          <w:rFonts w:hint="eastAsia" w:ascii="仿宋_GB2312" w:hAnsi="仿宋" w:cs="仿宋_GB2312"/>
          <w:szCs w:val="32"/>
          <w:lang w:val="en-US" w:eastAsia="zh-CN"/>
        </w:rPr>
        <w:t>29</w:t>
      </w:r>
      <w:r>
        <w:rPr>
          <w:rFonts w:hint="eastAsia" w:ascii="仿宋_GB2312" w:hAnsi="仿宋" w:cs="仿宋_GB2312"/>
          <w:szCs w:val="32"/>
        </w:rPr>
        <w:t>日交付福建省厦门监狱执行刑罚。</w:t>
      </w:r>
      <w:r>
        <w:rPr>
          <w:rFonts w:hint="eastAsia" w:ascii="仿宋_GB2312" w:hAnsi="仿宋"/>
          <w:szCs w:val="32"/>
        </w:rPr>
        <w:t>现属普管级罪犯。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该犯自入监以来确有悔改表现，具体事实如下：</w:t>
      </w:r>
    </w:p>
    <w:p>
      <w:pPr>
        <w:pStyle w:val="14"/>
        <w:autoSpaceDE w:val="0"/>
        <w:autoSpaceDN w:val="0"/>
        <w:adjustRightInd w:val="0"/>
        <w:spacing w:line="6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4"/>
        <w:autoSpaceDE w:val="0"/>
        <w:autoSpaceDN w:val="0"/>
        <w:adjustRightInd w:val="0"/>
        <w:spacing w:line="6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奖惩情况：该犯考核期2023年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29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11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3167.2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次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,物质奖励1次</w:t>
      </w:r>
      <w:r>
        <w:rPr>
          <w:rFonts w:hint="eastAsia" w:ascii="仿宋_GB2312" w:hAnsi="仿宋" w:cs="宋体"/>
          <w:color w:val="auto"/>
          <w:szCs w:val="32"/>
          <w:lang w:val="zh-CN"/>
        </w:rPr>
        <w:t>；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考核期内无违规扣分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该犯原判财产性判项为没收个人全部财产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，</w:t>
      </w:r>
      <w:r>
        <w:rPr>
          <w:rFonts w:hint="eastAsia" w:ascii="仿宋_GB2312" w:hAnsi="仿宋" w:cs="宋体"/>
          <w:color w:val="auto"/>
          <w:szCs w:val="32"/>
          <w:lang w:val="zh-CN"/>
        </w:rPr>
        <w:t>判决期间执行到位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16920元，本次履行1889.28元</w:t>
      </w:r>
      <w:r>
        <w:rPr>
          <w:rFonts w:hint="eastAsia" w:ascii="仿宋_GB2312" w:hAnsi="仿宋" w:cs="宋体"/>
          <w:color w:val="auto"/>
          <w:szCs w:val="32"/>
          <w:lang w:val="zh-CN"/>
        </w:rPr>
        <w:t>，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责令退出毒资人民币11980元，判决期间已执行完毕。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</w:rPr>
        <w:t>该犯考核期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月均自选购物消费人民币2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</w:rPr>
        <w:t>48.44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元，账户可用余额人民币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</w:rPr>
        <w:t>512.24元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  <w:r>
        <w:rPr>
          <w:rFonts w:ascii="仿宋_GB2312" w:hAnsi="仿宋"/>
          <w:color w:val="000000" w:themeColor="text1"/>
          <w:szCs w:val="32"/>
        </w:rPr>
        <w:t>202</w:t>
      </w:r>
      <w:r>
        <w:rPr>
          <w:rFonts w:hint="eastAsia" w:ascii="仿宋_GB2312" w:hAnsi="仿宋"/>
          <w:color w:val="000000" w:themeColor="text1"/>
          <w:szCs w:val="32"/>
          <w:lang w:val="en-US" w:eastAsia="zh-CN"/>
        </w:rPr>
        <w:t>5</w:t>
      </w:r>
      <w:r>
        <w:rPr>
          <w:rFonts w:ascii="仿宋_GB2312" w:hAnsi="仿宋"/>
          <w:color w:val="000000" w:themeColor="text1"/>
          <w:szCs w:val="32"/>
        </w:rPr>
        <w:t>年</w:t>
      </w:r>
      <w:r>
        <w:rPr>
          <w:rFonts w:hint="eastAsia" w:ascii="仿宋_GB2312" w:hAnsi="仿宋"/>
          <w:color w:val="000000" w:themeColor="text1"/>
          <w:szCs w:val="32"/>
          <w:lang w:val="en-US" w:eastAsia="zh-CN"/>
        </w:rPr>
        <w:t>12</w:t>
      </w:r>
      <w:r>
        <w:rPr>
          <w:rFonts w:ascii="仿宋_GB2312" w:hAnsi="仿宋"/>
          <w:color w:val="000000" w:themeColor="text1"/>
          <w:szCs w:val="32"/>
        </w:rPr>
        <w:t>月</w:t>
      </w:r>
      <w:r>
        <w:rPr>
          <w:rFonts w:hint="eastAsia" w:ascii="仿宋_GB2312" w:hAnsi="仿宋"/>
          <w:color w:val="000000" w:themeColor="text1"/>
          <w:szCs w:val="32"/>
          <w:lang w:val="en-US" w:eastAsia="zh-CN"/>
        </w:rPr>
        <w:t>15</w:t>
      </w:r>
      <w:r>
        <w:rPr>
          <w:rFonts w:ascii="仿宋_GB2312" w:hAnsi="仿宋"/>
          <w:color w:val="000000" w:themeColor="text1"/>
          <w:szCs w:val="32"/>
        </w:rPr>
        <w:t>日</w:t>
      </w:r>
      <w:r>
        <w:rPr>
          <w:rFonts w:hint="eastAsia" w:ascii="仿宋_GB2312" w:hAnsi="仿宋"/>
          <w:color w:val="000000" w:themeColor="text1"/>
          <w:szCs w:val="32"/>
          <w:lang w:eastAsia="zh-CN"/>
        </w:rPr>
        <w:t>福建省莆田市荔城区人民法院</w:t>
      </w:r>
      <w:r>
        <w:rPr>
          <w:rFonts w:ascii="仿宋_GB2312" w:hAnsi="仿宋"/>
          <w:color w:val="000000" w:themeColor="text1"/>
          <w:szCs w:val="32"/>
        </w:rPr>
        <w:t>财产性判项复函载明：“</w:t>
      </w:r>
      <w:r>
        <w:rPr>
          <w:rFonts w:hint="eastAsia" w:ascii="仿宋_GB2312" w:hAnsi="仿宋"/>
          <w:color w:val="000000" w:themeColor="text1"/>
          <w:szCs w:val="32"/>
          <w:lang w:eastAsia="zh-CN"/>
        </w:rPr>
        <w:t>针对判决责令姚明旭退出毒资</w:t>
      </w:r>
      <w:r>
        <w:rPr>
          <w:rFonts w:hint="eastAsia" w:ascii="仿宋_GB2312" w:hAnsi="仿宋"/>
          <w:color w:val="000000" w:themeColor="text1"/>
          <w:szCs w:val="32"/>
          <w:lang w:val="en-US" w:eastAsia="zh-CN"/>
        </w:rPr>
        <w:t>11980元的执行情况，本院已发函莆田市公安局荔城分局要求将扣押的钱款28900元转入国库。另查明，本院已没收姚明旭个人财产1889.28元，除此之外暂未发现被执行人姚明旭有其他财产可供执行。本院目前未掌握被执行人姚明旭拒不交代赃款、赃物去向或者隐瞒、藏匿、转移财产等妨害财产性判项执行的情节。</w:t>
      </w:r>
      <w:r>
        <w:rPr>
          <w:rFonts w:ascii="仿宋_GB2312" w:hAnsi="仿宋"/>
          <w:color w:val="000000" w:themeColor="text1"/>
          <w:szCs w:val="32"/>
        </w:rPr>
        <w:t>”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000000" w:themeColor="text1"/>
          <w:szCs w:val="32"/>
          <w:lang w:val="en-US" w:eastAsia="zh-CN"/>
        </w:rPr>
      </w:pPr>
      <w:r>
        <w:rPr>
          <w:rFonts w:hint="eastAsia" w:ascii="仿宋_GB2312" w:hAnsi="仿宋"/>
          <w:color w:val="000000" w:themeColor="text1"/>
          <w:szCs w:val="32"/>
        </w:rPr>
        <w:t>该犯</w:t>
      </w:r>
      <w:r>
        <w:rPr>
          <w:rFonts w:hint="eastAsia" w:ascii="仿宋_GB2312"/>
          <w:color w:val="000000" w:themeColor="text1"/>
          <w:szCs w:val="32"/>
          <w:lang w:eastAsia="zh-CN"/>
        </w:rPr>
        <w:t>系累犯</w:t>
      </w:r>
      <w:r>
        <w:rPr>
          <w:rFonts w:hint="eastAsia" w:ascii="仿宋_GB2312"/>
          <w:color w:val="000000" w:themeColor="text1"/>
          <w:szCs w:val="32"/>
        </w:rPr>
        <w:t>，财产性判项</w:t>
      </w:r>
      <w:r>
        <w:rPr>
          <w:rFonts w:hint="eastAsia" w:ascii="仿宋_GB2312"/>
          <w:color w:val="000000" w:themeColor="text1"/>
          <w:szCs w:val="32"/>
          <w:lang w:eastAsia="zh-CN"/>
        </w:rPr>
        <w:t>没收个人全部财产</w:t>
      </w:r>
      <w:r>
        <w:rPr>
          <w:rFonts w:hint="eastAsia" w:ascii="仿宋_GB2312"/>
          <w:color w:val="000000" w:themeColor="text1"/>
          <w:szCs w:val="32"/>
        </w:rPr>
        <w:t>，属于从严掌握减刑对象，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因此</w:t>
      </w:r>
      <w:r>
        <w:rPr>
          <w:rFonts w:hint="eastAsia" w:ascii="仿宋_GB2312" w:hAnsi="仿宋"/>
          <w:color w:val="000000" w:themeColor="text1"/>
          <w:szCs w:val="32"/>
          <w:lang w:val="en-US" w:eastAsia="zh-CN"/>
        </w:rPr>
        <w:t>减刑幅度予以扣减二个月。</w:t>
      </w:r>
    </w:p>
    <w:p>
      <w:pPr>
        <w:spacing w:line="56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spacing w:line="620" w:lineRule="exact"/>
        <w:ind w:firstLine="640" w:firstLineChars="200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szCs w:val="32"/>
          <w:lang w:eastAsia="zh-CN"/>
        </w:rPr>
        <w:t>姚明旭</w:t>
      </w:r>
      <w:r>
        <w:rPr>
          <w:rFonts w:hint="eastAsia" w:ascii="仿宋_GB2312" w:hAnsi="仿宋"/>
          <w:szCs w:val="32"/>
        </w:rPr>
        <w:t>予</w:t>
      </w:r>
      <w:r>
        <w:rPr>
          <w:rFonts w:hint="eastAsia" w:ascii="仿宋_GB2312" w:hAnsi="仿宋"/>
          <w:color w:val="auto"/>
          <w:szCs w:val="32"/>
        </w:rPr>
        <w:t>以减刑</w:t>
      </w:r>
      <w:r>
        <w:rPr>
          <w:rFonts w:hint="eastAsia" w:ascii="仿宋_GB2312" w:hAnsi="仿宋"/>
          <w:color w:val="auto"/>
          <w:szCs w:val="32"/>
          <w:lang w:eastAsia="zh-CN"/>
        </w:rPr>
        <w:t>五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spacing w:line="620" w:lineRule="exact"/>
        <w:ind w:right="-48" w:rightChars="-15" w:firstLine="614" w:firstLineChars="19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spacing w:line="620" w:lineRule="exact"/>
        <w:ind w:right="-48" w:rightChars="-15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spacing w:line="620" w:lineRule="exact"/>
        <w:ind w:firstLine="640" w:firstLineChars="2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姚明旭</w:t>
      </w:r>
      <w:r>
        <w:rPr>
          <w:rFonts w:hint="eastAsia" w:ascii="仿宋_GB2312" w:hAnsi="仿宋"/>
          <w:szCs w:val="32"/>
        </w:rPr>
        <w:t>卷宗2册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</w:p>
    <w:p>
      <w:pPr>
        <w:spacing w:line="620" w:lineRule="exact"/>
        <w:ind w:right="1213" w:rightChars="379" w:firstLine="614" w:firstLineChars="192"/>
        <w:jc w:val="righ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944E3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67AE"/>
    <w:rsid w:val="00FE01F1"/>
    <w:rsid w:val="00FE1E5A"/>
    <w:rsid w:val="09ED1A58"/>
    <w:rsid w:val="0BC91ECD"/>
    <w:rsid w:val="110D2CB1"/>
    <w:rsid w:val="150E0365"/>
    <w:rsid w:val="155D4482"/>
    <w:rsid w:val="2BE9542D"/>
    <w:rsid w:val="2DE268C4"/>
    <w:rsid w:val="307E3886"/>
    <w:rsid w:val="393F0779"/>
    <w:rsid w:val="3AF63572"/>
    <w:rsid w:val="3BFE2889"/>
    <w:rsid w:val="3D5F6BD1"/>
    <w:rsid w:val="40314E46"/>
    <w:rsid w:val="40DD15D4"/>
    <w:rsid w:val="42CC1AE6"/>
    <w:rsid w:val="42F02D96"/>
    <w:rsid w:val="463B262D"/>
    <w:rsid w:val="49F73CEF"/>
    <w:rsid w:val="4E952902"/>
    <w:rsid w:val="514F3E9E"/>
    <w:rsid w:val="51505B33"/>
    <w:rsid w:val="527A0616"/>
    <w:rsid w:val="57F67B5E"/>
    <w:rsid w:val="59901050"/>
    <w:rsid w:val="5A6D6D92"/>
    <w:rsid w:val="627F0E51"/>
    <w:rsid w:val="72F11EB1"/>
    <w:rsid w:val="7D270F02"/>
    <w:rsid w:val="7DE5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2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styleId="9">
    <w:name w:val="Emphasis"/>
    <w:basedOn w:val="7"/>
    <w:qFormat/>
    <w:uiPriority w:val="20"/>
    <w:rPr>
      <w:i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100</Words>
  <Characters>571</Characters>
  <Lines>4</Lines>
  <Paragraphs>1</Paragraphs>
  <TotalTime>0</TotalTime>
  <ScaleCrop>false</ScaleCrop>
  <LinksUpToDate>false</LinksUpToDate>
  <CharactersWithSpaces>670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2025-03-02T23:56:00Z</dcterms:created>
  <dc:creator>Windows 用户</dc:creator>
  <cp:lastModifiedBy>陈雯</cp:lastModifiedBy>
  <cp:lastPrinted>2026-01-18T08:33:00Z</cp:lastPrinted>
  <dcterms:modified xsi:type="dcterms:W3CDTF">2026-03-11T02:35:59Z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A2AD11F2BA9641009D0B9B6CE975A24B</vt:lpwstr>
  </property>
</Properties>
</file>