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8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snapToGrid w:val="0"/>
        <w:spacing w:line="8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6</w:t>
      </w:r>
      <w:r>
        <w:rPr>
          <w:rFonts w:hint="eastAsia" w:ascii="楷体_GB2312" w:hAnsi="楷体_GB2312" w:eastAsia="楷体_GB2312" w:cs="楷体_GB2312"/>
          <w:szCs w:val="32"/>
        </w:rPr>
        <w:t>〕闽厦狱减字第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19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spacing w:line="560" w:lineRule="exact"/>
        <w:ind w:firstLine="640" w:firstLineChars="200"/>
        <w:rPr>
          <w:rFonts w:hint="eastAsia" w:ascii="仿宋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firstLine="64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罪犯李顺琳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，男，1966年3月28日出生，汉族，高中文化，户籍地</w:t>
      </w:r>
      <w:r>
        <w:rPr>
          <w:rFonts w:ascii="仿宋_GB2312"/>
          <w:szCs w:val="32"/>
        </w:rPr>
        <w:t>辽宁省沈阳市铁西区</w:t>
      </w:r>
      <w:bookmarkStart w:id="0" w:name="_GoBack"/>
      <w:bookmarkEnd w:id="0"/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捕前系</w:t>
      </w:r>
      <w:r>
        <w:rPr>
          <w:rFonts w:hint="eastAsia" w:ascii="仿宋_GB2312"/>
          <w:szCs w:val="32"/>
        </w:rPr>
        <w:t>无业。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firstLine="640" w:firstLineChars="200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厦门市集美区人民法院于2017年7月14日作出（2017）闽0211刑初250号刑事判决，以被告人李顺琳犯信用卡诈骗罪，判处有期徒刑十年三个月，并处罚金人民币十万元。刑期自2016年6月16日起至2026年9月15日止。责令共同退赔被害人经济损失。该犯不服，提出上诉。2017年11月30日福建省厦门市中级人民法院作出（2017）闽02刑终642号刑事判决中表明，维持福建省厦门市集美区人民法院（2017）闽0211刑初250号刑事判决第一项、第二项、第三项判决。撤销福建省厦门市集美区人民法院（2017）闽0211刑初250号刑事判决第四项、第五项判决。维持对该犯的定罪量刑，共同退赔被害人损失，</w:t>
      </w:r>
      <w:r>
        <w:rPr>
          <w:rFonts w:hint="eastAsia" w:ascii="仿宋_GB2312"/>
          <w:szCs w:val="32"/>
          <w:lang w:val="en-US" w:eastAsia="zh-CN"/>
        </w:rPr>
        <w:t>相关发卡银行对本案部分被害人给与退款或免单处理，部分涉及款项由上诉人直接退赔给相关银行。</w:t>
      </w:r>
      <w:r>
        <w:rPr>
          <w:rFonts w:hint="eastAsia" w:ascii="仿宋_GB2312"/>
          <w:szCs w:val="32"/>
        </w:rPr>
        <w:t>查扣本案涉案财物予以没收拍卖，拍卖所得用于前述判项。2017年12月28日交付福建省厦门监狱执行刑罚。2022年1月27日，福建省厦门市中级人民法院作出（2022）闽02刑更55号刑事裁定，</w:t>
      </w:r>
      <w:r>
        <w:rPr>
          <w:rFonts w:hint="eastAsia" w:ascii="仿宋_GB2312" w:hAnsi="仿宋_GB2312" w:cs="仿宋_GB2312"/>
          <w:szCs w:val="32"/>
        </w:rPr>
        <w:t>对其减刑</w:t>
      </w:r>
      <w:r>
        <w:rPr>
          <w:rFonts w:hint="eastAsia" w:ascii="仿宋_GB2312" w:hAnsi="仿宋" w:cs="宋体"/>
          <w:szCs w:val="32"/>
        </w:rPr>
        <w:t>三</w:t>
      </w:r>
      <w:r>
        <w:rPr>
          <w:rFonts w:hint="eastAsia" w:ascii="仿宋_GB2312" w:hAnsi="仿宋_GB2312" w:cs="仿宋_GB2312"/>
          <w:szCs w:val="32"/>
        </w:rPr>
        <w:t>个月。</w:t>
      </w:r>
      <w:r>
        <w:rPr>
          <w:rFonts w:hint="eastAsia" w:ascii="仿宋_GB2312"/>
          <w:szCs w:val="32"/>
        </w:rPr>
        <w:t>现刑期至2026年6月15日止。2022年1月27日</w:t>
      </w:r>
      <w:r>
        <w:rPr>
          <w:rFonts w:hint="eastAsia" w:ascii="仿宋_GB2312"/>
          <w:szCs w:val="32"/>
          <w:lang w:val="en-US" w:eastAsia="zh-CN"/>
        </w:rPr>
        <w:t>送达，</w:t>
      </w:r>
      <w:r>
        <w:rPr>
          <w:rFonts w:hint="eastAsia" w:ascii="仿宋_GB2312"/>
          <w:szCs w:val="32"/>
        </w:rPr>
        <w:t>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firstLine="640" w:firstLineChars="200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</w:rPr>
        <w:t>上次</w:t>
      </w:r>
      <w:r>
        <w:rPr>
          <w:rFonts w:hint="eastAsia" w:ascii="仿宋_GB2312" w:hAnsi="宋体"/>
          <w:iCs/>
          <w:kern w:val="0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2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20" w:lineRule="exact"/>
        <w:ind w:firstLine="640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2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20" w:lineRule="exact"/>
        <w:ind w:left="0" w:leftChars="0" w:firstLine="640" w:firstLineChars="200"/>
        <w:textAlignment w:val="auto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：该犯</w:t>
      </w:r>
      <w:r>
        <w:rPr>
          <w:rFonts w:hint="eastAsia" w:ascii="仿宋_GB2312" w:hAnsi="仿宋"/>
          <w:szCs w:val="32"/>
        </w:rPr>
        <w:t>考核期内有违规，共扣8分，经民警教育后能</w:t>
      </w:r>
    </w:p>
    <w:p>
      <w:pPr>
        <w:pStyle w:val="2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20" w:lineRule="exact"/>
        <w:ind w:firstLine="0" w:firstLineChars="0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认识错误，</w:t>
      </w:r>
      <w:r>
        <w:rPr>
          <w:rFonts w:hint="eastAsia" w:ascii="仿宋_GB2312" w:hAnsi="仿宋" w:cs="宋体"/>
          <w:szCs w:val="32"/>
          <w:lang w:val="zh-CN"/>
        </w:rPr>
        <w:t>能遵守法律法规及监规纪律，接受教育改造。</w:t>
      </w:r>
    </w:p>
    <w:p>
      <w:pPr>
        <w:pStyle w:val="2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20" w:lineRule="exact"/>
        <w:ind w:left="640" w:firstLine="0" w:firstLineChars="0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2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20" w:lineRule="exact"/>
        <w:ind w:firstLine="640"/>
        <w:textAlignment w:val="auto"/>
        <w:rPr>
          <w:rFonts w:ascii="仿宋_GB2312" w:hAnsi="仿宋_GB2312" w:cs="仿宋_GB2312"/>
          <w:bCs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</w:t>
      </w:r>
      <w:r>
        <w:rPr>
          <w:rFonts w:hint="eastAsia" w:ascii="仿宋_GB2312" w:hAnsi="仿宋_GB2312" w:cs="仿宋_GB2312"/>
          <w:bCs/>
          <w:szCs w:val="32"/>
          <w:lang w:val="zh-CN"/>
        </w:rPr>
        <w:t>改造：能参加劳动，努力完成劳动任务。</w:t>
      </w:r>
    </w:p>
    <w:p>
      <w:pPr>
        <w:pStyle w:val="2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firstLine="640"/>
        <w:textAlignment w:val="auto"/>
        <w:rPr>
          <w:rFonts w:hint="eastAsia" w:ascii="仿宋_GB2312" w:hAnsi="仿宋_GB2312" w:cs="仿宋_GB2312"/>
          <w:bCs/>
          <w:szCs w:val="32"/>
          <w:lang w:val="zh-CN"/>
        </w:rPr>
      </w:pPr>
      <w:r>
        <w:rPr>
          <w:rFonts w:hint="eastAsia" w:ascii="仿宋_GB2312" w:hAnsi="仿宋_GB2312" w:cs="仿宋_GB2312"/>
          <w:bCs/>
          <w:szCs w:val="32"/>
          <w:lang w:val="zh-CN"/>
        </w:rPr>
        <w:t>奖惩情况：该犯上次评定表扬剩余考核分59.4分，本轮考核期2021年10月至2025年11月累计获考核分4</w:t>
      </w:r>
      <w:r>
        <w:rPr>
          <w:rFonts w:hint="eastAsia" w:ascii="仿宋_GB2312" w:hAnsi="仿宋_GB2312" w:cs="仿宋_GB2312"/>
          <w:bCs/>
          <w:szCs w:val="32"/>
        </w:rPr>
        <w:t>9</w:t>
      </w:r>
      <w:r>
        <w:rPr>
          <w:rFonts w:hint="eastAsia" w:ascii="仿宋_GB2312" w:hAnsi="仿宋_GB2312" w:cs="仿宋_GB2312"/>
          <w:bCs/>
          <w:szCs w:val="32"/>
          <w:lang w:val="zh-CN"/>
        </w:rPr>
        <w:t>96分，合计获得考核分</w:t>
      </w:r>
      <w:r>
        <w:rPr>
          <w:rFonts w:hint="eastAsia" w:ascii="仿宋_GB2312" w:hAnsi="仿宋_GB2312" w:cs="仿宋_GB2312"/>
          <w:bCs/>
          <w:szCs w:val="32"/>
        </w:rPr>
        <w:t>50</w:t>
      </w:r>
      <w:r>
        <w:rPr>
          <w:rFonts w:hint="eastAsia" w:ascii="仿宋_GB2312" w:hAnsi="仿宋_GB2312" w:cs="仿宋_GB2312"/>
          <w:bCs/>
          <w:szCs w:val="32"/>
          <w:lang w:val="zh-CN"/>
        </w:rPr>
        <w:t>55.4分，表扬5次，物质奖励3次；间隔期2022年1月27日至2025年11月获考核分4</w:t>
      </w:r>
      <w:r>
        <w:rPr>
          <w:rFonts w:hint="eastAsia" w:ascii="仿宋_GB2312" w:hAnsi="仿宋_GB2312" w:cs="仿宋_GB2312"/>
          <w:bCs/>
          <w:szCs w:val="32"/>
        </w:rPr>
        <w:t>6</w:t>
      </w:r>
      <w:r>
        <w:rPr>
          <w:rFonts w:hint="eastAsia" w:ascii="仿宋_GB2312" w:hAnsi="仿宋_GB2312" w:cs="仿宋_GB2312"/>
          <w:bCs/>
          <w:szCs w:val="32"/>
          <w:lang w:val="zh-CN"/>
        </w:rPr>
        <w:t>06分。</w:t>
      </w:r>
      <w:r>
        <w:rPr>
          <w:rFonts w:hint="eastAsia" w:ascii="仿宋_GB2312" w:hAnsi="仿宋_GB2312" w:cs="仿宋_GB2312"/>
          <w:bCs/>
          <w:szCs w:val="32"/>
        </w:rPr>
        <w:t>考核期内违规两次，累计扣考核分8分</w:t>
      </w:r>
      <w:r>
        <w:rPr>
          <w:rFonts w:hint="eastAsia" w:ascii="仿宋_GB2312" w:hAnsi="仿宋_GB2312" w:cs="仿宋_GB2312"/>
          <w:bCs/>
          <w:szCs w:val="32"/>
          <w:lang w:val="zh-CN"/>
        </w:rPr>
        <w:t>。财产性判项：756822.35元，其中罚金100000元，共同退赔被害人损失656822.35元。</w:t>
      </w:r>
    </w:p>
    <w:p>
      <w:pPr>
        <w:pStyle w:val="2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firstLine="640"/>
        <w:textAlignment w:val="auto"/>
        <w:rPr>
          <w:rFonts w:hint="eastAsia" w:ascii="仿宋_GB2312" w:hAnsi="仿宋_GB2312" w:cs="仿宋_GB2312"/>
          <w:bCs/>
          <w:szCs w:val="32"/>
          <w:lang w:val="zh-CN"/>
        </w:rPr>
      </w:pPr>
      <w:r>
        <w:rPr>
          <w:rFonts w:hint="eastAsia" w:ascii="仿宋_GB2312" w:hAnsi="仿宋_GB2312" w:cs="仿宋_GB2312"/>
          <w:bCs/>
          <w:szCs w:val="32"/>
          <w:lang w:val="en-US" w:eastAsia="zh-CN"/>
        </w:rPr>
        <w:t>财产性判项共履行181305元，</w:t>
      </w:r>
      <w:r>
        <w:rPr>
          <w:rFonts w:hint="eastAsia" w:ascii="仿宋_GB2312" w:hAnsi="仿宋_GB2312" w:cs="仿宋_GB2312"/>
          <w:bCs/>
          <w:szCs w:val="32"/>
          <w:lang w:val="zh-CN"/>
        </w:rPr>
        <w:t>共同退赔被害人损失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共</w:t>
      </w:r>
      <w:r>
        <w:rPr>
          <w:rFonts w:hint="eastAsia" w:ascii="仿宋_GB2312" w:hAnsi="仿宋_GB2312" w:cs="仿宋_GB2312"/>
          <w:bCs/>
          <w:szCs w:val="32"/>
          <w:lang w:val="zh-CN"/>
        </w:rPr>
        <w:t>计履行178905元。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其中</w:t>
      </w:r>
      <w:r>
        <w:rPr>
          <w:rFonts w:hint="eastAsia" w:ascii="仿宋_GB2312" w:hAnsi="仿宋_GB2312" w:cs="仿宋_GB2312"/>
          <w:bCs/>
          <w:szCs w:val="32"/>
          <w:lang w:val="zh-CN"/>
        </w:rPr>
        <w:t>李顺琳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本人</w:t>
      </w:r>
      <w:r>
        <w:rPr>
          <w:rFonts w:hint="eastAsia" w:ascii="仿宋_GB2312" w:hAnsi="仿宋_GB2312" w:cs="仿宋_GB2312"/>
          <w:bCs/>
          <w:szCs w:val="32"/>
          <w:lang w:val="zh-CN"/>
        </w:rPr>
        <w:t>履行退赔被害人损失52574元。同案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犯</w:t>
      </w:r>
      <w:r>
        <w:rPr>
          <w:rFonts w:hint="eastAsia" w:ascii="仿宋_GB2312" w:hAnsi="仿宋_GB2312" w:cs="仿宋_GB2312"/>
          <w:bCs/>
          <w:szCs w:val="32"/>
          <w:lang w:val="zh-CN"/>
        </w:rPr>
        <w:t>履行退赔被害人损失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126331</w:t>
      </w:r>
      <w:r>
        <w:rPr>
          <w:rFonts w:hint="eastAsia" w:ascii="仿宋_GB2312" w:hAnsi="仿宋_GB2312" w:cs="仿宋_GB2312"/>
          <w:bCs/>
          <w:szCs w:val="32"/>
          <w:lang w:val="zh-CN"/>
        </w:rPr>
        <w:t>元。罚金已履行2400元。月均自选购物消费人民币287.15元，余额692.24元。</w:t>
      </w:r>
    </w:p>
    <w:p>
      <w:pPr>
        <w:pStyle w:val="2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firstLine="640"/>
        <w:textAlignment w:val="auto"/>
        <w:rPr>
          <w:rFonts w:hint="eastAsia" w:ascii="仿宋_GB2312" w:hAnsi="仿宋_GB2312" w:cs="仿宋_GB2312"/>
          <w:bCs/>
          <w:szCs w:val="32"/>
          <w:lang w:val="zh-CN"/>
        </w:rPr>
      </w:pPr>
      <w:r>
        <w:rPr>
          <w:rFonts w:hint="eastAsia" w:ascii="仿宋_GB2312" w:hAnsi="仿宋_GB2312" w:cs="仿宋_GB2312"/>
          <w:bCs/>
          <w:szCs w:val="32"/>
          <w:lang w:val="zh-CN"/>
        </w:rPr>
        <w:t>该犯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系</w:t>
      </w:r>
      <w:r>
        <w:rPr>
          <w:rFonts w:hint="eastAsia" w:ascii="仿宋_GB2312" w:hAnsi="仿宋_GB2312" w:cs="仿宋_GB2312"/>
          <w:bCs/>
          <w:szCs w:val="32"/>
          <w:lang w:val="zh-CN"/>
        </w:rPr>
        <w:t>三类金融诈骗犯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罪</w:t>
      </w:r>
      <w:r>
        <w:rPr>
          <w:rFonts w:hint="eastAsia" w:ascii="仿宋_GB2312" w:hAnsi="仿宋_GB2312" w:cs="仿宋_GB2312"/>
          <w:bCs/>
          <w:szCs w:val="32"/>
          <w:lang w:val="zh-CN"/>
        </w:rPr>
        <w:t>属于从严掌握减刑对象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且</w:t>
      </w:r>
      <w:r>
        <w:rPr>
          <w:rFonts w:hint="eastAsia" w:ascii="仿宋_GB2312" w:hAnsi="仿宋_GB2312" w:cs="仿宋_GB2312"/>
          <w:bCs/>
          <w:szCs w:val="32"/>
          <w:lang w:val="zh-CN"/>
        </w:rPr>
        <w:t>财产性判项义务履行金额未达到其个人应履行总额30%，因此提请减刑幅度扣减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四</w:t>
      </w:r>
      <w:r>
        <w:rPr>
          <w:rFonts w:hint="eastAsia" w:ascii="仿宋_GB2312" w:hAnsi="仿宋_GB2312" w:cs="仿宋_GB2312"/>
          <w:bCs/>
          <w:szCs w:val="32"/>
          <w:lang w:val="zh-CN"/>
        </w:rPr>
        <w:t>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firstLine="640" w:firstLineChars="200"/>
        <w:textAlignment w:val="auto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本案于</w:t>
      </w:r>
      <w:r>
        <w:rPr>
          <w:rFonts w:hint="eastAsia" w:ascii="仿宋_GB2312" w:hAnsi="仿宋"/>
          <w:szCs w:val="32"/>
          <w:lang w:val="en-US" w:eastAsia="zh-CN"/>
        </w:rPr>
        <w:t>2026</w:t>
      </w:r>
      <w:r>
        <w:rPr>
          <w:rFonts w:hint="eastAsia" w:ascii="仿宋_GB2312" w:hAnsi="仿宋"/>
          <w:szCs w:val="32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2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13</w:t>
      </w:r>
      <w:r>
        <w:rPr>
          <w:rFonts w:hint="eastAsia" w:ascii="仿宋_GB2312" w:hAnsi="仿宋"/>
          <w:szCs w:val="32"/>
        </w:rPr>
        <w:t>日至</w:t>
      </w:r>
      <w:r>
        <w:rPr>
          <w:rFonts w:hint="eastAsia" w:ascii="仿宋_GB2312" w:hAnsi="仿宋"/>
          <w:szCs w:val="32"/>
          <w:lang w:val="en-US" w:eastAsia="zh-CN"/>
        </w:rPr>
        <w:t>2026</w:t>
      </w:r>
      <w:r>
        <w:rPr>
          <w:rFonts w:hint="eastAsia" w:ascii="仿宋_GB2312" w:hAnsi="仿宋"/>
          <w:szCs w:val="32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2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26</w:t>
      </w:r>
      <w:r>
        <w:rPr>
          <w:rFonts w:hint="eastAsia" w:ascii="仿宋_GB2312" w:hAnsi="仿宋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firstLine="640" w:firstLineChars="200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、《中华人民共和国刑事诉讼法》第二百七十三条第二款和《中华人民共和国监狱法》第二十九条的规定，建议对罪犯李顺琳予以减刑四个月。特提请你院审理裁定。</w:t>
      </w:r>
    </w:p>
    <w:p>
      <w:pPr>
        <w:pStyle w:val="4"/>
        <w:spacing w:line="56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20"/>
        <w:spacing w:line="560" w:lineRule="exact"/>
        <w:ind w:right="-48" w:rightChars="-15" w:firstLine="0" w:firstLineChars="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福建省厦门市中级人民法院</w:t>
      </w:r>
    </w:p>
    <w:p>
      <w:pPr>
        <w:pStyle w:val="20"/>
        <w:spacing w:line="560" w:lineRule="exact"/>
        <w:ind w:left="0" w:leftChars="0" w:firstLine="640" w:firstLineChars="200"/>
        <w:rPr>
          <w:rFonts w:hint="eastAsia" w:cs="仿宋_GB2312"/>
          <w:szCs w:val="32"/>
        </w:rPr>
      </w:pPr>
    </w:p>
    <w:p>
      <w:pPr>
        <w:pStyle w:val="20"/>
        <w:spacing w:line="560" w:lineRule="exact"/>
        <w:ind w:left="0" w:leftChars="0"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cs="仿宋_GB2312"/>
          <w:szCs w:val="32"/>
        </w:rPr>
        <w:t>附件：⒈</w:t>
      </w:r>
      <w:r>
        <w:rPr>
          <w:rFonts w:hint="eastAsia" w:ascii="仿宋_GB2312" w:hAnsi="仿宋_GB2312" w:cs="仿宋_GB2312"/>
          <w:szCs w:val="32"/>
        </w:rPr>
        <w:t>罪犯李顺琳卷宗2册</w:t>
      </w:r>
    </w:p>
    <w:p>
      <w:pPr>
        <w:pStyle w:val="20"/>
        <w:spacing w:line="560" w:lineRule="exact"/>
        <w:ind w:left="640" w:right="-48" w:rightChars="-15" w:firstLine="960" w:firstLineChars="3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⒉减刑建议书2份</w:t>
      </w:r>
    </w:p>
    <w:p>
      <w:pPr>
        <w:pStyle w:val="4"/>
        <w:spacing w:line="56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13" w:rightChars="379" w:firstLine="614" w:firstLineChars="192"/>
        <w:jc w:val="right"/>
        <w:textAlignment w:val="auto"/>
        <w:rPr>
          <w:rFonts w:ascii="Times New Roman" w:hAnsi="Times New Roman"/>
          <w:szCs w:val="32"/>
        </w:rPr>
      </w:pPr>
      <w:r>
        <w:rPr>
          <w:rFonts w:hint="eastAsia" w:ascii="仿宋_GB2312" w:hAnsi="仿宋"/>
          <w:szCs w:val="32"/>
          <w:lang w:val="en-US" w:eastAsia="zh-CN"/>
        </w:rPr>
        <w:t>2026</w:t>
      </w:r>
      <w:r>
        <w:rPr>
          <w:rFonts w:hint="eastAsia" w:ascii="仿宋_GB2312" w:hAnsi="仿宋"/>
          <w:szCs w:val="32"/>
          <w:lang w:eastAsia="zh-CN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3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2</w:t>
      </w:r>
      <w:r>
        <w:rPr>
          <w:rFonts w:hint="eastAsia" w:ascii="仿宋_GB2312" w:hAnsi="仿宋"/>
          <w:szCs w:val="32"/>
        </w:rPr>
        <w:t>日</w:t>
      </w:r>
    </w:p>
    <w:sectPr>
      <w:footerReference r:id="rId3" w:type="default"/>
      <w:footerReference r:id="rId4" w:type="even"/>
      <w:pgSz w:w="11907" w:h="16840"/>
      <w:pgMar w:top="1560" w:right="1304" w:bottom="1871" w:left="1588" w:header="1588" w:footer="1588" w:gutter="0"/>
      <w:cols w:space="720" w:num="1"/>
      <w:docGrid w:type="lines" w:linePitch="59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outside" w:y="1"/>
      <w:ind w:left="320" w:leftChars="100" w:right="320" w:rightChars="100"/>
      <w:rPr>
        <w:rStyle w:val="11"/>
        <w:sz w:val="28"/>
        <w:szCs w:val="28"/>
      </w:rPr>
    </w:pPr>
    <w:r>
      <w:rPr>
        <w:rStyle w:val="11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11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11"/>
        <w:sz w:val="28"/>
        <w:szCs w:val="28"/>
      </w:rPr>
      <w:t>1</w:t>
    </w:r>
    <w:r>
      <w:rPr>
        <w:sz w:val="28"/>
        <w:szCs w:val="28"/>
      </w:rPr>
      <w:fldChar w:fldCharType="end"/>
    </w:r>
    <w:r>
      <w:rPr>
        <w:rStyle w:val="11"/>
        <w:sz w:val="28"/>
        <w:szCs w:val="28"/>
      </w:rPr>
      <w:t xml:space="preserve"> —</w:t>
    </w:r>
  </w:p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page" w:x="2042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rPr>
        <w:rStyle w:val="11"/>
      </w:rPr>
      <w:t>2</w:t>
    </w:r>
    <w:r>
      <w:fldChar w:fldCharType="end"/>
    </w:r>
  </w:p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NotTrackMoves/>
  <w:documentProtection w:enforcement="0"/>
  <w:defaultTabStop w:val="425"/>
  <w:doNotHyphenateCaps/>
  <w:drawingGridHorizontalSpacing w:val="287"/>
  <w:drawingGridVerticalSpacing w:val="595"/>
  <w:displayHorizontalDrawingGridEvery w:val="1"/>
  <w:displayVerticalDrawingGridEvery w:val="1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doNotValidateAgainstSchema/>
  <w:doNotDemarcateInvalidXml/>
  <w:compat>
    <w:spaceForUL/>
    <w:balanceSingleByteDoubleByteWidth/>
    <w:doNotLeaveBackslashAlone/>
    <w:ulTrailSpace/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4B725619"/>
    <w:rsid w:val="00005E44"/>
    <w:rsid w:val="00031252"/>
    <w:rsid w:val="00031BFE"/>
    <w:rsid w:val="00037E52"/>
    <w:rsid w:val="000456EC"/>
    <w:rsid w:val="00052AAA"/>
    <w:rsid w:val="000C78F0"/>
    <w:rsid w:val="000E371E"/>
    <w:rsid w:val="00104A78"/>
    <w:rsid w:val="001410D5"/>
    <w:rsid w:val="0014310B"/>
    <w:rsid w:val="001469C7"/>
    <w:rsid w:val="0017101A"/>
    <w:rsid w:val="00185013"/>
    <w:rsid w:val="001A3103"/>
    <w:rsid w:val="001B3751"/>
    <w:rsid w:val="001C11FE"/>
    <w:rsid w:val="001C7522"/>
    <w:rsid w:val="001F3782"/>
    <w:rsid w:val="001F4C15"/>
    <w:rsid w:val="0020078B"/>
    <w:rsid w:val="00204BFC"/>
    <w:rsid w:val="00206433"/>
    <w:rsid w:val="00250316"/>
    <w:rsid w:val="00254BFE"/>
    <w:rsid w:val="0028652F"/>
    <w:rsid w:val="002906AC"/>
    <w:rsid w:val="0029154A"/>
    <w:rsid w:val="002E78F8"/>
    <w:rsid w:val="00303729"/>
    <w:rsid w:val="00324885"/>
    <w:rsid w:val="00332D2D"/>
    <w:rsid w:val="0033453F"/>
    <w:rsid w:val="003523B1"/>
    <w:rsid w:val="00361AA1"/>
    <w:rsid w:val="00371188"/>
    <w:rsid w:val="00373AF6"/>
    <w:rsid w:val="003879F0"/>
    <w:rsid w:val="003C0AB1"/>
    <w:rsid w:val="003D2292"/>
    <w:rsid w:val="003E0767"/>
    <w:rsid w:val="003E3E45"/>
    <w:rsid w:val="003E6F3F"/>
    <w:rsid w:val="003F5F51"/>
    <w:rsid w:val="00420BE0"/>
    <w:rsid w:val="00431586"/>
    <w:rsid w:val="00447D4F"/>
    <w:rsid w:val="004666D2"/>
    <w:rsid w:val="00473252"/>
    <w:rsid w:val="0049318C"/>
    <w:rsid w:val="0049401A"/>
    <w:rsid w:val="00497F0E"/>
    <w:rsid w:val="004A7022"/>
    <w:rsid w:val="004F576D"/>
    <w:rsid w:val="004F766A"/>
    <w:rsid w:val="00506158"/>
    <w:rsid w:val="005115AE"/>
    <w:rsid w:val="00516A4E"/>
    <w:rsid w:val="00516D2F"/>
    <w:rsid w:val="00534271"/>
    <w:rsid w:val="00540A30"/>
    <w:rsid w:val="005662D1"/>
    <w:rsid w:val="00566EE6"/>
    <w:rsid w:val="005764AC"/>
    <w:rsid w:val="005A3DBE"/>
    <w:rsid w:val="005C5A63"/>
    <w:rsid w:val="005D4830"/>
    <w:rsid w:val="005E0652"/>
    <w:rsid w:val="00644E63"/>
    <w:rsid w:val="00673C16"/>
    <w:rsid w:val="00674165"/>
    <w:rsid w:val="00686FA0"/>
    <w:rsid w:val="006B3087"/>
    <w:rsid w:val="00701F84"/>
    <w:rsid w:val="007312F5"/>
    <w:rsid w:val="007318C1"/>
    <w:rsid w:val="00762D6B"/>
    <w:rsid w:val="007657CE"/>
    <w:rsid w:val="00772CE7"/>
    <w:rsid w:val="007803A2"/>
    <w:rsid w:val="007824E9"/>
    <w:rsid w:val="007B26AC"/>
    <w:rsid w:val="007B3F4A"/>
    <w:rsid w:val="007C0B22"/>
    <w:rsid w:val="007C44EE"/>
    <w:rsid w:val="007C7461"/>
    <w:rsid w:val="007E7CB8"/>
    <w:rsid w:val="007F25CC"/>
    <w:rsid w:val="007F48AD"/>
    <w:rsid w:val="007F7E05"/>
    <w:rsid w:val="008249A7"/>
    <w:rsid w:val="00834658"/>
    <w:rsid w:val="00847439"/>
    <w:rsid w:val="008527B4"/>
    <w:rsid w:val="008552A7"/>
    <w:rsid w:val="00856EFB"/>
    <w:rsid w:val="00891E30"/>
    <w:rsid w:val="008947DD"/>
    <w:rsid w:val="008A14FA"/>
    <w:rsid w:val="008A773E"/>
    <w:rsid w:val="008D2F31"/>
    <w:rsid w:val="008D437B"/>
    <w:rsid w:val="00906C85"/>
    <w:rsid w:val="00913F1F"/>
    <w:rsid w:val="00915EDC"/>
    <w:rsid w:val="009179EA"/>
    <w:rsid w:val="00932021"/>
    <w:rsid w:val="009337AA"/>
    <w:rsid w:val="0094580F"/>
    <w:rsid w:val="00974A7B"/>
    <w:rsid w:val="009838A7"/>
    <w:rsid w:val="009921A3"/>
    <w:rsid w:val="009E4A2A"/>
    <w:rsid w:val="009F54D3"/>
    <w:rsid w:val="00A164D4"/>
    <w:rsid w:val="00A341E2"/>
    <w:rsid w:val="00A53292"/>
    <w:rsid w:val="00A727B4"/>
    <w:rsid w:val="00AC0940"/>
    <w:rsid w:val="00AC5522"/>
    <w:rsid w:val="00AD1DAD"/>
    <w:rsid w:val="00AE4319"/>
    <w:rsid w:val="00B30208"/>
    <w:rsid w:val="00B33528"/>
    <w:rsid w:val="00B37638"/>
    <w:rsid w:val="00B75F8C"/>
    <w:rsid w:val="00B842C0"/>
    <w:rsid w:val="00BA058E"/>
    <w:rsid w:val="00BA395E"/>
    <w:rsid w:val="00BA4211"/>
    <w:rsid w:val="00BB011C"/>
    <w:rsid w:val="00BC7595"/>
    <w:rsid w:val="00BE6386"/>
    <w:rsid w:val="00C07475"/>
    <w:rsid w:val="00C26A31"/>
    <w:rsid w:val="00C36201"/>
    <w:rsid w:val="00C65752"/>
    <w:rsid w:val="00C70726"/>
    <w:rsid w:val="00C72DDE"/>
    <w:rsid w:val="00C95269"/>
    <w:rsid w:val="00CF01C0"/>
    <w:rsid w:val="00D03882"/>
    <w:rsid w:val="00D1512E"/>
    <w:rsid w:val="00D43D37"/>
    <w:rsid w:val="00D441C3"/>
    <w:rsid w:val="00D5469A"/>
    <w:rsid w:val="00D642FC"/>
    <w:rsid w:val="00D73F06"/>
    <w:rsid w:val="00D77FC5"/>
    <w:rsid w:val="00D8083D"/>
    <w:rsid w:val="00D814CC"/>
    <w:rsid w:val="00DA4E37"/>
    <w:rsid w:val="00DC6627"/>
    <w:rsid w:val="00DC73C9"/>
    <w:rsid w:val="00DE4B9D"/>
    <w:rsid w:val="00DF3545"/>
    <w:rsid w:val="00E16A79"/>
    <w:rsid w:val="00E63208"/>
    <w:rsid w:val="00E81E34"/>
    <w:rsid w:val="00EA6E63"/>
    <w:rsid w:val="00ED05E5"/>
    <w:rsid w:val="00EF26A6"/>
    <w:rsid w:val="00F2273B"/>
    <w:rsid w:val="00F45321"/>
    <w:rsid w:val="00FA3868"/>
    <w:rsid w:val="00FA69C0"/>
    <w:rsid w:val="00FB3B4D"/>
    <w:rsid w:val="00FF3E1E"/>
    <w:rsid w:val="010212D3"/>
    <w:rsid w:val="01752EEC"/>
    <w:rsid w:val="018244E0"/>
    <w:rsid w:val="01AC54CC"/>
    <w:rsid w:val="0432222E"/>
    <w:rsid w:val="06F1205B"/>
    <w:rsid w:val="07193A6D"/>
    <w:rsid w:val="074F7B10"/>
    <w:rsid w:val="08D8605B"/>
    <w:rsid w:val="09055EDD"/>
    <w:rsid w:val="094B5E78"/>
    <w:rsid w:val="09D65705"/>
    <w:rsid w:val="0C081499"/>
    <w:rsid w:val="0DD146F3"/>
    <w:rsid w:val="0F7B5746"/>
    <w:rsid w:val="10405483"/>
    <w:rsid w:val="105459B2"/>
    <w:rsid w:val="12DB4186"/>
    <w:rsid w:val="12FA27EF"/>
    <w:rsid w:val="149C6ED6"/>
    <w:rsid w:val="156F6517"/>
    <w:rsid w:val="16867D44"/>
    <w:rsid w:val="17C67BCF"/>
    <w:rsid w:val="17CF1E12"/>
    <w:rsid w:val="1A804B59"/>
    <w:rsid w:val="1C0C3C77"/>
    <w:rsid w:val="1C172115"/>
    <w:rsid w:val="1D436104"/>
    <w:rsid w:val="1DF801B2"/>
    <w:rsid w:val="1F58635D"/>
    <w:rsid w:val="23F30F1C"/>
    <w:rsid w:val="246F67ED"/>
    <w:rsid w:val="247E72A7"/>
    <w:rsid w:val="2494750E"/>
    <w:rsid w:val="24F1246A"/>
    <w:rsid w:val="251B1BA0"/>
    <w:rsid w:val="264A4F8F"/>
    <w:rsid w:val="26653B78"/>
    <w:rsid w:val="266A70CB"/>
    <w:rsid w:val="2808627D"/>
    <w:rsid w:val="288973D9"/>
    <w:rsid w:val="28D25F11"/>
    <w:rsid w:val="2A03587F"/>
    <w:rsid w:val="2A605831"/>
    <w:rsid w:val="2ABA4B49"/>
    <w:rsid w:val="2B485E02"/>
    <w:rsid w:val="2C202412"/>
    <w:rsid w:val="2C2C5328"/>
    <w:rsid w:val="2C91644C"/>
    <w:rsid w:val="2EE04949"/>
    <w:rsid w:val="30734401"/>
    <w:rsid w:val="30D47492"/>
    <w:rsid w:val="31192F1A"/>
    <w:rsid w:val="32514AF0"/>
    <w:rsid w:val="32AC3AD3"/>
    <w:rsid w:val="32E36C3E"/>
    <w:rsid w:val="331C7A3F"/>
    <w:rsid w:val="33CA2808"/>
    <w:rsid w:val="33DC12A7"/>
    <w:rsid w:val="344E0782"/>
    <w:rsid w:val="344F456B"/>
    <w:rsid w:val="346F16AA"/>
    <w:rsid w:val="356660A7"/>
    <w:rsid w:val="36AA1AAF"/>
    <w:rsid w:val="373E3AC8"/>
    <w:rsid w:val="38497FF0"/>
    <w:rsid w:val="3A46238F"/>
    <w:rsid w:val="3B790662"/>
    <w:rsid w:val="3BFF6B0B"/>
    <w:rsid w:val="3C310CB7"/>
    <w:rsid w:val="3C322526"/>
    <w:rsid w:val="3D5868FB"/>
    <w:rsid w:val="3DA624D3"/>
    <w:rsid w:val="3F235BE8"/>
    <w:rsid w:val="40094FBB"/>
    <w:rsid w:val="404572B9"/>
    <w:rsid w:val="41662FA6"/>
    <w:rsid w:val="44C77B6B"/>
    <w:rsid w:val="459317E9"/>
    <w:rsid w:val="45E81812"/>
    <w:rsid w:val="46591125"/>
    <w:rsid w:val="480745B8"/>
    <w:rsid w:val="499E29A9"/>
    <w:rsid w:val="49A45029"/>
    <w:rsid w:val="49DB20D0"/>
    <w:rsid w:val="4A037E9C"/>
    <w:rsid w:val="4A0E7F9A"/>
    <w:rsid w:val="4A9F7723"/>
    <w:rsid w:val="4B725619"/>
    <w:rsid w:val="4CDA310C"/>
    <w:rsid w:val="4CDF1228"/>
    <w:rsid w:val="4E016B22"/>
    <w:rsid w:val="4F2E566D"/>
    <w:rsid w:val="4F454AFF"/>
    <w:rsid w:val="4FFE3514"/>
    <w:rsid w:val="509427E0"/>
    <w:rsid w:val="50CC27E1"/>
    <w:rsid w:val="52782A7B"/>
    <w:rsid w:val="53CC0384"/>
    <w:rsid w:val="55FB3E3B"/>
    <w:rsid w:val="57D350CB"/>
    <w:rsid w:val="5840548B"/>
    <w:rsid w:val="58641705"/>
    <w:rsid w:val="589400BC"/>
    <w:rsid w:val="599F4978"/>
    <w:rsid w:val="5AA83904"/>
    <w:rsid w:val="5B4F26E9"/>
    <w:rsid w:val="5CB8517D"/>
    <w:rsid w:val="5CD33A8C"/>
    <w:rsid w:val="5D1C7825"/>
    <w:rsid w:val="5D423C53"/>
    <w:rsid w:val="60C5377C"/>
    <w:rsid w:val="63F85F50"/>
    <w:rsid w:val="643171EC"/>
    <w:rsid w:val="66747437"/>
    <w:rsid w:val="668D28B9"/>
    <w:rsid w:val="66C84AAE"/>
    <w:rsid w:val="66CC759D"/>
    <w:rsid w:val="66DA0A03"/>
    <w:rsid w:val="67097636"/>
    <w:rsid w:val="67D873D3"/>
    <w:rsid w:val="67DF207C"/>
    <w:rsid w:val="68C226E4"/>
    <w:rsid w:val="6A302052"/>
    <w:rsid w:val="6A675D10"/>
    <w:rsid w:val="6A8A4AA7"/>
    <w:rsid w:val="6B9133FC"/>
    <w:rsid w:val="6BB7455C"/>
    <w:rsid w:val="6D4A7888"/>
    <w:rsid w:val="6E1A7D08"/>
    <w:rsid w:val="6E7064BC"/>
    <w:rsid w:val="6E8E14A3"/>
    <w:rsid w:val="6ED12315"/>
    <w:rsid w:val="706B694B"/>
    <w:rsid w:val="706D46FB"/>
    <w:rsid w:val="70706C59"/>
    <w:rsid w:val="71290C33"/>
    <w:rsid w:val="72F92F64"/>
    <w:rsid w:val="740B34BA"/>
    <w:rsid w:val="77E172B0"/>
    <w:rsid w:val="783E0E99"/>
    <w:rsid w:val="79CC477D"/>
    <w:rsid w:val="7B650D27"/>
    <w:rsid w:val="7B972A5D"/>
    <w:rsid w:val="7BA33F9B"/>
    <w:rsid w:val="7C9C14A2"/>
    <w:rsid w:val="7F613BF7"/>
    <w:rsid w:val="7FB962CC"/>
    <w:rsid w:val="7FDC4D7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 w:locked="1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624"/>
    </w:pPr>
  </w:style>
  <w:style w:type="paragraph" w:styleId="3">
    <w:name w:val="annotation text"/>
    <w:basedOn w:val="1"/>
    <w:link w:val="14"/>
    <w:qFormat/>
    <w:uiPriority w:val="0"/>
    <w:pPr>
      <w:jc w:val="left"/>
    </w:pPr>
    <w:rPr>
      <w:rFonts w:ascii="Times New Roman" w:hAnsi="Times New Roman"/>
    </w:rPr>
  </w:style>
  <w:style w:type="paragraph" w:styleId="4">
    <w:name w:val="Salutation"/>
    <w:basedOn w:val="1"/>
    <w:next w:val="1"/>
    <w:link w:val="15"/>
    <w:qFormat/>
    <w:uiPriority w:val="99"/>
  </w:style>
  <w:style w:type="paragraph" w:styleId="5">
    <w:name w:val="Balloon Text"/>
    <w:basedOn w:val="1"/>
    <w:link w:val="16"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page number"/>
    <w:basedOn w:val="10"/>
    <w:qFormat/>
    <w:uiPriority w:val="0"/>
    <w:rPr>
      <w:rFonts w:cs="Times New Roman"/>
    </w:rPr>
  </w:style>
  <w:style w:type="character" w:styleId="12">
    <w:name w:val="Emphasis"/>
    <w:basedOn w:val="10"/>
    <w:qFormat/>
    <w:locked/>
    <w:uiPriority w:val="0"/>
    <w:rPr>
      <w:i/>
    </w:rPr>
  </w:style>
  <w:style w:type="character" w:styleId="13">
    <w:name w:val="annotation reference"/>
    <w:basedOn w:val="10"/>
    <w:qFormat/>
    <w:uiPriority w:val="0"/>
    <w:rPr>
      <w:sz w:val="21"/>
      <w:szCs w:val="21"/>
    </w:rPr>
  </w:style>
  <w:style w:type="character" w:customStyle="1" w:styleId="14">
    <w:name w:val="批注文字 Char"/>
    <w:basedOn w:val="10"/>
    <w:link w:val="3"/>
    <w:qFormat/>
    <w:uiPriority w:val="0"/>
    <w:rPr>
      <w:rFonts w:eastAsia="仿宋_GB2312"/>
      <w:kern w:val="32"/>
      <w:sz w:val="32"/>
    </w:rPr>
  </w:style>
  <w:style w:type="character" w:customStyle="1" w:styleId="15">
    <w:name w:val="称呼 Char"/>
    <w:basedOn w:val="10"/>
    <w:link w:val="4"/>
    <w:qFormat/>
    <w:uiPriority w:val="99"/>
    <w:rPr>
      <w:rFonts w:ascii="Calibri" w:hAnsi="Calibri" w:eastAsia="仿宋_GB2312"/>
      <w:kern w:val="32"/>
      <w:sz w:val="32"/>
    </w:rPr>
  </w:style>
  <w:style w:type="character" w:customStyle="1" w:styleId="16">
    <w:name w:val="批注框文本 Char"/>
    <w:basedOn w:val="10"/>
    <w:link w:val="5"/>
    <w:qFormat/>
    <w:uiPriority w:val="0"/>
    <w:rPr>
      <w:rFonts w:ascii="Calibri" w:hAnsi="Calibri" w:eastAsia="仿宋_GB2312"/>
      <w:kern w:val="32"/>
      <w:sz w:val="18"/>
      <w:szCs w:val="18"/>
    </w:rPr>
  </w:style>
  <w:style w:type="paragraph" w:customStyle="1" w:styleId="17">
    <w:name w:val="大标题"/>
    <w:basedOn w:val="1"/>
    <w:qFormat/>
    <w:uiPriority w:val="0"/>
    <w:pPr>
      <w:snapToGrid w:val="0"/>
      <w:jc w:val="center"/>
    </w:pPr>
    <w:rPr>
      <w:rFonts w:eastAsia="方正大标宋简体"/>
      <w:sz w:val="44"/>
    </w:rPr>
  </w:style>
  <w:style w:type="paragraph" w:customStyle="1" w:styleId="18">
    <w:name w:val="小标题"/>
    <w:basedOn w:val="1"/>
    <w:qFormat/>
    <w:uiPriority w:val="0"/>
    <w:pPr>
      <w:ind w:firstLine="624"/>
    </w:pPr>
    <w:rPr>
      <w:rFonts w:eastAsia="黑体"/>
    </w:rPr>
  </w:style>
  <w:style w:type="paragraph" w:customStyle="1" w:styleId="19">
    <w:name w:val="小小标题"/>
    <w:basedOn w:val="1"/>
    <w:qFormat/>
    <w:uiPriority w:val="0"/>
    <w:pPr>
      <w:ind w:firstLine="624"/>
    </w:pPr>
    <w:rPr>
      <w:rFonts w:eastAsia="楷体_GB2312"/>
      <w:b/>
    </w:rPr>
  </w:style>
  <w:style w:type="paragraph" w:customStyle="1" w:styleId="20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188</Words>
  <Characters>1078</Characters>
  <Lines>8</Lines>
  <Paragraphs>2</Paragraphs>
  <TotalTime>1</TotalTime>
  <ScaleCrop>false</ScaleCrop>
  <LinksUpToDate>false</LinksUpToDate>
  <CharactersWithSpaces>1264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2019-12-10T02:01:00Z</dcterms:created>
  <dc:creator>郑凯宁</dc:creator>
  <cp:lastModifiedBy>陈雯</cp:lastModifiedBy>
  <cp:lastPrinted>2026-03-03T08:16:00Z</cp:lastPrinted>
  <dcterms:modified xsi:type="dcterms:W3CDTF">2026-03-11T02:34:40Z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EA00B15B6E59448A89F633AEBA0FDFF1</vt:lpwstr>
  </property>
</Properties>
</file>