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ascii="楷体_GB2312" w:hAnsi="楷体_GB2312" w:eastAsia="楷体_GB2312" w:cs="楷体_GB2312"/>
          <w:szCs w:val="32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111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6"/>
        <w:spacing w:line="560" w:lineRule="exact"/>
        <w:ind w:left="702" w:hanging="6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罪犯林伟钢，男，1</w:t>
      </w:r>
      <w:r>
        <w:rPr>
          <w:rFonts w:ascii="仿宋_GB2312"/>
          <w:szCs w:val="32"/>
        </w:rPr>
        <w:t>984</w:t>
      </w:r>
      <w:r>
        <w:rPr>
          <w:rFonts w:hint="eastAsia" w:ascii="仿宋_GB2312"/>
          <w:szCs w:val="32"/>
        </w:rPr>
        <w:t>年4月5日出生，汉族，初中文化，户籍所在地福建省龙岩市新罗区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捕前系个体经营者。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福建省龙岩市新罗区人民法院于</w:t>
      </w:r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月1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802</w:t>
      </w:r>
      <w:r>
        <w:rPr>
          <w:rFonts w:hint="eastAsia" w:ascii="仿宋_GB2312"/>
          <w:szCs w:val="32"/>
        </w:rPr>
        <w:t>刑初8</w:t>
      </w:r>
      <w:r>
        <w:rPr>
          <w:rFonts w:ascii="仿宋_GB2312"/>
          <w:szCs w:val="32"/>
        </w:rPr>
        <w:t>28</w:t>
      </w:r>
      <w:r>
        <w:rPr>
          <w:rFonts w:hint="eastAsia" w:ascii="仿宋_GB2312"/>
          <w:szCs w:val="32"/>
        </w:rPr>
        <w:t>号刑事判决，以被告人林伟钢犯开设赌场罪，判处有期徒刑六年，并处罚金二十万元；犯寻衅滋事罪，判处有期徒刑一年三个月；犯非法拘禁罪，判处有期徒刑二年二个月；犯敲诈勒索罪，判处有期徒刑八年，并处罚金人民币二万元；根据数罪并罚原则，决定执行有期徒刑八年，并处罚金人民币二十二万元。责令被告人林伟钢与同案</w:t>
      </w:r>
      <w:r>
        <w:rPr>
          <w:rFonts w:hint="eastAsia" w:ascii="仿宋_GB2312"/>
          <w:szCs w:val="32"/>
          <w:lang w:val="en-US" w:eastAsia="zh-CN"/>
        </w:rPr>
        <w:t>犯</w:t>
      </w:r>
      <w:r>
        <w:rPr>
          <w:rFonts w:hint="eastAsia" w:ascii="仿宋_GB2312"/>
          <w:szCs w:val="32"/>
        </w:rPr>
        <w:t>共同退赔被害人人民币5</w:t>
      </w:r>
      <w:r>
        <w:rPr>
          <w:rFonts w:ascii="仿宋_GB2312"/>
          <w:szCs w:val="32"/>
        </w:rPr>
        <w:t>000元。</w:t>
      </w:r>
      <w:r>
        <w:rPr>
          <w:rFonts w:hint="eastAsia" w:ascii="仿宋_GB2312"/>
          <w:szCs w:val="32"/>
          <w:lang w:val="en-US" w:eastAsia="zh-CN"/>
        </w:rPr>
        <w:t>公安机关查封、冻结、扣押的现金人民币3500元，其中2500元退赔被害人，余款1000元及银行账户款项（以执行时实际金额为标准）抵罚金、上缴国库；汽车两辆予以拍卖，拍卖的50%予以抵罚金、上缴国库；公司50%股份予以拍卖，拍卖的50%予以抵罚金、上缴国库；扣押的其他财产均予以拍卖抵罚金、上缴国库。</w:t>
      </w:r>
      <w:r>
        <w:rPr>
          <w:rFonts w:hint="eastAsia" w:ascii="仿宋_GB2312"/>
          <w:szCs w:val="32"/>
        </w:rPr>
        <w:t>刑期自</w:t>
      </w:r>
      <w:r>
        <w:rPr>
          <w:rFonts w:ascii="仿宋_GB2312"/>
          <w:szCs w:val="32"/>
        </w:rPr>
        <w:t>2020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月1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日起至2</w:t>
      </w:r>
      <w:r>
        <w:rPr>
          <w:rFonts w:ascii="仿宋_GB2312"/>
          <w:szCs w:val="32"/>
        </w:rPr>
        <w:t>028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月2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日止。</w:t>
      </w:r>
      <w:r>
        <w:rPr>
          <w:rFonts w:ascii="仿宋_GB2312"/>
          <w:szCs w:val="32"/>
        </w:rPr>
        <w:t>2022</w:t>
      </w:r>
      <w:r>
        <w:rPr>
          <w:rFonts w:hint="eastAsia" w:ascii="仿宋_GB2312"/>
          <w:szCs w:val="32"/>
        </w:rPr>
        <w:t>年1月1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日交付福建省厦门监狱执行刑罚。2</w:t>
      </w:r>
      <w:r>
        <w:rPr>
          <w:rFonts w:ascii="仿宋_GB2312"/>
          <w:szCs w:val="32"/>
        </w:rPr>
        <w:t>024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月2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日，福建省厦门市中级人民法院作出（2</w:t>
      </w:r>
      <w:r>
        <w:rPr>
          <w:rFonts w:ascii="仿宋_GB2312"/>
          <w:szCs w:val="32"/>
        </w:rPr>
        <w:t>024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2刑更</w:t>
      </w:r>
      <w:r>
        <w:rPr>
          <w:rFonts w:hint="eastAsia" w:ascii="仿宋_GB2312"/>
          <w:szCs w:val="32"/>
        </w:rPr>
        <w:t>5</w:t>
      </w:r>
      <w:r>
        <w:rPr>
          <w:rFonts w:ascii="仿宋_GB2312"/>
          <w:szCs w:val="32"/>
        </w:rPr>
        <w:t>44号</w:t>
      </w:r>
      <w:r>
        <w:rPr>
          <w:rFonts w:hint="eastAsia" w:ascii="仿宋_GB2312"/>
          <w:szCs w:val="32"/>
        </w:rPr>
        <w:t>刑事裁定，对其减刑四个月，2</w:t>
      </w:r>
      <w:r>
        <w:rPr>
          <w:rFonts w:ascii="仿宋_GB2312"/>
          <w:szCs w:val="32"/>
        </w:rPr>
        <w:t>024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月2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日送达。现刑期至</w:t>
      </w:r>
      <w:r>
        <w:rPr>
          <w:rFonts w:ascii="仿宋_GB2312"/>
          <w:szCs w:val="32"/>
        </w:rPr>
        <w:t>2028</w:t>
      </w:r>
      <w:r>
        <w:rPr>
          <w:rFonts w:hint="eastAsia" w:ascii="仿宋_GB2312"/>
          <w:szCs w:val="32"/>
        </w:rPr>
        <w:t>年7月2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leftChars="200"/>
        <w:textAlignment w:val="auto"/>
        <w:rPr>
          <w:rFonts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/>
          <w:szCs w:val="32"/>
        </w:rPr>
        <w:t>林伟钢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/>
          <w:szCs w:val="32"/>
        </w:rPr>
        <w:t>：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奖惩情况：该犯上次评定表扬剩余考核分</w:t>
      </w:r>
      <w:r>
        <w:rPr>
          <w:rFonts w:ascii="仿宋_GB2312"/>
          <w:szCs w:val="32"/>
        </w:rPr>
        <w:t>368</w:t>
      </w:r>
      <w:r>
        <w:rPr>
          <w:rFonts w:hint="eastAsia" w:ascii="仿宋_GB2312"/>
          <w:szCs w:val="32"/>
        </w:rPr>
        <w:t>分，本轮考核期</w:t>
      </w:r>
      <w:r>
        <w:rPr>
          <w:rFonts w:ascii="仿宋_GB2312"/>
          <w:szCs w:val="32"/>
        </w:rPr>
        <w:t>2024</w:t>
      </w:r>
      <w:r>
        <w:rPr>
          <w:rFonts w:hint="eastAsia" w:ascii="仿宋_GB2312"/>
          <w:szCs w:val="32"/>
        </w:rPr>
        <w:t>年6月至2</w:t>
      </w:r>
      <w:r>
        <w:rPr>
          <w:rFonts w:ascii="仿宋_GB2312"/>
          <w:szCs w:val="32"/>
        </w:rPr>
        <w:t>026</w:t>
      </w:r>
      <w:r>
        <w:rPr>
          <w:rFonts w:hint="eastAsia" w:ascii="仿宋_GB2312"/>
          <w:szCs w:val="32"/>
        </w:rPr>
        <w:t>年1月累计获考核分</w:t>
      </w:r>
      <w:r>
        <w:rPr>
          <w:rFonts w:ascii="仿宋_GB2312"/>
          <w:szCs w:val="32"/>
        </w:rPr>
        <w:t>2000</w:t>
      </w:r>
      <w:r>
        <w:rPr>
          <w:rFonts w:hint="eastAsia" w:ascii="仿宋_GB2312"/>
          <w:szCs w:val="32"/>
        </w:rPr>
        <w:t>分，合计获得考核分</w:t>
      </w:r>
      <w:r>
        <w:rPr>
          <w:rFonts w:ascii="仿宋_GB2312"/>
          <w:szCs w:val="32"/>
        </w:rPr>
        <w:t>2368</w:t>
      </w:r>
      <w:r>
        <w:rPr>
          <w:rFonts w:hint="eastAsia" w:ascii="仿宋_GB2312"/>
          <w:szCs w:val="32"/>
        </w:rPr>
        <w:t>分，表扬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次；间隔期</w:t>
      </w:r>
      <w:r>
        <w:rPr>
          <w:rFonts w:ascii="仿宋_GB2312"/>
          <w:szCs w:val="32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11</w:t>
      </w:r>
      <w:r>
        <w:rPr>
          <w:rFonts w:hint="eastAsia" w:ascii="仿宋_GB2312"/>
          <w:szCs w:val="32"/>
        </w:rPr>
        <w:t>月2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日至</w:t>
      </w:r>
      <w:r>
        <w:rPr>
          <w:rFonts w:ascii="仿宋_GB2312"/>
          <w:szCs w:val="32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月，获考核分</w:t>
      </w:r>
      <w:r>
        <w:rPr>
          <w:rFonts w:ascii="仿宋_GB2312"/>
          <w:szCs w:val="32"/>
        </w:rPr>
        <w:t>1400</w:t>
      </w:r>
      <w:r>
        <w:rPr>
          <w:rFonts w:hint="eastAsia" w:ascii="仿宋_GB2312"/>
          <w:szCs w:val="32"/>
        </w:rPr>
        <w:t>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该犯原判财产性判项罚金二十二万元，共同退赔被害人经济损失五千元，原审法院出具结案证明及结案通知书，罚金和共同退赔判项执行到位。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该犯系恶势力</w:t>
      </w:r>
      <w:r>
        <w:rPr>
          <w:rFonts w:ascii="仿宋_GB2312"/>
          <w:szCs w:val="32"/>
        </w:rPr>
        <w:t>犯罪集团首要分子，属于从严掌握减刑对象，因此提请幅度扣减</w:t>
      </w:r>
      <w:r>
        <w:rPr>
          <w:rFonts w:hint="eastAsia" w:ascii="仿宋_GB2312"/>
          <w:szCs w:val="32"/>
        </w:rPr>
        <w:t>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本案于2026年4月13日至2026年4月17日在狱内公示未收到不同意见。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林伟钢予以减刑五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附件：1.罪犯林伟钢卷宗2册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0" w:firstLineChars="500"/>
        <w:textAlignment w:val="auto"/>
        <w:rPr>
          <w:rFonts w:ascii="仿宋_GB2312"/>
          <w:szCs w:val="32"/>
        </w:rPr>
      </w:pPr>
      <w:r>
        <w:rPr>
          <w:rFonts w:ascii="仿宋_GB2312"/>
          <w:szCs w:val="32"/>
        </w:rPr>
        <w:t>2.</w:t>
      </w:r>
      <w:r>
        <w:rPr>
          <w:rFonts w:hint="eastAsia" w:ascii="仿宋_GB2312"/>
          <w:szCs w:val="32"/>
        </w:rPr>
        <w:t xml:space="preserve">减刑建议书2份            </w:t>
      </w:r>
    </w:p>
    <w:p>
      <w:pPr>
        <w:spacing w:line="560" w:lineRule="exact"/>
        <w:ind w:firstLine="1484" w:firstLineChars="464"/>
        <w:rPr>
          <w:rFonts w:ascii="仿宋_GB2312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spacing w:line="560" w:lineRule="exact"/>
        <w:ind w:right="944" w:rightChars="295"/>
        <w:jc w:val="right"/>
      </w:pP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871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6DD"/>
    <w:rsid w:val="00025CA2"/>
    <w:rsid w:val="001337DA"/>
    <w:rsid w:val="00140FD2"/>
    <w:rsid w:val="001A51CB"/>
    <w:rsid w:val="001D1D77"/>
    <w:rsid w:val="002000F6"/>
    <w:rsid w:val="002741BF"/>
    <w:rsid w:val="00277DA3"/>
    <w:rsid w:val="002B79B1"/>
    <w:rsid w:val="002C65A0"/>
    <w:rsid w:val="002C711B"/>
    <w:rsid w:val="002D01BD"/>
    <w:rsid w:val="002F0BE6"/>
    <w:rsid w:val="0038747F"/>
    <w:rsid w:val="00394FE3"/>
    <w:rsid w:val="004030F6"/>
    <w:rsid w:val="00412F1A"/>
    <w:rsid w:val="005C1CA4"/>
    <w:rsid w:val="007939BF"/>
    <w:rsid w:val="007D1B03"/>
    <w:rsid w:val="008176DD"/>
    <w:rsid w:val="008443EA"/>
    <w:rsid w:val="0086473C"/>
    <w:rsid w:val="0086654D"/>
    <w:rsid w:val="00881152"/>
    <w:rsid w:val="008C66BD"/>
    <w:rsid w:val="008F37BF"/>
    <w:rsid w:val="00934C04"/>
    <w:rsid w:val="009367DC"/>
    <w:rsid w:val="00954E72"/>
    <w:rsid w:val="00A12736"/>
    <w:rsid w:val="00AB18DA"/>
    <w:rsid w:val="00B00390"/>
    <w:rsid w:val="00B20852"/>
    <w:rsid w:val="00B22207"/>
    <w:rsid w:val="00B25E17"/>
    <w:rsid w:val="00B941A2"/>
    <w:rsid w:val="00C01D44"/>
    <w:rsid w:val="00C06ECE"/>
    <w:rsid w:val="00C12625"/>
    <w:rsid w:val="00DA775F"/>
    <w:rsid w:val="00DD1190"/>
    <w:rsid w:val="00E81D55"/>
    <w:rsid w:val="00EC3F2F"/>
    <w:rsid w:val="00ED2E00"/>
    <w:rsid w:val="00FF0224"/>
    <w:rsid w:val="00FF41DF"/>
    <w:rsid w:val="0EE5252F"/>
    <w:rsid w:val="29FA12BE"/>
    <w:rsid w:val="4F6C63A6"/>
    <w:rsid w:val="53F60E39"/>
    <w:rsid w:val="55C135BF"/>
    <w:rsid w:val="628D1FD2"/>
    <w:rsid w:val="64D00C2B"/>
    <w:rsid w:val="67500BFB"/>
    <w:rsid w:val="6E272A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Body Text First Indent 21"/>
    <w:basedOn w:val="7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7">
    <w:name w:val="Body Text Indent1"/>
    <w:basedOn w:val="1"/>
    <w:qFormat/>
    <w:uiPriority w:val="0"/>
    <w:pPr>
      <w:ind w:left="420" w:leftChars="200"/>
    </w:pPr>
  </w:style>
  <w:style w:type="character" w:customStyle="1" w:styleId="8">
    <w:name w:val="页眉 Char"/>
    <w:basedOn w:val="5"/>
    <w:link w:val="3"/>
    <w:qFormat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153</Words>
  <Characters>873</Characters>
  <Lines>7</Lines>
  <Paragraphs>2</Paragraphs>
  <TotalTime>0</TotalTime>
  <ScaleCrop>false</ScaleCrop>
  <LinksUpToDate>false</LinksUpToDate>
  <CharactersWithSpaces>1024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2025-09-17T03:10:00Z</dcterms:created>
  <dc:creator>user</dc:creator>
  <cp:lastModifiedBy>刘海滨</cp:lastModifiedBy>
  <cp:lastPrinted>2025-09-19T12:41:00Z</cp:lastPrinted>
  <dcterms:modified xsi:type="dcterms:W3CDTF">2026-04-29T09:38:24Z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F6BC636D7ABB442A9D8D06C1759288B6</vt:lpwstr>
  </property>
</Properties>
</file>