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因此，依照《中华人民共和国刑法》第七十八条、第七十九条</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《中华人民共和国刑事诉讼法》第二百七十三条第二款</w:t>
      </w:r>
      <w:r>
        <w:rPr>
          <w:rFonts w:hint="eastAsia" w:ascii="仿宋_GB2312" w:hAnsi="仿宋_GB2312" w:cs="仿宋_GB2312"/>
          <w:color w:val="000000"/>
          <w:szCs w:val="32"/>
          <w:lang w:val="en-US" w:eastAsia="zh-CN"/>
        </w:rPr>
        <w:t>和</w:t>
      </w:r>
      <w:r>
        <w:rPr>
          <w:rFonts w:hint="eastAsia" w:ascii="仿宋_GB2312" w:hAnsi="仿宋_GB2312" w:cs="仿宋_GB2312"/>
          <w:color w:val="000000"/>
          <w:szCs w:val="32"/>
        </w:rPr>
        <w:t>《中华人民共和国监狱法》第二十九条的规定，建议对罪犯范兴润予以减刑</w:t>
      </w:r>
      <w:r>
        <w:rPr>
          <w:rFonts w:hint="eastAsia" w:ascii="仿宋_GB2312" w:hAnsi="仿宋_GB2312" w:cs="仿宋_GB2312"/>
          <w:color w:val="000000"/>
          <w:szCs w:val="32"/>
          <w:lang w:val="en-US" w:eastAsia="zh-CN"/>
        </w:rPr>
        <w:t>三</w:t>
      </w:r>
      <w:r>
        <w:rPr>
          <w:rFonts w:hint="eastAsia" w:ascii="仿宋_GB2312" w:hAnsi="仿宋_GB2312" w:cs="仿宋_GB2312"/>
          <w:color w:val="000000"/>
          <w:szCs w:val="32"/>
        </w:rPr>
        <w:t>个月。特提请你院审理裁定。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此致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color w:val="000000"/>
          <w:szCs w:val="32"/>
        </w:rPr>
      </w:pPr>
      <w:r>
        <w:rPr>
          <w:rFonts w:hint="eastAsia" w:ascii="仿宋_GB2312" w:hAnsi="仿宋_GB2312" w:cs="仿宋_GB2312"/>
          <w:color w:val="000000"/>
          <w:szCs w:val="32"/>
        </w:rPr>
        <w:t>福建省厦门市中级人民法院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附件：⒈罪犯范兴润卷宗</w:t>
      </w:r>
      <w:r>
        <w:rPr>
          <w:rFonts w:hint="eastAsia" w:ascii="仿宋_GB2312" w:hAnsi="仿宋_GB2312" w:cs="仿宋_GB2312"/>
          <w:color w:val="000000"/>
          <w:szCs w:val="32"/>
          <w:lang w:val="en-US" w:eastAsia="zh-CN"/>
        </w:rPr>
        <w:t>2</w:t>
      </w:r>
      <w:r>
        <w:rPr>
          <w:rFonts w:hint="eastAsia" w:ascii="仿宋_GB2312" w:hAnsi="仿宋_GB2312" w:cs="仿宋_GB2312"/>
          <w:color w:val="000000"/>
          <w:szCs w:val="32"/>
        </w:rPr>
        <w:t>册</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cs="仿宋_GB2312"/>
          <w:color w:val="000000"/>
          <w:szCs w:val="32"/>
        </w:rPr>
      </w:pPr>
      <w:r>
        <w:rPr>
          <w:rFonts w:hint="eastAsia" w:ascii="仿宋_GB2312" w:hAnsi="仿宋_GB2312" w:cs="仿宋_GB2312"/>
          <w:color w:val="000000"/>
          <w:szCs w:val="32"/>
        </w:rPr>
        <w:t>⒉减刑建议书</w:t>
      </w:r>
      <w:r>
        <w:rPr>
          <w:rFonts w:hint="eastAsia" w:ascii="仿宋_GB2312" w:hAnsi="仿宋_GB2312" w:cs="仿宋_GB2312"/>
          <w:color w:val="000000"/>
          <w:szCs w:val="32"/>
          <w:lang w:val="en-US" w:eastAsia="zh-CN"/>
        </w:rPr>
        <w:t>2</w:t>
      </w:r>
      <w:r>
        <w:rPr>
          <w:rFonts w:hint="eastAsia" w:ascii="仿宋_GB2312" w:hAnsi="仿宋_GB2312" w:cs="仿宋_GB2312"/>
          <w:color w:val="000000"/>
          <w:szCs w:val="32"/>
        </w:rPr>
        <w:t>份</w:t>
      </w:r>
    </w:p>
    <w:p>
      <w:pPr>
        <w:pStyle w:val="19"/>
        <w:keepNext w:val="0"/>
        <w:keepLines w:val="0"/>
        <w:pageBreakBefore w:val="0"/>
        <w:widowControl w:val="0"/>
        <w:kinsoku/>
        <w:wordWrap/>
        <w:overflowPunct/>
        <w:topLinePunct w:val="0"/>
        <w:bidi w:val="0"/>
        <w:snapToGrid/>
        <w:spacing w:line="520" w:lineRule="exact"/>
        <w:ind w:left="640" w:right="-48" w:rightChars="-15" w:firstLine="960" w:firstLineChars="300"/>
        <w:textAlignment w:val="auto"/>
        <w:rPr>
          <w:rFonts w:ascii="仿宋_GB2312" w:hAnsi="仿宋_GB2312" w:cs="仿宋_GB2312"/>
          <w:szCs w:val="32"/>
        </w:rPr>
      </w:pPr>
    </w:p>
    <w:p>
      <w:pPr>
        <w:pStyle w:val="4"/>
        <w:keepNext w:val="0"/>
        <w:keepLines w:val="0"/>
        <w:pageBreakBefore w:val="0"/>
        <w:widowControl w:val="0"/>
        <w:kinsoku/>
        <w:wordWrap/>
        <w:overflowPunct/>
        <w:topLinePunct w:val="0"/>
        <w:bidi w:val="0"/>
        <w:snapToGrid/>
        <w:spacing w:line="520" w:lineRule="exact"/>
        <w:ind w:right="960" w:rightChars="300"/>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福建省厦门监狱</w:t>
      </w:r>
    </w:p>
    <w:p>
      <w:pPr>
        <w:keepNext w:val="0"/>
        <w:keepLines w:val="0"/>
        <w:pageBreakBefore w:val="0"/>
        <w:widowControl w:val="0"/>
        <w:kinsoku/>
        <w:wordWrap/>
        <w:overflowPunct/>
        <w:topLinePunct w:val="0"/>
        <w:autoSpaceDE/>
        <w:autoSpaceDN/>
        <w:bidi w:val="0"/>
        <w:adjustRightInd/>
        <w:snapToGrid/>
        <w:spacing w:line="560" w:lineRule="exact"/>
        <w:ind w:right="694" w:rightChars="217"/>
        <w:jc w:val="right"/>
        <w:textAlignment w:val="auto"/>
      </w:pPr>
      <w:r>
        <w:rPr>
          <w:rFonts w:hint="eastAsia" w:ascii="仿宋_GB2312"/>
          <w:szCs w:val="32"/>
          <w:lang w:val="en-US" w:eastAsia="zh-CN"/>
        </w:rPr>
        <w:t xml:space="preserve">  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20</w:t>
      </w:r>
      <w:r>
        <w:rPr>
          <w:rFonts w:hint="eastAsia" w:ascii="仿宋_GB2312"/>
          <w:szCs w:val="32"/>
        </w:rPr>
        <w:t>日</w:t>
      </w:r>
    </w:p>
    <w:p>
      <w:pPr>
        <w:pStyle w:val="19"/>
        <w:keepNext w:val="0"/>
        <w:keepLines w:val="0"/>
        <w:pageBreakBefore w:val="0"/>
        <w:widowControl w:val="0"/>
        <w:kinsoku/>
        <w:wordWrap/>
        <w:overflowPunct/>
        <w:topLinePunct w:val="0"/>
        <w:bidi w:val="0"/>
        <w:snapToGrid/>
        <w:spacing w:line="520" w:lineRule="exact"/>
        <w:ind w:firstLine="640"/>
        <w:textAlignment w:val="auto"/>
        <w:rPr>
          <w:rFonts w:hint="eastAsia" w:ascii="仿宋_GB2312" w:hAnsi="仿宋_GB2312" w:cs="仿宋_GB2312"/>
          <w:bCs/>
          <w:szCs w:val="32"/>
          <w:lang w:val="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r>
        <w:rPr>
          <w:rFonts w:hint="eastAsia" w:ascii="仿宋_GB2312" w:hAnsi="仿宋_GB2312" w:cs="仿宋_GB2312"/>
          <w:bCs/>
          <w:szCs w:val="32"/>
          <w:lang w:val="en-US" w:eastAsia="zh-CN"/>
        </w:rPr>
        <w:t xml:space="preserve"> </w:t>
      </w: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0" w:hanging="16" w:hangingChars="5"/>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autoSpaceDE/>
        <w:autoSpaceDN/>
        <w:bidi w:val="0"/>
        <w:adjustRightInd/>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420" w:lineRule="exact"/>
        <w:ind w:firstLine="1280" w:firstLineChars="400"/>
        <w:jc w:val="right"/>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rPr>
        <w:t>〔202</w:t>
      </w:r>
      <w:r>
        <w:rPr>
          <w:rFonts w:hint="eastAsia" w:ascii="楷体_GB2312" w:hAnsi="楷体_GB2312" w:eastAsia="楷体_GB2312" w:cs="楷体_GB2312"/>
          <w:color w:val="000000"/>
          <w:szCs w:val="32"/>
          <w:lang w:val="en-US" w:eastAsia="zh-CN"/>
        </w:rPr>
        <w:t>6</w:t>
      </w:r>
      <w:r>
        <w:rPr>
          <w:rFonts w:hint="eastAsia" w:ascii="楷体_GB2312" w:hAnsi="楷体_GB2312" w:eastAsia="楷体_GB2312" w:cs="楷体_GB2312"/>
          <w:color w:val="000000"/>
          <w:szCs w:val="32"/>
        </w:rPr>
        <w:t>〕闽厦狱减字第</w:t>
      </w:r>
      <w:r>
        <w:rPr>
          <w:rFonts w:hint="eastAsia" w:ascii="楷体_GB2312" w:hAnsi="楷体_GB2312" w:eastAsia="楷体_GB2312" w:cs="楷体_GB2312"/>
          <w:color w:val="000000"/>
          <w:szCs w:val="32"/>
          <w:lang w:val="en-US" w:eastAsia="zh-CN"/>
        </w:rPr>
        <w:t>216</w:t>
      </w:r>
      <w:r>
        <w:rPr>
          <w:rFonts w:hint="eastAsia" w:ascii="楷体_GB2312" w:hAnsi="楷体_GB2312" w:eastAsia="楷体_GB2312" w:cs="楷体_GB2312"/>
          <w:color w:val="000000"/>
          <w:szCs w:val="32"/>
        </w:rPr>
        <w:t>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罪犯范兴润</w:t>
      </w:r>
      <w:r>
        <w:rPr>
          <w:rFonts w:hint="eastAsia" w:ascii="仿宋_GB2312" w:hAnsi="仿宋_GB2312" w:cs="仿宋_GB2312"/>
          <w:color w:val="000000"/>
          <w:szCs w:val="32"/>
        </w:rPr>
        <w:fldChar w:fldCharType="begin"/>
      </w:r>
      <w:r>
        <w:rPr>
          <w:rFonts w:hint="eastAsia" w:ascii="仿宋_GB2312" w:hAnsi="仿宋_GB2312" w:cs="仿宋_GB2312"/>
          <w:color w:val="000000"/>
          <w:szCs w:val="32"/>
        </w:rPr>
        <w:instrText xml:space="preserve"> AUTOTEXTLIST  \* MERGEFORMAT </w:instrText>
      </w:r>
      <w:r>
        <w:rPr>
          <w:rFonts w:hint="eastAsia" w:ascii="仿宋_GB2312" w:hAnsi="仿宋_GB2312" w:cs="仿宋_GB2312"/>
          <w:color w:val="000000"/>
          <w:szCs w:val="32"/>
        </w:rPr>
        <w:fldChar w:fldCharType="end"/>
      </w:r>
      <w:r>
        <w:rPr>
          <w:rFonts w:hint="eastAsia" w:ascii="仿宋_GB2312" w:hAnsi="仿宋_GB2312" w:cs="仿宋_GB2312"/>
          <w:color w:val="000000"/>
          <w:szCs w:val="32"/>
        </w:rPr>
        <w:t>，曾用名范永红，男，1974年9月14日出生，汉族，初中文化，</w:t>
      </w:r>
      <w:r>
        <w:rPr>
          <w:rFonts w:hint="eastAsia" w:ascii="仿宋_GB2312" w:hAnsi="仿宋_GB2312" w:cs="仿宋_GB2312"/>
          <w:color w:val="000000"/>
          <w:szCs w:val="32"/>
          <w:lang w:val="en-US" w:eastAsia="zh-CN"/>
        </w:rPr>
        <w:t>家住</w:t>
      </w:r>
      <w:r>
        <w:rPr>
          <w:rFonts w:hint="eastAsia" w:ascii="仿宋_GB2312" w:hAnsi="仿宋_GB2312" w:cs="仿宋_GB2312"/>
          <w:color w:val="000000"/>
          <w:szCs w:val="32"/>
        </w:rPr>
        <w:t>云南省弥勒市</w:t>
      </w:r>
      <w:r>
        <w:rPr>
          <w:rFonts w:hint="eastAsia" w:ascii="仿宋_GB2312" w:hAnsi="仿宋_GB2312" w:cs="仿宋_GB2312"/>
          <w:color w:val="000000"/>
          <w:szCs w:val="32"/>
          <w:lang w:val="en-US" w:eastAsia="zh-CN"/>
        </w:rPr>
        <w:t>，</w:t>
      </w:r>
      <w:r>
        <w:rPr>
          <w:rFonts w:hint="eastAsia" w:ascii="仿宋_GB2312" w:hAnsi="仿宋_GB2312" w:cs="仿宋_GB2312"/>
          <w:color w:val="000000"/>
          <w:szCs w:val="32"/>
        </w:rPr>
        <w:t>捕前系农民。2005年12月8日因犯非法拘禁罪被云南省弥勒市人民法院判处有期徒刑六个月，缓刑一年；</w:t>
      </w:r>
      <w:r>
        <w:rPr>
          <w:rFonts w:hint="eastAsia" w:ascii="仿宋_GB2312" w:hAnsi="仿宋_GB2312" w:cs="仿宋_GB2312"/>
          <w:color w:val="000000"/>
          <w:szCs w:val="32"/>
          <w:lang w:val="en-US" w:eastAsia="zh-CN"/>
        </w:rPr>
        <w:t>2006年8月29日</w:t>
      </w:r>
      <w:r>
        <w:rPr>
          <w:rFonts w:hint="eastAsia" w:ascii="仿宋_GB2312" w:hAnsi="仿宋_GB2312" w:cs="仿宋_GB2312"/>
          <w:color w:val="000000"/>
          <w:szCs w:val="32"/>
        </w:rPr>
        <w:t>因犯非法经营罪被云南省弥勒市人民法院撤销缓刑后判处有期徒刑九个月，2006年11月30日刑满释放，系累犯。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云南省弥勒市人民法院于2013年9月26日作出（2013）弥刑初字第111号刑事附带民事判决，以被告人范兴润犯组织、领导黑社会性质组织罪，判处有期徒刑七年，并处没收财产</w:t>
      </w:r>
      <w:r>
        <w:rPr>
          <w:rFonts w:hint="eastAsia" w:ascii="仿宋_GB2312" w:hAnsi="仿宋_GB2312" w:cs="仿宋_GB2312"/>
          <w:color w:val="000000"/>
          <w:szCs w:val="32"/>
          <w:lang w:val="en-US" w:eastAsia="zh-CN"/>
        </w:rPr>
        <w:t>人民币</w:t>
      </w:r>
      <w:r>
        <w:rPr>
          <w:rFonts w:hint="eastAsia" w:ascii="仿宋_GB2312" w:hAnsi="仿宋_GB2312" w:cs="仿宋_GB2312"/>
          <w:color w:val="000000"/>
          <w:szCs w:val="32"/>
        </w:rPr>
        <w:t>50万元；犯抢劫罪，判处有期徒刑十一年，并处罚金</w:t>
      </w:r>
      <w:r>
        <w:rPr>
          <w:rFonts w:hint="eastAsia" w:ascii="仿宋_GB2312" w:hAnsi="仿宋_GB2312" w:cs="仿宋_GB2312"/>
          <w:color w:val="000000"/>
          <w:szCs w:val="32"/>
          <w:lang w:val="en-US" w:eastAsia="zh-CN"/>
        </w:rPr>
        <w:t>人民币</w:t>
      </w:r>
      <w:r>
        <w:rPr>
          <w:rFonts w:hint="eastAsia" w:ascii="仿宋_GB2312" w:hAnsi="仿宋_GB2312" w:cs="仿宋_GB2312"/>
          <w:color w:val="000000"/>
          <w:szCs w:val="32"/>
        </w:rPr>
        <w:t>1万元；犯聚众斗殴罪，判处有期徒刑二年；犯敲诈勒索罪，判处有期徒刑四年，并处罚金人民币2万元；犯非法拘禁罪，判处有期徒刑二年；犯非法侵入住宅罪，判处有期徒刑二年；犯开设赌场罪，判处有期徒刑二年，并处罚金人民币10万元。总和刑期三十年，决定执行有期徒刑二十年，并处没收财产人民币50万元</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罚金人民币13万元</w:t>
      </w:r>
      <w:r>
        <w:rPr>
          <w:rFonts w:hint="eastAsia" w:ascii="仿宋_GB2312" w:hAnsi="仿宋_GB2312" w:cs="仿宋_GB2312"/>
          <w:color w:val="000000"/>
          <w:szCs w:val="32"/>
          <w:lang w:eastAsia="zh-CN"/>
        </w:rPr>
        <w:t>；</w:t>
      </w:r>
      <w:r>
        <w:rPr>
          <w:rFonts w:hint="eastAsia" w:ascii="仿宋_GB2312" w:hAnsi="仿宋_GB2312" w:cs="仿宋_GB2312"/>
          <w:color w:val="000000"/>
          <w:szCs w:val="32"/>
          <w:lang w:val="en-US" w:eastAsia="zh-CN"/>
        </w:rPr>
        <w:t>作案工具：汽车四辆依法予以没收，刺刀等均依法予以没收；范兴润人民币657万元，依法予以没收。</w:t>
      </w:r>
      <w:r>
        <w:rPr>
          <w:rFonts w:hint="eastAsia" w:ascii="仿宋_GB2312" w:hAnsi="仿宋_GB2312" w:cs="仿宋_GB2312"/>
          <w:color w:val="000000"/>
          <w:szCs w:val="32"/>
        </w:rPr>
        <w:t>该犯及同案犯不服，提出上诉。云南省红河哈尼族彝族自治州中级人民法院</w:t>
      </w:r>
      <w:r>
        <w:rPr>
          <w:rFonts w:hint="eastAsia" w:ascii="仿宋_GB2312" w:hAnsi="仿宋_GB2312" w:cs="仿宋_GB2312"/>
          <w:color w:val="000000"/>
          <w:szCs w:val="32"/>
          <w:lang w:val="en-US" w:eastAsia="zh-CN"/>
        </w:rPr>
        <w:t>于</w:t>
      </w:r>
      <w:r>
        <w:rPr>
          <w:rFonts w:hint="eastAsia" w:ascii="仿宋_GB2312" w:hAnsi="仿宋_GB2312" w:cs="仿宋_GB2312"/>
          <w:color w:val="000000"/>
          <w:szCs w:val="32"/>
        </w:rPr>
        <w:t>2014年2月7日作出（2013）红中刑二终字第160号刑事附带民事</w:t>
      </w:r>
      <w:r>
        <w:rPr>
          <w:rFonts w:hint="eastAsia" w:ascii="仿宋_GB2312" w:hAnsi="仿宋_GB2312" w:cs="仿宋_GB2312"/>
          <w:color w:val="000000"/>
          <w:szCs w:val="32"/>
          <w:lang w:val="en-US" w:eastAsia="zh-CN"/>
        </w:rPr>
        <w:t>判决</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维持弥勒市人民法院（2013）弥刑初字第111号刑事附带民事判决</w:t>
      </w:r>
      <w:r>
        <w:rPr>
          <w:rFonts w:hint="eastAsia" w:ascii="仿宋_GB2312" w:hAnsi="仿宋_GB2312" w:cs="仿宋_GB2312"/>
          <w:color w:val="000000"/>
          <w:szCs w:val="32"/>
          <w:lang w:eastAsia="zh-CN"/>
        </w:rPr>
        <w:t>对范兴润的定罪量刑、并处的财产刑的判决。</w:t>
      </w:r>
      <w:r>
        <w:rPr>
          <w:rFonts w:hint="eastAsia" w:ascii="仿宋_GB2312" w:hAnsi="仿宋_GB2312" w:cs="仿宋_GB2312"/>
          <w:color w:val="000000"/>
          <w:szCs w:val="32"/>
          <w:lang w:val="en-US" w:eastAsia="zh-CN"/>
        </w:rPr>
        <w:t>撤销</w:t>
      </w:r>
      <w:r>
        <w:rPr>
          <w:rFonts w:hint="eastAsia" w:ascii="仿宋_GB2312" w:hAnsi="仿宋_GB2312" w:cs="仿宋_GB2312"/>
          <w:color w:val="000000"/>
          <w:szCs w:val="32"/>
        </w:rPr>
        <w:t>弥勒市人民法院（2013）弥刑初字第111号刑事附带民事判决</w:t>
      </w:r>
      <w:r>
        <w:rPr>
          <w:rFonts w:hint="eastAsia" w:ascii="仿宋_GB2312" w:hAnsi="仿宋_GB2312" w:cs="仿宋_GB2312"/>
          <w:color w:val="000000"/>
          <w:szCs w:val="32"/>
          <w:lang w:val="en-US" w:eastAsia="zh-CN"/>
        </w:rPr>
        <w:t>第五十六项，即对作案工具予以没收的判决。改判公安机关依法查控扣押的非法所得：范兴润的人民币137万元，雅阁牌汽车一辆；作案工具：汽车三辆、刺刀等财物均依法予以没收。</w:t>
      </w:r>
      <w:r>
        <w:rPr>
          <w:rFonts w:hint="eastAsia" w:ascii="仿宋_GB2312" w:hAnsi="仿宋_GB2312" w:cs="仿宋_GB2312"/>
          <w:color w:val="000000"/>
          <w:szCs w:val="32"/>
        </w:rPr>
        <w:t>刑期自2012年5月17日</w:t>
      </w:r>
      <w:r>
        <w:rPr>
          <w:rFonts w:hint="eastAsia" w:ascii="仿宋_GB2312" w:hAnsi="仿宋_GB2312" w:cs="仿宋_GB2312"/>
          <w:color w:val="000000"/>
          <w:szCs w:val="32"/>
          <w:lang w:val="en-US" w:eastAsia="zh-CN"/>
        </w:rPr>
        <w:t>起</w:t>
      </w:r>
      <w:r>
        <w:rPr>
          <w:rFonts w:hint="eastAsia" w:ascii="仿宋_GB2312" w:hAnsi="仿宋_GB2312" w:cs="仿宋_GB2312"/>
          <w:color w:val="000000"/>
          <w:szCs w:val="32"/>
        </w:rPr>
        <w:t>至2032年5月16日</w:t>
      </w:r>
      <w:r>
        <w:rPr>
          <w:rFonts w:hint="eastAsia" w:ascii="仿宋_GB2312" w:hAnsi="仿宋_GB2312" w:cs="仿宋_GB2312"/>
          <w:color w:val="000000"/>
          <w:szCs w:val="32"/>
          <w:lang w:val="en-US" w:eastAsia="zh-CN"/>
        </w:rPr>
        <w:t>止</w:t>
      </w:r>
      <w:r>
        <w:rPr>
          <w:rFonts w:hint="eastAsia" w:ascii="仿宋_GB2312" w:hAnsi="仿宋_GB2312" w:cs="仿宋_GB2312"/>
          <w:color w:val="000000"/>
          <w:szCs w:val="32"/>
        </w:rPr>
        <w:t>。2014年2月24日交付云南省小龙潭监狱执行刑罚，2018年12月20日</w:t>
      </w:r>
      <w:r>
        <w:rPr>
          <w:rFonts w:hint="eastAsia" w:ascii="仿宋_GB2312" w:hAnsi="仿宋_GB2312" w:cs="仿宋_GB2312"/>
          <w:color w:val="000000"/>
          <w:szCs w:val="32"/>
          <w:lang w:val="en-US" w:eastAsia="zh-CN"/>
        </w:rPr>
        <w:t>调</w:t>
      </w:r>
      <w:r>
        <w:rPr>
          <w:rFonts w:hint="eastAsia" w:ascii="仿宋_GB2312" w:hAnsi="仿宋_GB2312" w:cs="仿宋_GB2312"/>
          <w:color w:val="000000"/>
          <w:szCs w:val="32"/>
        </w:rPr>
        <w:t>入福建省厦门监狱</w:t>
      </w:r>
      <w:r>
        <w:rPr>
          <w:rFonts w:hint="eastAsia" w:ascii="仿宋_GB2312" w:hAnsi="仿宋_GB2312" w:cs="仿宋_GB2312"/>
          <w:color w:val="000000"/>
          <w:szCs w:val="32"/>
          <w:lang w:val="en-US" w:eastAsia="zh-CN"/>
        </w:rPr>
        <w:t>继续执行刑罚</w:t>
      </w:r>
      <w:r>
        <w:rPr>
          <w:rFonts w:hint="eastAsia" w:ascii="仿宋_GB2312" w:hAnsi="仿宋_GB2312" w:cs="仿宋_GB2312"/>
          <w:color w:val="000000"/>
          <w:szCs w:val="32"/>
        </w:rPr>
        <w:t>。2016年7月19日</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云南省红河哈尼族彝族自治州中级人民法院作出（2016）云25刑更2105号刑事裁定，</w:t>
      </w:r>
      <w:r>
        <w:rPr>
          <w:rFonts w:hint="eastAsia" w:ascii="仿宋_GB2312" w:hAnsi="仿宋_GB2312" w:cs="仿宋_GB2312"/>
          <w:color w:val="000000"/>
          <w:szCs w:val="32"/>
          <w:lang w:val="en-US" w:eastAsia="zh-CN"/>
        </w:rPr>
        <w:t>对其减刑</w:t>
      </w:r>
      <w:r>
        <w:rPr>
          <w:rFonts w:hint="eastAsia" w:ascii="仿宋_GB2312" w:hAnsi="仿宋_GB2312" w:cs="仿宋_GB2312"/>
          <w:color w:val="000000"/>
          <w:szCs w:val="32"/>
        </w:rPr>
        <w:t>四个月</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w:t>
      </w:r>
      <w:r>
        <w:rPr>
          <w:rFonts w:hint="eastAsia" w:ascii="仿宋_GB2312" w:hAnsi="仿宋_GB2312" w:cs="仿宋_GB2312"/>
          <w:color w:val="000000"/>
          <w:szCs w:val="32"/>
          <w:lang w:val="en-US" w:eastAsia="zh-CN"/>
        </w:rPr>
        <w:t>16</w:t>
      </w:r>
      <w:r>
        <w:rPr>
          <w:rFonts w:hint="eastAsia" w:ascii="仿宋_GB2312" w:hAnsi="仿宋_GB2312" w:cs="仿宋_GB2312"/>
          <w:color w:val="000000"/>
          <w:szCs w:val="32"/>
        </w:rPr>
        <w:t>年</w:t>
      </w:r>
      <w:r>
        <w:rPr>
          <w:rFonts w:hint="eastAsia" w:ascii="仿宋_GB2312" w:hAnsi="仿宋_GB2312" w:cs="仿宋_GB2312"/>
          <w:color w:val="000000"/>
          <w:szCs w:val="32"/>
          <w:lang w:val="en-US" w:eastAsia="zh-CN"/>
        </w:rPr>
        <w:t>7</w:t>
      </w:r>
      <w:r>
        <w:rPr>
          <w:rFonts w:hint="eastAsia" w:ascii="仿宋_GB2312" w:hAnsi="仿宋_GB2312" w:cs="仿宋_GB2312"/>
          <w:color w:val="000000"/>
          <w:szCs w:val="32"/>
        </w:rPr>
        <w:t>月28日送达；2018年6月11日</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云南省红河哈尼族彝族自治州中级人民法院作出（2018）云25刑更1393号刑事裁定，</w:t>
      </w:r>
      <w:r>
        <w:rPr>
          <w:rFonts w:hint="eastAsia" w:ascii="仿宋_GB2312" w:hAnsi="仿宋_GB2312" w:cs="仿宋_GB2312"/>
          <w:color w:val="000000"/>
          <w:szCs w:val="32"/>
          <w:lang w:val="en-US" w:eastAsia="zh-CN"/>
        </w:rPr>
        <w:t>对其减刑</w:t>
      </w:r>
      <w:r>
        <w:rPr>
          <w:rFonts w:hint="eastAsia" w:ascii="仿宋_GB2312" w:hAnsi="仿宋_GB2312" w:cs="仿宋_GB2312"/>
          <w:color w:val="000000"/>
          <w:szCs w:val="32"/>
        </w:rPr>
        <w:t>六个月</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w:t>
      </w:r>
      <w:r>
        <w:rPr>
          <w:rFonts w:hint="eastAsia" w:ascii="仿宋_GB2312" w:hAnsi="仿宋_GB2312" w:cs="仿宋_GB2312"/>
          <w:color w:val="000000"/>
          <w:szCs w:val="32"/>
          <w:lang w:val="en-US" w:eastAsia="zh-CN"/>
        </w:rPr>
        <w:t>18</w:t>
      </w:r>
      <w:r>
        <w:rPr>
          <w:rFonts w:hint="eastAsia" w:ascii="仿宋_GB2312" w:hAnsi="仿宋_GB2312" w:cs="仿宋_GB2312"/>
          <w:color w:val="000000"/>
          <w:szCs w:val="32"/>
        </w:rPr>
        <w:t>年6月</w:t>
      </w:r>
      <w:r>
        <w:rPr>
          <w:rFonts w:hint="eastAsia" w:ascii="仿宋_GB2312" w:hAnsi="仿宋_GB2312" w:cs="仿宋_GB2312"/>
          <w:color w:val="000000"/>
          <w:szCs w:val="32"/>
          <w:lang w:val="en-US" w:eastAsia="zh-CN"/>
        </w:rPr>
        <w:t>15</w:t>
      </w:r>
      <w:r>
        <w:rPr>
          <w:rFonts w:hint="eastAsia" w:ascii="仿宋_GB2312" w:hAnsi="仿宋_GB2312" w:cs="仿宋_GB2312"/>
          <w:color w:val="000000"/>
          <w:szCs w:val="32"/>
        </w:rPr>
        <w:t>日送达</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2020年11月26日</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福建省厦门</w:t>
      </w:r>
      <w:r>
        <w:rPr>
          <w:rFonts w:hint="eastAsia" w:ascii="仿宋_GB2312" w:hAnsi="仿宋_GB2312" w:cs="仿宋_GB2312"/>
          <w:color w:val="000000"/>
          <w:szCs w:val="32"/>
          <w:lang w:val="en-US" w:eastAsia="zh-CN"/>
        </w:rPr>
        <w:t>市</w:t>
      </w:r>
      <w:r>
        <w:rPr>
          <w:rFonts w:hint="eastAsia" w:ascii="仿宋_GB2312" w:hAnsi="仿宋_GB2312" w:cs="仿宋_GB2312"/>
          <w:color w:val="000000"/>
          <w:szCs w:val="32"/>
        </w:rPr>
        <w:t>中级人民法院作出（2020）闽02刑更898号刑事裁定，</w:t>
      </w:r>
      <w:r>
        <w:rPr>
          <w:rFonts w:hint="eastAsia" w:ascii="仿宋_GB2312" w:hAnsi="仿宋_GB2312" w:cs="仿宋_GB2312"/>
          <w:color w:val="000000"/>
          <w:szCs w:val="32"/>
          <w:lang w:val="en-US" w:eastAsia="zh-CN"/>
        </w:rPr>
        <w:t>对其减刑</w:t>
      </w:r>
      <w:r>
        <w:rPr>
          <w:rFonts w:hint="eastAsia" w:ascii="仿宋_GB2312" w:hAnsi="仿宋_GB2312" w:cs="仿宋_GB2312"/>
          <w:color w:val="000000"/>
          <w:szCs w:val="32"/>
        </w:rPr>
        <w:t>三个月</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202</w:t>
      </w:r>
      <w:r>
        <w:rPr>
          <w:rFonts w:hint="eastAsia" w:ascii="仿宋_GB2312" w:hAnsi="仿宋_GB2312" w:cs="仿宋_GB2312"/>
          <w:color w:val="000000"/>
          <w:szCs w:val="32"/>
          <w:lang w:val="en-US" w:eastAsia="zh-CN"/>
        </w:rPr>
        <w:t>0</w:t>
      </w:r>
      <w:r>
        <w:rPr>
          <w:rFonts w:hint="eastAsia" w:ascii="仿宋_GB2312" w:hAnsi="仿宋_GB2312" w:cs="仿宋_GB2312"/>
          <w:color w:val="000000"/>
          <w:szCs w:val="32"/>
        </w:rPr>
        <w:t>年</w:t>
      </w:r>
      <w:r>
        <w:rPr>
          <w:rFonts w:hint="eastAsia" w:ascii="仿宋_GB2312" w:hAnsi="仿宋_GB2312" w:cs="仿宋_GB2312"/>
          <w:color w:val="000000"/>
          <w:szCs w:val="32"/>
          <w:lang w:val="en-US" w:eastAsia="zh-CN"/>
        </w:rPr>
        <w:t>11</w:t>
      </w:r>
      <w:r>
        <w:rPr>
          <w:rFonts w:hint="eastAsia" w:ascii="仿宋_GB2312" w:hAnsi="仿宋_GB2312" w:cs="仿宋_GB2312"/>
          <w:color w:val="000000"/>
          <w:szCs w:val="32"/>
        </w:rPr>
        <w:t>月2</w:t>
      </w:r>
      <w:r>
        <w:rPr>
          <w:rFonts w:hint="eastAsia" w:ascii="仿宋_GB2312" w:hAnsi="仿宋_GB2312" w:cs="仿宋_GB2312"/>
          <w:color w:val="000000"/>
          <w:szCs w:val="32"/>
          <w:lang w:val="en-US" w:eastAsia="zh-CN"/>
        </w:rPr>
        <w:t>6</w:t>
      </w:r>
      <w:r>
        <w:rPr>
          <w:rFonts w:hint="eastAsia" w:ascii="仿宋_GB2312" w:hAnsi="仿宋_GB2312" w:cs="仿宋_GB2312"/>
          <w:color w:val="000000"/>
          <w:szCs w:val="32"/>
        </w:rPr>
        <w:t>日送达</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2023年6月28日</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福建省厦门</w:t>
      </w:r>
      <w:r>
        <w:rPr>
          <w:rFonts w:hint="eastAsia" w:ascii="仿宋_GB2312" w:hAnsi="仿宋_GB2312" w:cs="仿宋_GB2312"/>
          <w:color w:val="000000"/>
          <w:szCs w:val="32"/>
          <w:lang w:val="en-US" w:eastAsia="zh-CN"/>
        </w:rPr>
        <w:t>市</w:t>
      </w:r>
      <w:r>
        <w:rPr>
          <w:rFonts w:hint="eastAsia" w:ascii="仿宋_GB2312" w:hAnsi="仿宋_GB2312" w:cs="仿宋_GB2312"/>
          <w:color w:val="000000"/>
          <w:szCs w:val="32"/>
        </w:rPr>
        <w:t>中级人民法院作出（2023）闽02刑更354号刑事裁定，</w:t>
      </w:r>
      <w:r>
        <w:rPr>
          <w:rFonts w:hint="eastAsia" w:ascii="仿宋_GB2312" w:hAnsi="仿宋_GB2312" w:cs="仿宋_GB2312"/>
          <w:color w:val="000000"/>
          <w:szCs w:val="32"/>
          <w:lang w:val="en-US" w:eastAsia="zh-CN"/>
        </w:rPr>
        <w:t>对其减刑</w:t>
      </w:r>
      <w:r>
        <w:rPr>
          <w:rFonts w:hint="eastAsia" w:ascii="仿宋_GB2312" w:hAnsi="仿宋_GB2312" w:cs="仿宋_GB2312"/>
          <w:color w:val="000000"/>
          <w:szCs w:val="32"/>
        </w:rPr>
        <w:t>二个月</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2023年6月28日送达。现刑期至2031年2月16日止</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属普管级罪犯。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该犯自上次减刑以来确有悔改表现，具体事实如下：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遵守监规：</w:t>
      </w:r>
      <w:r>
        <w:rPr>
          <w:rFonts w:hint="eastAsia" w:ascii="仿宋_GB2312" w:hAnsi="仿宋_GB2312" w:eastAsia="仿宋_GB2312" w:cs="仿宋_GB2312"/>
          <w:color w:val="000000"/>
          <w:kern w:val="32"/>
          <w:sz w:val="32"/>
          <w:szCs w:val="32"/>
          <w:lang w:val="en-US" w:eastAsia="zh-CN" w:bidi="ar"/>
        </w:rPr>
        <w:t>考核期内有违规行为，经民警教育后能够认识到自己的错误，能遵守法律法规及监规纪律，接受教育改造。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奖惩情况：该犯上次评定表扬剩余</w:t>
      </w:r>
      <w:r>
        <w:rPr>
          <w:rFonts w:hint="eastAsia" w:ascii="仿宋_GB2312" w:hAnsi="仿宋_GB2312" w:cs="仿宋_GB2312"/>
          <w:color w:val="000000"/>
          <w:szCs w:val="32"/>
          <w:lang w:val="en-US" w:eastAsia="zh-CN"/>
        </w:rPr>
        <w:t>考核分537</w:t>
      </w:r>
      <w:r>
        <w:rPr>
          <w:rFonts w:hint="eastAsia" w:ascii="仿宋_GB2312" w:hAnsi="仿宋_GB2312" w:cs="仿宋_GB2312"/>
          <w:color w:val="000000"/>
          <w:szCs w:val="32"/>
        </w:rPr>
        <w:t>分，本轮考核期2022年12月至202</w:t>
      </w:r>
      <w:r>
        <w:rPr>
          <w:rFonts w:hint="eastAsia" w:ascii="仿宋_GB2312" w:hAnsi="仿宋_GB2312" w:cs="仿宋_GB2312"/>
          <w:color w:val="000000"/>
          <w:szCs w:val="32"/>
          <w:lang w:val="en-US" w:eastAsia="zh-CN"/>
        </w:rPr>
        <w:t>6</w:t>
      </w:r>
      <w:r>
        <w:rPr>
          <w:rFonts w:hint="eastAsia" w:ascii="仿宋_GB2312" w:hAnsi="仿宋_GB2312" w:cs="仿宋_GB2312"/>
          <w:color w:val="000000"/>
          <w:szCs w:val="32"/>
        </w:rPr>
        <w:t>年</w:t>
      </w:r>
      <w:r>
        <w:rPr>
          <w:rFonts w:hint="eastAsia" w:ascii="仿宋_GB2312" w:hAnsi="仿宋_GB2312" w:cs="仿宋_GB2312"/>
          <w:color w:val="000000"/>
          <w:szCs w:val="32"/>
          <w:lang w:val="en-US" w:eastAsia="zh-CN"/>
        </w:rPr>
        <w:t>1</w:t>
      </w:r>
      <w:r>
        <w:rPr>
          <w:rFonts w:hint="eastAsia" w:ascii="仿宋_GB2312" w:hAnsi="仿宋_GB2312" w:cs="仿宋_GB2312"/>
          <w:color w:val="000000"/>
          <w:szCs w:val="32"/>
        </w:rPr>
        <w:t>月累计获</w:t>
      </w:r>
      <w:r>
        <w:rPr>
          <w:rFonts w:hint="eastAsia" w:ascii="仿宋_GB2312" w:hAnsi="仿宋_GB2312" w:cs="仿宋_GB2312"/>
          <w:color w:val="000000"/>
          <w:szCs w:val="32"/>
          <w:lang w:val="en-US" w:eastAsia="zh-CN"/>
        </w:rPr>
        <w:t>考核分4078</w:t>
      </w:r>
      <w:r>
        <w:rPr>
          <w:rFonts w:hint="eastAsia" w:ascii="仿宋_GB2312" w:hAnsi="仿宋_GB2312" w:cs="仿宋_GB2312"/>
          <w:color w:val="000000"/>
          <w:szCs w:val="32"/>
        </w:rPr>
        <w:t>分，合计获得</w:t>
      </w:r>
      <w:r>
        <w:rPr>
          <w:rFonts w:hint="eastAsia" w:ascii="仿宋_GB2312" w:hAnsi="仿宋_GB2312" w:cs="仿宋_GB2312"/>
          <w:color w:val="000000"/>
          <w:szCs w:val="32"/>
          <w:lang w:val="en-US" w:eastAsia="zh-CN"/>
        </w:rPr>
        <w:t>考核分4615</w:t>
      </w:r>
      <w:r>
        <w:rPr>
          <w:rFonts w:hint="eastAsia" w:ascii="仿宋_GB2312" w:hAnsi="仿宋_GB2312" w:cs="仿宋_GB2312"/>
          <w:color w:val="000000"/>
          <w:szCs w:val="32"/>
        </w:rPr>
        <w:t>分，表扬</w:t>
      </w:r>
      <w:r>
        <w:rPr>
          <w:rFonts w:hint="eastAsia" w:ascii="仿宋_GB2312" w:hAnsi="仿宋_GB2312" w:cs="仿宋_GB2312"/>
          <w:color w:val="000000"/>
          <w:szCs w:val="32"/>
          <w:lang w:val="en-US" w:eastAsia="zh-CN"/>
        </w:rPr>
        <w:t>7</w:t>
      </w:r>
      <w:r>
        <w:rPr>
          <w:rFonts w:hint="eastAsia" w:ascii="仿宋_GB2312" w:hAnsi="仿宋_GB2312" w:cs="仿宋_GB2312"/>
          <w:color w:val="000000"/>
          <w:szCs w:val="32"/>
        </w:rPr>
        <w:t>次；间隔期2023年</w:t>
      </w:r>
      <w:r>
        <w:rPr>
          <w:rFonts w:hint="eastAsia" w:ascii="仿宋_GB2312" w:hAnsi="仿宋_GB2312" w:cs="仿宋_GB2312"/>
          <w:color w:val="000000"/>
          <w:szCs w:val="32"/>
          <w:lang w:val="en-US" w:eastAsia="zh-CN"/>
        </w:rPr>
        <w:t>6</w:t>
      </w:r>
      <w:r>
        <w:rPr>
          <w:rFonts w:hint="eastAsia" w:ascii="仿宋_GB2312" w:hAnsi="仿宋_GB2312" w:cs="仿宋_GB2312"/>
          <w:color w:val="000000"/>
          <w:szCs w:val="32"/>
        </w:rPr>
        <w:t>月</w:t>
      </w:r>
      <w:r>
        <w:rPr>
          <w:rFonts w:hint="eastAsia" w:ascii="仿宋_GB2312" w:hAnsi="仿宋_GB2312" w:cs="仿宋_GB2312"/>
          <w:color w:val="000000"/>
          <w:szCs w:val="32"/>
          <w:lang w:val="en-US" w:eastAsia="zh-CN"/>
        </w:rPr>
        <w:t>28</w:t>
      </w:r>
      <w:r>
        <w:rPr>
          <w:rFonts w:hint="eastAsia" w:ascii="仿宋_GB2312" w:hAnsi="仿宋_GB2312" w:cs="仿宋_GB2312"/>
          <w:color w:val="000000"/>
          <w:szCs w:val="32"/>
        </w:rPr>
        <w:t>日至202</w:t>
      </w:r>
      <w:r>
        <w:rPr>
          <w:rFonts w:hint="eastAsia" w:ascii="仿宋_GB2312" w:hAnsi="仿宋_GB2312" w:cs="仿宋_GB2312"/>
          <w:color w:val="000000"/>
          <w:szCs w:val="32"/>
          <w:lang w:val="en-US" w:eastAsia="zh-CN"/>
        </w:rPr>
        <w:t>6</w:t>
      </w:r>
      <w:r>
        <w:rPr>
          <w:rFonts w:hint="eastAsia" w:ascii="仿宋_GB2312" w:hAnsi="仿宋_GB2312" w:cs="仿宋_GB2312"/>
          <w:color w:val="000000"/>
          <w:szCs w:val="32"/>
        </w:rPr>
        <w:t>年</w:t>
      </w:r>
      <w:r>
        <w:rPr>
          <w:rFonts w:hint="eastAsia" w:ascii="仿宋_GB2312" w:hAnsi="仿宋_GB2312" w:cs="仿宋_GB2312"/>
          <w:color w:val="000000"/>
          <w:szCs w:val="32"/>
          <w:lang w:val="en-US" w:eastAsia="zh-CN"/>
        </w:rPr>
        <w:t>1</w:t>
      </w:r>
      <w:r>
        <w:rPr>
          <w:rFonts w:hint="eastAsia" w:ascii="仿宋_GB2312" w:hAnsi="仿宋_GB2312" w:cs="仿宋_GB2312"/>
          <w:color w:val="000000"/>
          <w:szCs w:val="32"/>
        </w:rPr>
        <w:t>月，获</w:t>
      </w:r>
      <w:r>
        <w:rPr>
          <w:rFonts w:hint="eastAsia" w:ascii="仿宋_GB2312" w:hAnsi="仿宋_GB2312" w:cs="仿宋_GB2312"/>
          <w:color w:val="000000"/>
          <w:szCs w:val="32"/>
          <w:lang w:val="en-US" w:eastAsia="zh-CN"/>
        </w:rPr>
        <w:t>考核分3309</w:t>
      </w:r>
      <w:r>
        <w:rPr>
          <w:rFonts w:hint="eastAsia" w:ascii="仿宋_GB2312" w:hAnsi="仿宋_GB2312" w:cs="仿宋_GB2312"/>
          <w:color w:val="000000"/>
          <w:szCs w:val="32"/>
        </w:rPr>
        <w:t>分。考核期内违规</w:t>
      </w:r>
      <w:r>
        <w:rPr>
          <w:rFonts w:hint="eastAsia" w:ascii="仿宋_GB2312" w:hAnsi="仿宋_GB2312" w:cs="仿宋_GB2312"/>
          <w:color w:val="000000"/>
          <w:szCs w:val="32"/>
          <w:lang w:val="en-US" w:eastAsia="zh-CN"/>
        </w:rPr>
        <w:t>1次，</w:t>
      </w:r>
      <w:r>
        <w:rPr>
          <w:rFonts w:hint="eastAsia" w:ascii="仿宋_GB2312" w:hAnsi="仿宋_GB2312" w:cs="仿宋_GB2312"/>
          <w:color w:val="000000"/>
          <w:szCs w:val="32"/>
        </w:rPr>
        <w:t>累计扣6分</w:t>
      </w:r>
      <w:r>
        <w:rPr>
          <w:rFonts w:hint="eastAsia" w:ascii="仿宋_GB2312" w:hAnsi="仿宋_GB2312" w:cs="仿宋_GB2312"/>
          <w:color w:val="000000"/>
          <w:szCs w:val="32"/>
          <w:lang w:eastAsia="zh-CN"/>
        </w:rPr>
        <w:t>，</w:t>
      </w:r>
      <w:r>
        <w:rPr>
          <w:rFonts w:hint="eastAsia" w:ascii="仿宋_GB2312" w:hAnsi="仿宋_GB2312" w:cs="仿宋_GB2312"/>
          <w:color w:val="000000"/>
          <w:szCs w:val="32"/>
          <w:lang w:val="en-US" w:eastAsia="zh-CN"/>
        </w:rPr>
        <w:t>无重大违规</w:t>
      </w:r>
      <w:r>
        <w:rPr>
          <w:rFonts w:hint="eastAsia" w:ascii="仿宋_GB2312" w:hAnsi="仿宋_GB2312" w:cs="仿宋_GB2312"/>
          <w:color w:val="000000"/>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cs="仿宋_GB2312"/>
          <w:color w:val="000000"/>
          <w:szCs w:val="32"/>
          <w:lang w:val="en-US" w:eastAsia="zh-CN"/>
        </w:rPr>
      </w:pPr>
      <w:r>
        <w:rPr>
          <w:rFonts w:hint="eastAsia" w:ascii="仿宋_GB2312" w:hAnsi="仿宋_GB2312" w:cs="仿宋_GB2312"/>
          <w:color w:val="000000"/>
          <w:szCs w:val="32"/>
        </w:rPr>
        <w:t>该犯</w:t>
      </w:r>
      <w:r>
        <w:rPr>
          <w:rFonts w:hint="eastAsia" w:ascii="仿宋_GB2312" w:hAnsi="仿宋_GB2312" w:cs="仿宋_GB2312"/>
          <w:color w:val="000000"/>
          <w:szCs w:val="32"/>
          <w:lang w:val="en-US" w:eastAsia="zh-CN"/>
        </w:rPr>
        <w:t>原判</w:t>
      </w:r>
      <w:r>
        <w:rPr>
          <w:rFonts w:hint="eastAsia" w:ascii="仿宋_GB2312" w:hAnsi="仿宋_GB2312" w:cs="仿宋_GB2312"/>
          <w:color w:val="000000"/>
          <w:szCs w:val="32"/>
        </w:rPr>
        <w:t>财产性判项没收财产人民币50万元，罚金人民币13万元</w:t>
      </w:r>
      <w:r>
        <w:rPr>
          <w:rFonts w:hint="eastAsia" w:ascii="仿宋_GB2312" w:hAnsi="仿宋_GB2312" w:cs="仿宋_GB2312"/>
          <w:color w:val="000000"/>
          <w:szCs w:val="32"/>
          <w:lang w:eastAsia="zh-CN"/>
        </w:rPr>
        <w:t>，</w:t>
      </w:r>
      <w:r>
        <w:rPr>
          <w:rFonts w:hint="eastAsia" w:ascii="仿宋_GB2312" w:hAnsi="仿宋_GB2312" w:cs="仿宋_GB2312"/>
          <w:color w:val="000000"/>
          <w:szCs w:val="32"/>
          <w:lang w:val="en-US" w:eastAsia="zh-CN"/>
        </w:rPr>
        <w:t>合计已履行24157.97元</w:t>
      </w:r>
      <w:r>
        <w:rPr>
          <w:rFonts w:hint="eastAsia" w:ascii="仿宋_GB2312" w:hAnsi="仿宋_GB2312" w:cs="仿宋_GB2312"/>
          <w:color w:val="000000"/>
          <w:szCs w:val="32"/>
        </w:rPr>
        <w:t>。</w:t>
      </w:r>
      <w:r>
        <w:rPr>
          <w:rFonts w:hint="eastAsia" w:ascii="仿宋_GB2312" w:hAnsi="仿宋_GB2312" w:cs="仿宋_GB2312"/>
          <w:color w:val="000000"/>
          <w:szCs w:val="32"/>
          <w:lang w:val="en-US" w:eastAsia="zh-CN"/>
        </w:rPr>
        <w:t>本次向福建省厦门市中级人民法院缴纳8400元，其中缴交没收财产4200元，罚金4200元。该犯考核期内月均消费218.29元，账户可用余额385.29元。云南省弥勒市人民法院于2025年11月26日复函载明：本案执行标的为没收财产500000元，罚金130000元，执行到位标的757.97元。截至本复函之日，执行过程中没有发现罪犯</w:t>
      </w:r>
      <w:r>
        <w:rPr>
          <w:rFonts w:hint="eastAsia" w:ascii="仿宋_GB2312" w:hAnsi="仿宋_GB2312" w:cs="仿宋_GB2312"/>
          <w:color w:val="000000"/>
          <w:szCs w:val="32"/>
        </w:rPr>
        <w:t>存在</w:t>
      </w:r>
      <w:r>
        <w:rPr>
          <w:rFonts w:hint="eastAsia" w:ascii="仿宋_GB2312" w:hAnsi="仿宋_GB2312" w:cs="仿宋_GB2312"/>
          <w:color w:val="000000"/>
          <w:szCs w:val="32"/>
          <w:lang w:val="en-US" w:eastAsia="zh-CN"/>
        </w:rPr>
        <w:t>拒不交代赃款、赃物去向情形，没有发现</w:t>
      </w:r>
      <w:r>
        <w:rPr>
          <w:rFonts w:hint="eastAsia" w:ascii="仿宋_GB2312" w:hAnsi="仿宋_GB2312" w:cs="仿宋_GB2312"/>
          <w:color w:val="000000"/>
          <w:szCs w:val="32"/>
        </w:rPr>
        <w:t>隐瞒、藏匿、转移财产</w:t>
      </w:r>
      <w:r>
        <w:rPr>
          <w:rFonts w:hint="eastAsia" w:ascii="仿宋_GB2312" w:hAnsi="仿宋_GB2312" w:cs="仿宋_GB2312"/>
          <w:color w:val="000000"/>
          <w:szCs w:val="32"/>
          <w:lang w:val="en-US" w:eastAsia="zh-CN"/>
        </w:rPr>
        <w:t>情形</w:t>
      </w:r>
      <w:r>
        <w:rPr>
          <w:rFonts w:hint="eastAsia" w:ascii="仿宋_GB2312" w:hAnsi="仿宋_GB2312" w:cs="仿宋_GB2312"/>
          <w:color w:val="000000"/>
          <w:szCs w:val="32"/>
        </w:rPr>
        <w:t>，</w:t>
      </w:r>
      <w:r>
        <w:rPr>
          <w:rFonts w:hint="eastAsia" w:ascii="仿宋_GB2312" w:hAnsi="仿宋_GB2312" w:cs="仿宋_GB2312"/>
          <w:color w:val="000000"/>
          <w:szCs w:val="32"/>
          <w:lang w:val="en-US" w:eastAsia="zh-CN"/>
        </w:rPr>
        <w:t>没有</w:t>
      </w:r>
      <w:r>
        <w:rPr>
          <w:rFonts w:hint="eastAsia" w:ascii="仿宋_GB2312" w:hAnsi="仿宋_GB2312" w:cs="仿宋_GB2312"/>
          <w:color w:val="000000"/>
          <w:szCs w:val="32"/>
        </w:rPr>
        <w:t>发现存在妨</w:t>
      </w:r>
      <w:r>
        <w:rPr>
          <w:rFonts w:hint="eastAsia" w:ascii="仿宋_GB2312" w:hAnsi="仿宋_GB2312" w:cs="仿宋_GB2312"/>
          <w:color w:val="000000"/>
          <w:szCs w:val="32"/>
          <w:lang w:val="en-US" w:eastAsia="zh-CN"/>
        </w:rPr>
        <w:t>害</w:t>
      </w:r>
      <w:r>
        <w:rPr>
          <w:rFonts w:hint="eastAsia" w:ascii="仿宋_GB2312" w:hAnsi="仿宋_GB2312" w:cs="仿宋_GB2312"/>
          <w:color w:val="000000"/>
          <w:szCs w:val="32"/>
        </w:rPr>
        <w:t>财产性判项执行</w:t>
      </w:r>
      <w:r>
        <w:rPr>
          <w:rFonts w:hint="eastAsia" w:ascii="仿宋_GB2312" w:hAnsi="仿宋_GB2312" w:cs="仿宋_GB2312"/>
          <w:color w:val="000000"/>
          <w:szCs w:val="32"/>
          <w:lang w:val="en-US" w:eastAsia="zh-CN"/>
        </w:rPr>
        <w:t>情形</w:t>
      </w:r>
      <w:r>
        <w:rPr>
          <w:rFonts w:hint="eastAsia" w:ascii="仿宋_GB2312" w:hAnsi="仿宋_GB2312" w:cs="仿宋_GB2312"/>
          <w:color w:val="000000"/>
          <w:szCs w:val="32"/>
          <w:lang w:eastAsia="zh-CN"/>
        </w:rPr>
        <w:t>，</w:t>
      </w:r>
      <w:r>
        <w:rPr>
          <w:rFonts w:hint="eastAsia" w:ascii="仿宋_GB2312" w:hAnsi="仿宋_GB2312" w:cs="仿宋_GB2312"/>
          <w:color w:val="000000"/>
          <w:szCs w:val="32"/>
          <w:lang w:val="en-US" w:eastAsia="zh-CN"/>
        </w:rPr>
        <w:t>没有</w:t>
      </w:r>
      <w:r>
        <w:rPr>
          <w:rFonts w:hint="eastAsia" w:ascii="仿宋_GB2312" w:hAnsi="仿宋_GB2312" w:cs="仿宋_GB2312"/>
          <w:color w:val="000000"/>
          <w:szCs w:val="32"/>
        </w:rPr>
        <w:t>发现</w:t>
      </w:r>
      <w:r>
        <w:rPr>
          <w:rFonts w:hint="eastAsia" w:ascii="仿宋_GB2312" w:hAnsi="仿宋_GB2312" w:cs="仿宋_GB2312"/>
          <w:color w:val="000000"/>
          <w:szCs w:val="32"/>
          <w:lang w:val="en-US" w:eastAsia="zh-CN"/>
        </w:rPr>
        <w:t>拒不申报或虚假申报财产情况的情形</w:t>
      </w:r>
      <w:r>
        <w:rPr>
          <w:rFonts w:hint="eastAsia" w:ascii="仿宋_GB2312" w:hAnsi="仿宋_GB2312" w:cs="仿宋_GB2312"/>
          <w:color w:val="000000"/>
          <w:szCs w:val="32"/>
        </w:rPr>
        <w:t>。</w:t>
      </w:r>
      <w:r>
        <w:rPr>
          <w:rFonts w:hint="eastAsia" w:ascii="仿宋_GB2312" w:hAnsi="仿宋_GB2312" w:cs="仿宋_GB2312"/>
          <w:color w:val="000000"/>
          <w:szCs w:val="32"/>
          <w:lang w:val="en-US" w:eastAsia="zh-CN"/>
        </w:rPr>
        <w:t>执行过程中经查控没有发现有可供执行的财产，案件执行状态为终本。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该犯系</w:t>
      </w:r>
      <w:r>
        <w:rPr>
          <w:rFonts w:hint="eastAsia" w:ascii="仿宋_GB2312" w:hAnsi="仿宋_GB2312" w:cs="仿宋_GB2312"/>
          <w:color w:val="000000"/>
          <w:szCs w:val="32"/>
          <w:lang w:val="en-US" w:eastAsia="zh-CN"/>
        </w:rPr>
        <w:t>组织、领导黑社会性质组织犯罪罪犯、</w:t>
      </w:r>
      <w:r>
        <w:rPr>
          <w:rFonts w:hint="eastAsia" w:ascii="仿宋_GB2312" w:hAnsi="仿宋_GB2312" w:cs="仿宋_GB2312"/>
          <w:color w:val="000000"/>
          <w:szCs w:val="32"/>
        </w:rPr>
        <w:t>累犯</w:t>
      </w:r>
      <w:r>
        <w:rPr>
          <w:rFonts w:hint="eastAsia" w:ascii="仿宋_GB2312" w:hAnsi="仿宋_GB2312" w:cs="仿宋_GB2312"/>
          <w:color w:val="000000"/>
          <w:szCs w:val="32"/>
          <w:lang w:val="en-US" w:eastAsia="zh-CN"/>
        </w:rPr>
        <w:t>，因</w:t>
      </w:r>
      <w:r>
        <w:rPr>
          <w:rFonts w:hint="eastAsia" w:ascii="仿宋_GB2312" w:hAnsi="仿宋_GB2312" w:eastAsia="仿宋_GB2312" w:cs="仿宋_GB2312"/>
          <w:kern w:val="32"/>
          <w:sz w:val="32"/>
          <w:szCs w:val="32"/>
          <w:lang w:val="en-US" w:eastAsia="zh-CN" w:bidi="ar"/>
        </w:rPr>
        <w:t>犯</w:t>
      </w:r>
      <w:r>
        <w:rPr>
          <w:rFonts w:hint="eastAsia" w:ascii="仿宋_GB2312" w:hAnsi="仿宋_GB2312" w:cs="仿宋_GB2312"/>
          <w:kern w:val="32"/>
          <w:sz w:val="32"/>
          <w:szCs w:val="32"/>
          <w:lang w:val="en-US" w:eastAsia="zh-CN" w:bidi="ar"/>
        </w:rPr>
        <w:t>抢劫</w:t>
      </w:r>
      <w:r>
        <w:rPr>
          <w:rFonts w:hint="eastAsia" w:ascii="仿宋_GB2312" w:hAnsi="仿宋_GB2312" w:eastAsia="仿宋_GB2312" w:cs="仿宋_GB2312"/>
          <w:kern w:val="32"/>
          <w:sz w:val="32"/>
          <w:szCs w:val="32"/>
          <w:lang w:val="en-US" w:eastAsia="zh-CN" w:bidi="ar"/>
        </w:rPr>
        <w:t>罪被判处</w:t>
      </w:r>
      <w:r>
        <w:rPr>
          <w:rFonts w:hint="eastAsia" w:ascii="仿宋_GB2312" w:hAnsi="仿宋_GB2312" w:cs="仿宋_GB2312"/>
          <w:kern w:val="32"/>
          <w:sz w:val="32"/>
          <w:szCs w:val="32"/>
          <w:lang w:val="en-US" w:eastAsia="zh-CN" w:bidi="ar"/>
        </w:rPr>
        <w:t>十年以上有期徒刑</w:t>
      </w:r>
      <w:r>
        <w:rPr>
          <w:rFonts w:hint="eastAsia" w:ascii="仿宋_GB2312" w:hAnsi="仿宋_GB2312" w:eastAsia="仿宋_GB2312" w:cs="仿宋_GB2312"/>
          <w:kern w:val="32"/>
          <w:sz w:val="32"/>
          <w:szCs w:val="32"/>
          <w:lang w:val="en-US" w:eastAsia="zh-CN" w:bidi="ar"/>
        </w:rPr>
        <w:t>的</w:t>
      </w:r>
      <w:r>
        <w:rPr>
          <w:rFonts w:hint="eastAsia" w:ascii="仿宋_GB2312" w:hAnsi="仿宋_GB2312" w:cs="仿宋_GB2312"/>
          <w:kern w:val="32"/>
          <w:sz w:val="32"/>
          <w:szCs w:val="32"/>
          <w:lang w:val="en-US" w:eastAsia="zh-CN" w:bidi="ar"/>
        </w:rPr>
        <w:t>犯罪</w:t>
      </w:r>
      <w:r>
        <w:rPr>
          <w:rFonts w:hint="eastAsia" w:ascii="仿宋_GB2312" w:hAnsi="仿宋_GB2312" w:eastAsia="仿宋_GB2312" w:cs="仿宋_GB2312"/>
          <w:kern w:val="32"/>
          <w:sz w:val="32"/>
          <w:szCs w:val="32"/>
          <w:lang w:val="en-US" w:eastAsia="zh-CN" w:bidi="ar"/>
        </w:rPr>
        <w:t>罪犯</w:t>
      </w:r>
      <w:r>
        <w:rPr>
          <w:rFonts w:hint="eastAsia" w:ascii="仿宋_GB2312" w:hAnsi="仿宋_GB2312" w:cs="仿宋_GB2312"/>
          <w:kern w:val="32"/>
          <w:sz w:val="32"/>
          <w:szCs w:val="32"/>
          <w:lang w:val="en-US" w:eastAsia="zh-CN" w:bidi="ar"/>
        </w:rPr>
        <w:t>，</w:t>
      </w:r>
      <w:r>
        <w:rPr>
          <w:rFonts w:hint="eastAsia" w:ascii="仿宋_GB2312" w:hAnsi="仿宋_GB2312" w:cs="仿宋_GB2312"/>
          <w:color w:val="000000"/>
          <w:szCs w:val="32"/>
          <w:lang w:val="en-US" w:eastAsia="zh-CN"/>
        </w:rPr>
        <w:t>且财产性判项义务履行金额未达到其个人应履行总额30%，因此提请减刑幅度扣减六个月</w:t>
      </w:r>
      <w:r>
        <w:rPr>
          <w:rFonts w:hint="eastAsia" w:ascii="仿宋_GB2312" w:hAnsi="仿宋_GB2312" w:cs="仿宋_GB2312"/>
          <w:color w:val="000000"/>
          <w:szCs w:val="32"/>
        </w:rPr>
        <w:t>。</w:t>
      </w:r>
    </w:p>
    <w:p>
      <w:pPr>
        <w:pStyle w:val="19"/>
        <w:keepNext w:val="0"/>
        <w:keepLines w:val="0"/>
        <w:pageBreakBefore w:val="0"/>
        <w:widowControl w:val="0"/>
        <w:kinsoku/>
        <w:wordWrap/>
        <w:overflowPunct/>
        <w:topLinePunct w:val="0"/>
        <w:bidi w:val="0"/>
        <w:snapToGrid/>
        <w:spacing w:line="520" w:lineRule="exact"/>
        <w:ind w:firstLine="640"/>
        <w:textAlignment w:val="auto"/>
        <w:rPr>
          <w:rFonts w:hint="eastAsia" w:ascii="仿宋_GB2312" w:hAnsi="仿宋_GB2312" w:cs="仿宋_GB2312"/>
          <w:color w:val="000000"/>
          <w:szCs w:val="32"/>
        </w:rPr>
      </w:pPr>
      <w:r>
        <w:rPr>
          <w:rFonts w:hint="eastAsia" w:ascii="仿宋_GB2312" w:hAnsi="仿宋_GB2312" w:cs="仿宋_GB2312"/>
          <w:color w:val="000000"/>
          <w:szCs w:val="32"/>
        </w:rPr>
        <w:t>本案于2026年4月13日至2026年4月17日在狱内公示未</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color w:val="000000"/>
          <w:szCs w:val="32"/>
          <w:lang w:val="zh-CN"/>
        </w:rPr>
      </w:pPr>
      <w:r>
        <w:rPr>
          <w:rFonts w:hint="eastAsia" w:ascii="仿宋_GB2312" w:hAnsi="仿宋_GB2312" w:cs="仿宋_GB2312"/>
          <w:color w:val="000000"/>
          <w:szCs w:val="32"/>
        </w:rPr>
        <w:t>收到不同意见。</w:t>
      </w:r>
      <w:bookmarkStart w:id="0" w:name="_GoBack"/>
      <w:bookmarkEnd w:id="0"/>
    </w:p>
    <w:sectPr>
      <w:footerReference r:id="rId3" w:type="default"/>
      <w:footerReference r:id="rId4" w:type="even"/>
      <w:pgSz w:w="23811" w:h="16838" w:orient="landscape"/>
      <w:pgMar w:top="1871" w:right="1304" w:bottom="1871" w:left="1587" w:header="1588" w:footer="1587" w:gutter="0"/>
      <w:cols w:equalWidth="0" w:num="2">
        <w:col w:w="8960" w:space="3014"/>
        <w:col w:w="8946"/>
      </w:cols>
      <w:rtlGutter w:val="0"/>
      <w:docGrid w:type="lines" w:linePitch="5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right="320" w:rightChars="100"/>
      <w:rPr>
        <w:rStyle w:val="11"/>
        <w:sz w:val="28"/>
        <w:szCs w:val="28"/>
      </w:rPr>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2042" w:y="1"/>
      <w:rPr>
        <w:rStyle w:val="11"/>
      </w:rPr>
    </w:pPr>
    <w:r>
      <w:fldChar w:fldCharType="begin"/>
    </w:r>
    <w:r>
      <w:rPr>
        <w:rStyle w:val="11"/>
      </w:rPr>
      <w:instrText xml:space="preserve">PAGE  </w:instrText>
    </w:r>
    <w:r>
      <w:fldChar w:fldCharType="separate"/>
    </w:r>
    <w:r>
      <w:rPr>
        <w:rStyle w:val="11"/>
      </w:rPr>
      <w:t>2</w: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oNotHyphenateCaps/>
  <w:drawingGridHorizontalSpacing w:val="287"/>
  <w:drawingGridVerticalSpacing w:val="595"/>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725619"/>
    <w:rsid w:val="00005E44"/>
    <w:rsid w:val="00031252"/>
    <w:rsid w:val="00031BFE"/>
    <w:rsid w:val="000456EC"/>
    <w:rsid w:val="00052AAA"/>
    <w:rsid w:val="000774E6"/>
    <w:rsid w:val="000C78F0"/>
    <w:rsid w:val="00102F5A"/>
    <w:rsid w:val="00123142"/>
    <w:rsid w:val="0014310B"/>
    <w:rsid w:val="001469C7"/>
    <w:rsid w:val="00185013"/>
    <w:rsid w:val="001C11FE"/>
    <w:rsid w:val="001F79E0"/>
    <w:rsid w:val="00204BFC"/>
    <w:rsid w:val="00206433"/>
    <w:rsid w:val="00250316"/>
    <w:rsid w:val="00254BFE"/>
    <w:rsid w:val="0029154A"/>
    <w:rsid w:val="002E78F8"/>
    <w:rsid w:val="00303729"/>
    <w:rsid w:val="00324885"/>
    <w:rsid w:val="00332D2D"/>
    <w:rsid w:val="0033453F"/>
    <w:rsid w:val="003523B1"/>
    <w:rsid w:val="00361AA1"/>
    <w:rsid w:val="003964CB"/>
    <w:rsid w:val="003C0AB1"/>
    <w:rsid w:val="003D2292"/>
    <w:rsid w:val="003E3E45"/>
    <w:rsid w:val="003F2762"/>
    <w:rsid w:val="003F3512"/>
    <w:rsid w:val="00431586"/>
    <w:rsid w:val="00447D4F"/>
    <w:rsid w:val="004666D2"/>
    <w:rsid w:val="00473252"/>
    <w:rsid w:val="004A7022"/>
    <w:rsid w:val="004C741D"/>
    <w:rsid w:val="004F576D"/>
    <w:rsid w:val="004F766A"/>
    <w:rsid w:val="005115AE"/>
    <w:rsid w:val="00514CA7"/>
    <w:rsid w:val="00540A30"/>
    <w:rsid w:val="0056160D"/>
    <w:rsid w:val="005662D1"/>
    <w:rsid w:val="00566EE6"/>
    <w:rsid w:val="005764AC"/>
    <w:rsid w:val="00576B91"/>
    <w:rsid w:val="005A3DBE"/>
    <w:rsid w:val="005C52E8"/>
    <w:rsid w:val="005C5A63"/>
    <w:rsid w:val="005E0652"/>
    <w:rsid w:val="00644E63"/>
    <w:rsid w:val="00674165"/>
    <w:rsid w:val="00686FA0"/>
    <w:rsid w:val="006B3087"/>
    <w:rsid w:val="006B6D41"/>
    <w:rsid w:val="00701F84"/>
    <w:rsid w:val="007312F5"/>
    <w:rsid w:val="007318C1"/>
    <w:rsid w:val="00744AF9"/>
    <w:rsid w:val="0074596A"/>
    <w:rsid w:val="00762D6B"/>
    <w:rsid w:val="00772CE7"/>
    <w:rsid w:val="007803A2"/>
    <w:rsid w:val="007824E9"/>
    <w:rsid w:val="007B1A50"/>
    <w:rsid w:val="007B26AC"/>
    <w:rsid w:val="007B3F4A"/>
    <w:rsid w:val="007C44EE"/>
    <w:rsid w:val="007C7461"/>
    <w:rsid w:val="007E7CB8"/>
    <w:rsid w:val="007F25CC"/>
    <w:rsid w:val="00834658"/>
    <w:rsid w:val="00847439"/>
    <w:rsid w:val="00856EFB"/>
    <w:rsid w:val="00906C85"/>
    <w:rsid w:val="00915EDC"/>
    <w:rsid w:val="009179EA"/>
    <w:rsid w:val="00932021"/>
    <w:rsid w:val="009337AA"/>
    <w:rsid w:val="0094580F"/>
    <w:rsid w:val="00974A7B"/>
    <w:rsid w:val="009838A7"/>
    <w:rsid w:val="009E4A2A"/>
    <w:rsid w:val="00A164D4"/>
    <w:rsid w:val="00A22264"/>
    <w:rsid w:val="00A341E2"/>
    <w:rsid w:val="00A53292"/>
    <w:rsid w:val="00A60825"/>
    <w:rsid w:val="00A727B4"/>
    <w:rsid w:val="00A82DD1"/>
    <w:rsid w:val="00AA0BD6"/>
    <w:rsid w:val="00AC5522"/>
    <w:rsid w:val="00AD1DAD"/>
    <w:rsid w:val="00AD6C2C"/>
    <w:rsid w:val="00AD72EB"/>
    <w:rsid w:val="00AE4319"/>
    <w:rsid w:val="00AF02C7"/>
    <w:rsid w:val="00B33528"/>
    <w:rsid w:val="00B37638"/>
    <w:rsid w:val="00B466AF"/>
    <w:rsid w:val="00B842C0"/>
    <w:rsid w:val="00BA058E"/>
    <w:rsid w:val="00BA4211"/>
    <w:rsid w:val="00C162BF"/>
    <w:rsid w:val="00C26A31"/>
    <w:rsid w:val="00C3573E"/>
    <w:rsid w:val="00C36201"/>
    <w:rsid w:val="00C65752"/>
    <w:rsid w:val="00C657EF"/>
    <w:rsid w:val="00C67BD7"/>
    <w:rsid w:val="00C70726"/>
    <w:rsid w:val="00C95269"/>
    <w:rsid w:val="00CA07D6"/>
    <w:rsid w:val="00CF01C0"/>
    <w:rsid w:val="00D03882"/>
    <w:rsid w:val="00D43D37"/>
    <w:rsid w:val="00D61BEF"/>
    <w:rsid w:val="00D642FC"/>
    <w:rsid w:val="00D73F06"/>
    <w:rsid w:val="00D77FC5"/>
    <w:rsid w:val="00D8083D"/>
    <w:rsid w:val="00DA4E37"/>
    <w:rsid w:val="00DC6627"/>
    <w:rsid w:val="00DC73C9"/>
    <w:rsid w:val="00E16A79"/>
    <w:rsid w:val="00E3271F"/>
    <w:rsid w:val="00E33DBE"/>
    <w:rsid w:val="00E63208"/>
    <w:rsid w:val="00E81E34"/>
    <w:rsid w:val="00EA6E63"/>
    <w:rsid w:val="00EB6233"/>
    <w:rsid w:val="00EC5F5E"/>
    <w:rsid w:val="00ED05E5"/>
    <w:rsid w:val="00EF26A6"/>
    <w:rsid w:val="00F44DFA"/>
    <w:rsid w:val="00F45321"/>
    <w:rsid w:val="00F76A64"/>
    <w:rsid w:val="00F770CB"/>
    <w:rsid w:val="00F900C4"/>
    <w:rsid w:val="00FA3868"/>
    <w:rsid w:val="00FA69C0"/>
    <w:rsid w:val="00FB3B4D"/>
    <w:rsid w:val="00FF3E1E"/>
    <w:rsid w:val="010212D3"/>
    <w:rsid w:val="01752EEC"/>
    <w:rsid w:val="01AC54CC"/>
    <w:rsid w:val="0432222E"/>
    <w:rsid w:val="06F1205B"/>
    <w:rsid w:val="07193A6D"/>
    <w:rsid w:val="083804ED"/>
    <w:rsid w:val="08D8605B"/>
    <w:rsid w:val="09055EDD"/>
    <w:rsid w:val="094B5E78"/>
    <w:rsid w:val="09D65705"/>
    <w:rsid w:val="0C081499"/>
    <w:rsid w:val="0DD146F3"/>
    <w:rsid w:val="0F493760"/>
    <w:rsid w:val="0F7B5746"/>
    <w:rsid w:val="105459B2"/>
    <w:rsid w:val="12DB4186"/>
    <w:rsid w:val="12FA27EF"/>
    <w:rsid w:val="149C6ED6"/>
    <w:rsid w:val="156F6517"/>
    <w:rsid w:val="176B606C"/>
    <w:rsid w:val="17C67BCF"/>
    <w:rsid w:val="17CF1E12"/>
    <w:rsid w:val="1A804B59"/>
    <w:rsid w:val="1C0C3C77"/>
    <w:rsid w:val="1C404351"/>
    <w:rsid w:val="1D436104"/>
    <w:rsid w:val="1DF801B2"/>
    <w:rsid w:val="1F58635D"/>
    <w:rsid w:val="20C6523B"/>
    <w:rsid w:val="23F30F1C"/>
    <w:rsid w:val="247E72A7"/>
    <w:rsid w:val="2494750E"/>
    <w:rsid w:val="251B1BA0"/>
    <w:rsid w:val="264A4F8F"/>
    <w:rsid w:val="26653B78"/>
    <w:rsid w:val="266A70CB"/>
    <w:rsid w:val="27615D27"/>
    <w:rsid w:val="2808627D"/>
    <w:rsid w:val="288973D9"/>
    <w:rsid w:val="2A03587F"/>
    <w:rsid w:val="2A605831"/>
    <w:rsid w:val="2ABA4B49"/>
    <w:rsid w:val="2B485E02"/>
    <w:rsid w:val="2C202412"/>
    <w:rsid w:val="2C2C5328"/>
    <w:rsid w:val="2C91644C"/>
    <w:rsid w:val="2D223842"/>
    <w:rsid w:val="30D47492"/>
    <w:rsid w:val="31192F1A"/>
    <w:rsid w:val="32514AF0"/>
    <w:rsid w:val="32AC3AD3"/>
    <w:rsid w:val="32E36C3E"/>
    <w:rsid w:val="331C7A3F"/>
    <w:rsid w:val="33CA2808"/>
    <w:rsid w:val="33DC12A7"/>
    <w:rsid w:val="343230D5"/>
    <w:rsid w:val="344E0782"/>
    <w:rsid w:val="344F456B"/>
    <w:rsid w:val="346F16AA"/>
    <w:rsid w:val="36AA1AAF"/>
    <w:rsid w:val="373E3AC8"/>
    <w:rsid w:val="38497FF0"/>
    <w:rsid w:val="3A46238F"/>
    <w:rsid w:val="3B142DFB"/>
    <w:rsid w:val="3B790662"/>
    <w:rsid w:val="3BF31E96"/>
    <w:rsid w:val="3BFF6B0B"/>
    <w:rsid w:val="3C310CB7"/>
    <w:rsid w:val="3C322526"/>
    <w:rsid w:val="3D5868FB"/>
    <w:rsid w:val="3DA624D3"/>
    <w:rsid w:val="3DC96F96"/>
    <w:rsid w:val="3F235BE8"/>
    <w:rsid w:val="40094FBB"/>
    <w:rsid w:val="404572B9"/>
    <w:rsid w:val="41662FA6"/>
    <w:rsid w:val="42D65F34"/>
    <w:rsid w:val="44C77B6B"/>
    <w:rsid w:val="459317E9"/>
    <w:rsid w:val="45E81812"/>
    <w:rsid w:val="4617510C"/>
    <w:rsid w:val="46591125"/>
    <w:rsid w:val="480745B8"/>
    <w:rsid w:val="489814E3"/>
    <w:rsid w:val="49A45029"/>
    <w:rsid w:val="4A037E9C"/>
    <w:rsid w:val="4A0E7F9A"/>
    <w:rsid w:val="4A9F7723"/>
    <w:rsid w:val="4B725619"/>
    <w:rsid w:val="4B8F4B2B"/>
    <w:rsid w:val="4CDA310C"/>
    <w:rsid w:val="4CDF1228"/>
    <w:rsid w:val="4D4579D2"/>
    <w:rsid w:val="4E016B22"/>
    <w:rsid w:val="4F2E566D"/>
    <w:rsid w:val="4F454AFF"/>
    <w:rsid w:val="4FFE3514"/>
    <w:rsid w:val="509427E0"/>
    <w:rsid w:val="50CC27E1"/>
    <w:rsid w:val="52782A7B"/>
    <w:rsid w:val="53CC0384"/>
    <w:rsid w:val="55FB3E3B"/>
    <w:rsid w:val="57C03085"/>
    <w:rsid w:val="57D350CB"/>
    <w:rsid w:val="58641705"/>
    <w:rsid w:val="59217EE7"/>
    <w:rsid w:val="599F4978"/>
    <w:rsid w:val="5AA83904"/>
    <w:rsid w:val="5BB77B5F"/>
    <w:rsid w:val="5C145117"/>
    <w:rsid w:val="5CB8517D"/>
    <w:rsid w:val="5CD33A8C"/>
    <w:rsid w:val="5D1C7825"/>
    <w:rsid w:val="5D423C53"/>
    <w:rsid w:val="60334BEA"/>
    <w:rsid w:val="63F85F50"/>
    <w:rsid w:val="643171EC"/>
    <w:rsid w:val="66747437"/>
    <w:rsid w:val="66C84AAE"/>
    <w:rsid w:val="66CC759D"/>
    <w:rsid w:val="66DA0A03"/>
    <w:rsid w:val="67097636"/>
    <w:rsid w:val="67D873D3"/>
    <w:rsid w:val="68C226E4"/>
    <w:rsid w:val="6A302052"/>
    <w:rsid w:val="6A675D10"/>
    <w:rsid w:val="6A8A4AA7"/>
    <w:rsid w:val="6B9133FC"/>
    <w:rsid w:val="6C3D7C4B"/>
    <w:rsid w:val="6D4A7888"/>
    <w:rsid w:val="6E1A7D08"/>
    <w:rsid w:val="6E7064BC"/>
    <w:rsid w:val="6E8E14A3"/>
    <w:rsid w:val="706B694B"/>
    <w:rsid w:val="706D46FB"/>
    <w:rsid w:val="70706C59"/>
    <w:rsid w:val="72363EBB"/>
    <w:rsid w:val="72F92F64"/>
    <w:rsid w:val="733325DD"/>
    <w:rsid w:val="740B34BA"/>
    <w:rsid w:val="77E172B0"/>
    <w:rsid w:val="783E0E99"/>
    <w:rsid w:val="785E3625"/>
    <w:rsid w:val="7B650D27"/>
    <w:rsid w:val="7B972A5D"/>
    <w:rsid w:val="7BA33F9B"/>
    <w:rsid w:val="7C9C14A2"/>
    <w:rsid w:val="7F613BF7"/>
    <w:rsid w:val="7FDC4D7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annotation text"/>
    <w:basedOn w:val="1"/>
    <w:link w:val="13"/>
    <w:qFormat/>
    <w:uiPriority w:val="0"/>
    <w:pPr>
      <w:jc w:val="left"/>
    </w:pPr>
    <w:rPr>
      <w:rFonts w:ascii="Times New Roman" w:hAnsi="Times New Roman"/>
    </w:rPr>
  </w:style>
  <w:style w:type="paragraph" w:styleId="4">
    <w:name w:val="Salutation"/>
    <w:basedOn w:val="1"/>
    <w:next w:val="1"/>
    <w:link w:val="14"/>
    <w:qFormat/>
    <w:uiPriority w:val="99"/>
  </w:style>
  <w:style w:type="paragraph" w:styleId="5">
    <w:name w:val="Balloon Text"/>
    <w:basedOn w:val="1"/>
    <w:link w:val="15"/>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uiPriority w:val="0"/>
    <w:rPr>
      <w:rFonts w:cs="Times New Roman"/>
    </w:rPr>
  </w:style>
  <w:style w:type="character" w:styleId="12">
    <w:name w:val="annotation reference"/>
    <w:basedOn w:val="10"/>
    <w:qFormat/>
    <w:uiPriority w:val="0"/>
    <w:rPr>
      <w:sz w:val="21"/>
      <w:szCs w:val="21"/>
    </w:rPr>
  </w:style>
  <w:style w:type="character" w:customStyle="1" w:styleId="13">
    <w:name w:val="批注文字 Char"/>
    <w:basedOn w:val="10"/>
    <w:link w:val="3"/>
    <w:uiPriority w:val="0"/>
    <w:rPr>
      <w:rFonts w:eastAsia="仿宋_GB2312"/>
      <w:kern w:val="32"/>
      <w:sz w:val="32"/>
    </w:rPr>
  </w:style>
  <w:style w:type="character" w:customStyle="1" w:styleId="14">
    <w:name w:val="称呼 Char"/>
    <w:basedOn w:val="10"/>
    <w:link w:val="4"/>
    <w:qFormat/>
    <w:uiPriority w:val="99"/>
    <w:rPr>
      <w:rFonts w:ascii="Calibri" w:hAnsi="Calibri" w:eastAsia="仿宋_GB2312"/>
      <w:kern w:val="32"/>
      <w:sz w:val="32"/>
    </w:rPr>
  </w:style>
  <w:style w:type="character" w:customStyle="1" w:styleId="15">
    <w:name w:val="批注框文本 Char"/>
    <w:basedOn w:val="10"/>
    <w:link w:val="5"/>
    <w:qFormat/>
    <w:uiPriority w:val="0"/>
    <w:rPr>
      <w:rFonts w:ascii="Calibri" w:hAnsi="Calibri" w:eastAsia="仿宋_GB2312"/>
      <w:kern w:val="32"/>
      <w:sz w:val="18"/>
      <w:szCs w:val="18"/>
    </w:rPr>
  </w:style>
  <w:style w:type="paragraph" w:customStyle="1" w:styleId="16">
    <w:name w:val="大标题"/>
    <w:basedOn w:val="1"/>
    <w:qFormat/>
    <w:uiPriority w:val="0"/>
    <w:pPr>
      <w:snapToGrid w:val="0"/>
      <w:jc w:val="center"/>
    </w:pPr>
    <w:rPr>
      <w:rFonts w:eastAsia="方正大标宋简体"/>
      <w:sz w:val="44"/>
    </w:rPr>
  </w:style>
  <w:style w:type="paragraph" w:customStyle="1" w:styleId="17">
    <w:name w:val="小标题"/>
    <w:basedOn w:val="1"/>
    <w:qFormat/>
    <w:uiPriority w:val="0"/>
    <w:pPr>
      <w:ind w:firstLine="624"/>
    </w:pPr>
    <w:rPr>
      <w:rFonts w:eastAsia="黑体"/>
    </w:rPr>
  </w:style>
  <w:style w:type="paragraph" w:customStyle="1" w:styleId="18">
    <w:name w:val="小小标题"/>
    <w:basedOn w:val="1"/>
    <w:qFormat/>
    <w:uiPriority w:val="0"/>
    <w:pPr>
      <w:ind w:firstLine="624"/>
    </w:pPr>
    <w:rPr>
      <w:rFonts w:eastAsia="楷体_GB2312"/>
      <w:b/>
    </w:rPr>
  </w:style>
  <w:style w:type="paragraph" w:customStyle="1" w:styleId="19">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271</Words>
  <Characters>1548</Characters>
  <Lines>12</Lines>
  <Paragraphs>3</Paragraphs>
  <TotalTime>0</TotalTime>
  <ScaleCrop>false</ScaleCrop>
  <LinksUpToDate>false</LinksUpToDate>
  <CharactersWithSpaces>1816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2019-12-10T02:01:00Z</dcterms:created>
  <dc:creator>郑凯宁</dc:creator>
  <cp:lastModifiedBy>刘海滨</cp:lastModifiedBy>
  <cp:lastPrinted>2025-11-03T01:06:00Z</cp:lastPrinted>
  <dcterms:modified xsi:type="dcterms:W3CDTF">2026-05-25T03:01:46Z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AECFDA7050D240F68624518266AAB9E3</vt:lpwstr>
  </property>
</Properties>
</file>