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500" w:lineRule="exact"/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231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郑木辉</w:t>
      </w:r>
      <w:r>
        <w:rPr>
          <w:rFonts w:hint="eastAsia" w:ascii="仿宋_GB2312" w:hAnsi="Times New Roman"/>
          <w:szCs w:val="32"/>
          <w:lang w:val="en-US" w:eastAsia="zh-CN"/>
        </w:rPr>
        <w:t>，</w:t>
      </w:r>
      <w:r>
        <w:rPr>
          <w:rFonts w:hint="eastAsia" w:ascii="仿宋_GB2312" w:hAnsi="Times New Roman"/>
          <w:szCs w:val="32"/>
        </w:rPr>
        <w:t>男，19</w:t>
      </w:r>
      <w:r>
        <w:rPr>
          <w:rFonts w:hint="eastAsia" w:ascii="仿宋_GB2312" w:hAnsi="Times New Roman"/>
          <w:szCs w:val="32"/>
          <w:lang w:val="en-US" w:eastAsia="zh-CN"/>
        </w:rPr>
        <w:t>52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25</w:t>
      </w:r>
      <w:r>
        <w:rPr>
          <w:rFonts w:hint="eastAsia" w:ascii="仿宋_GB2312" w:hAnsi="Times New Roman"/>
          <w:szCs w:val="32"/>
        </w:rPr>
        <w:t>日出生，汉族，</w:t>
      </w:r>
      <w:r>
        <w:rPr>
          <w:rFonts w:hint="eastAsia" w:ascii="仿宋_GB2312" w:hAnsi="Times New Roman"/>
          <w:szCs w:val="32"/>
          <w:lang w:val="en-US" w:eastAsia="zh-CN"/>
        </w:rPr>
        <w:t>小学文化</w:t>
      </w:r>
      <w:r>
        <w:rPr>
          <w:rFonts w:hint="eastAsia" w:ascii="仿宋_GB2312" w:hAnsi="Times New Roman"/>
          <w:szCs w:val="32"/>
        </w:rPr>
        <w:t>，</w:t>
      </w:r>
      <w:r>
        <w:rPr>
          <w:rFonts w:hint="eastAsia" w:ascii="仿宋_GB2312" w:hAnsi="Times New Roman"/>
          <w:szCs w:val="32"/>
          <w:lang w:eastAsia="zh-CN"/>
        </w:rPr>
        <w:t>家住</w:t>
      </w:r>
      <w:r>
        <w:rPr>
          <w:rFonts w:hint="eastAsia" w:ascii="仿宋_GB2312" w:hAnsi="Times New Roman"/>
          <w:szCs w:val="32"/>
        </w:rPr>
        <w:t>福建省泉州市惠安县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</w:t>
      </w:r>
      <w:r>
        <w:rPr>
          <w:rFonts w:hint="eastAsia" w:ascii="仿宋_GB2312" w:hAnsi="Times New Roman"/>
          <w:szCs w:val="32"/>
          <w:lang w:val="en-US" w:eastAsia="zh-CN"/>
        </w:rPr>
        <w:t>务农</w:t>
      </w:r>
      <w:r>
        <w:rPr>
          <w:rFonts w:hint="eastAsia" w:ascii="仿宋_GB2312" w:hAnsi="Times New Roman"/>
          <w:szCs w:val="32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泉州市</w:t>
      </w:r>
      <w:r>
        <w:rPr>
          <w:rFonts w:hint="eastAsia" w:ascii="仿宋_GB2312" w:hAnsi="Times New Roman"/>
          <w:szCs w:val="32"/>
        </w:rPr>
        <w:t>中级人民法院于20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9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日作出</w:t>
      </w:r>
      <w:r>
        <w:rPr>
          <w:rFonts w:hint="eastAsia" w:ascii="仿宋_GB2312" w:hAnsi="Times New Roman"/>
          <w:szCs w:val="32"/>
          <w:lang w:eastAsia="zh-CN"/>
        </w:rPr>
        <w:t>（</w:t>
      </w:r>
      <w:r>
        <w:rPr>
          <w:rFonts w:hint="eastAsia" w:ascii="仿宋_GB2312" w:hAnsi="Times New Roman"/>
          <w:szCs w:val="32"/>
        </w:rPr>
        <w:t>201</w:t>
      </w:r>
      <w:r>
        <w:rPr>
          <w:rFonts w:hint="eastAsia" w:ascii="仿宋_GB2312" w:hAnsi="Times New Roman"/>
          <w:szCs w:val="32"/>
          <w:lang w:val="en-US" w:eastAsia="zh-CN"/>
        </w:rPr>
        <w:t>9</w:t>
      </w:r>
      <w:r>
        <w:rPr>
          <w:rFonts w:hint="eastAsia" w:ascii="仿宋_GB2312" w:hAnsi="Times New Roman"/>
          <w:szCs w:val="32"/>
          <w:lang w:eastAsia="zh-CN"/>
        </w:rPr>
        <w:t>）</w:t>
      </w:r>
      <w:r>
        <w:rPr>
          <w:rFonts w:hint="eastAsia" w:ascii="仿宋_GB2312" w:hAnsi="Times New Roman"/>
          <w:szCs w:val="32"/>
        </w:rPr>
        <w:t>闽</w:t>
      </w:r>
      <w:r>
        <w:rPr>
          <w:rFonts w:hint="eastAsia" w:ascii="仿宋_GB2312" w:hAnsi="Times New Roman"/>
          <w:szCs w:val="32"/>
          <w:lang w:val="en-US" w:eastAsia="zh-CN"/>
        </w:rPr>
        <w:t>05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51</w:t>
      </w:r>
      <w:r>
        <w:rPr>
          <w:rFonts w:hint="eastAsia" w:ascii="仿宋_GB2312" w:hAnsi="Times New Roman"/>
          <w:szCs w:val="32"/>
        </w:rPr>
        <w:t>号刑事</w:t>
      </w:r>
      <w:r>
        <w:rPr>
          <w:rFonts w:hint="eastAsia" w:ascii="仿宋_GB2312" w:hAnsi="Times New Roman"/>
          <w:szCs w:val="32"/>
          <w:lang w:val="en-US" w:eastAsia="zh-CN"/>
        </w:rPr>
        <w:t>附带民事</w:t>
      </w:r>
      <w:r>
        <w:rPr>
          <w:rFonts w:hint="eastAsia" w:ascii="仿宋_GB2312" w:hAnsi="Times New Roman"/>
          <w:szCs w:val="32"/>
        </w:rPr>
        <w:t>判决，以被告人</w:t>
      </w:r>
      <w:r>
        <w:rPr>
          <w:rFonts w:hint="eastAsia" w:ascii="仿宋_GB2312" w:hAnsi="Times New Roman"/>
          <w:szCs w:val="32"/>
          <w:lang w:eastAsia="zh-CN"/>
        </w:rPr>
        <w:t>郑木辉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Times New Roman"/>
          <w:szCs w:val="32"/>
          <w:lang w:val="en-US" w:eastAsia="zh-CN"/>
        </w:rPr>
        <w:t>故意杀人</w:t>
      </w:r>
      <w:r>
        <w:rPr>
          <w:rFonts w:hint="eastAsia" w:ascii="仿宋_GB2312" w:hAnsi="Times New Roman"/>
          <w:szCs w:val="32"/>
        </w:rPr>
        <w:t>罪，判处</w:t>
      </w:r>
      <w:r>
        <w:rPr>
          <w:rFonts w:hint="eastAsia" w:ascii="仿宋_GB2312" w:hAnsi="Times New Roman"/>
          <w:szCs w:val="32"/>
          <w:lang w:val="en-US" w:eastAsia="zh-CN"/>
        </w:rPr>
        <w:t>死刑，缓期二年执行，剥夺政治权利终身，继续赔偿附带民事诉讼原告人经济损失人民币892361.34元</w:t>
      </w:r>
      <w:r>
        <w:rPr>
          <w:rFonts w:hint="eastAsia" w:ascii="仿宋_GB2312" w:hAnsi="Times New Roman"/>
          <w:szCs w:val="32"/>
        </w:rPr>
        <w:t>。福建省高级人民法院于201</w:t>
      </w:r>
      <w:r>
        <w:rPr>
          <w:rFonts w:hint="eastAsia" w:ascii="仿宋_GB2312" w:hAnsi="Times New Roman"/>
          <w:szCs w:val="32"/>
          <w:lang w:val="en-US" w:eastAsia="zh-CN"/>
        </w:rPr>
        <w:t>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日作出（201</w:t>
      </w:r>
      <w:r>
        <w:rPr>
          <w:rFonts w:hint="eastAsia" w:ascii="仿宋_GB2312" w:hAnsi="Times New Roman"/>
          <w:szCs w:val="32"/>
          <w:lang w:val="en-US" w:eastAsia="zh-CN"/>
        </w:rPr>
        <w:t>9</w:t>
      </w:r>
      <w:r>
        <w:rPr>
          <w:rFonts w:hint="eastAsia" w:ascii="仿宋_GB2312" w:hAnsi="Times New Roman"/>
          <w:szCs w:val="32"/>
        </w:rPr>
        <w:t>）闽刑</w:t>
      </w:r>
      <w:r>
        <w:rPr>
          <w:rFonts w:hint="eastAsia" w:ascii="仿宋_GB2312" w:hAnsi="Times New Roman"/>
          <w:szCs w:val="32"/>
          <w:lang w:val="en-US" w:eastAsia="zh-CN"/>
        </w:rPr>
        <w:t>核21741809</w:t>
      </w:r>
      <w:r>
        <w:rPr>
          <w:rFonts w:hint="eastAsia" w:ascii="仿宋_GB2312" w:hAnsi="Times New Roman"/>
          <w:szCs w:val="32"/>
        </w:rPr>
        <w:t>号刑事裁定</w:t>
      </w:r>
      <w:r>
        <w:rPr>
          <w:rFonts w:hint="eastAsia" w:ascii="仿宋_GB2312" w:hAnsi="Times New Roman"/>
          <w:szCs w:val="32"/>
          <w:lang w:val="en-US" w:eastAsia="zh-CN"/>
        </w:rPr>
        <w:t>，核准</w:t>
      </w: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泉州市中级人民法院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Times New Roman"/>
          <w:szCs w:val="32"/>
          <w:lang w:val="en-US" w:eastAsia="zh-CN"/>
        </w:rPr>
        <w:t>（2019）闽05刑初51号的刑事判决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Times New Roman"/>
          <w:szCs w:val="32"/>
          <w:lang w:val="en-US" w:eastAsia="zh-CN"/>
        </w:rPr>
        <w:t>死刑，缓期二年执行考验期自2020年1月3日至2022年1月2日届满。判决生效后，于</w:t>
      </w:r>
      <w:r>
        <w:rPr>
          <w:rFonts w:hint="eastAsia" w:ascii="仿宋_GB2312" w:hAnsi="Times New Roman"/>
          <w:szCs w:val="32"/>
        </w:rPr>
        <w:t>20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15</w:t>
      </w:r>
      <w:r>
        <w:rPr>
          <w:rFonts w:hint="eastAsia" w:ascii="仿宋_GB2312" w:hAnsi="Times New Roman"/>
          <w:szCs w:val="32"/>
        </w:rPr>
        <w:t>日交付福建省厦门监狱执行刑罚。</w:t>
      </w:r>
      <w:r>
        <w:rPr>
          <w:rFonts w:hint="eastAsia" w:ascii="仿宋_GB2312" w:hAnsi="Times New Roman"/>
          <w:szCs w:val="32"/>
          <w:lang w:val="en-US" w:eastAsia="zh-CN"/>
        </w:rPr>
        <w:t>2022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25</w:t>
      </w:r>
      <w:r>
        <w:rPr>
          <w:rFonts w:hint="eastAsia" w:ascii="仿宋_GB2312" w:hAnsi="Times New Roman"/>
          <w:szCs w:val="32"/>
        </w:rPr>
        <w:t>日福建省</w:t>
      </w:r>
      <w:r>
        <w:rPr>
          <w:rFonts w:hint="eastAsia" w:ascii="仿宋_GB2312" w:hAnsi="Times New Roman"/>
          <w:szCs w:val="32"/>
          <w:lang w:val="en-US" w:eastAsia="zh-CN"/>
        </w:rPr>
        <w:t>高级</w:t>
      </w:r>
      <w:r>
        <w:rPr>
          <w:rFonts w:hint="eastAsia" w:ascii="仿宋_GB2312" w:hAnsi="Times New Roman"/>
          <w:szCs w:val="32"/>
        </w:rPr>
        <w:t>人民法院以（202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）闽刑更</w:t>
      </w:r>
      <w:r>
        <w:rPr>
          <w:rFonts w:hint="eastAsia" w:ascii="仿宋_GB2312" w:hAnsi="Times New Roman"/>
          <w:szCs w:val="32"/>
          <w:lang w:val="en-US" w:eastAsia="zh-CN"/>
        </w:rPr>
        <w:t>264</w:t>
      </w:r>
      <w:r>
        <w:rPr>
          <w:rFonts w:hint="eastAsia" w:ascii="仿宋_GB2312" w:hAnsi="Times New Roman"/>
          <w:szCs w:val="32"/>
        </w:rPr>
        <w:t>号刑事裁定，</w:t>
      </w:r>
      <w:r>
        <w:rPr>
          <w:rFonts w:hint="eastAsia" w:ascii="仿宋_GB2312" w:hAnsi="Times New Roman"/>
          <w:szCs w:val="32"/>
          <w:lang w:eastAsia="zh-CN"/>
        </w:rPr>
        <w:t>将其</w:t>
      </w:r>
      <w:r>
        <w:rPr>
          <w:rFonts w:hint="eastAsia" w:ascii="仿宋_GB2312" w:hAnsi="Times New Roman"/>
          <w:szCs w:val="32"/>
        </w:rPr>
        <w:t>减</w:t>
      </w:r>
      <w:r>
        <w:rPr>
          <w:rFonts w:hint="eastAsia" w:ascii="仿宋_GB2312" w:hAnsi="Times New Roman"/>
          <w:szCs w:val="32"/>
          <w:lang w:val="en-US" w:eastAsia="zh-CN"/>
        </w:rPr>
        <w:t>为无期徒刑</w:t>
      </w:r>
      <w:r>
        <w:rPr>
          <w:rFonts w:hint="eastAsia" w:ascii="仿宋_GB2312" w:hAnsi="Times New Roman"/>
          <w:szCs w:val="32"/>
        </w:rPr>
        <w:t>，剥夺政治权利</w:t>
      </w:r>
      <w:r>
        <w:rPr>
          <w:rFonts w:hint="eastAsia" w:ascii="仿宋_GB2312" w:hAnsi="Times New Roman"/>
          <w:szCs w:val="32"/>
          <w:lang w:val="en-US" w:eastAsia="zh-CN"/>
        </w:rPr>
        <w:t>终身</w:t>
      </w:r>
      <w:r>
        <w:rPr>
          <w:rFonts w:hint="eastAsia" w:ascii="仿宋_GB2312" w:hAnsi="Times New Roman"/>
          <w:szCs w:val="32"/>
        </w:rPr>
        <w:t>不变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  <w:lang w:val="en-US" w:eastAsia="zh-CN"/>
        </w:rPr>
        <w:t>于</w:t>
      </w:r>
      <w:r>
        <w:rPr>
          <w:rFonts w:hint="eastAsia" w:ascii="仿宋_GB2312" w:hAnsi="Times New Roman"/>
          <w:szCs w:val="32"/>
        </w:rPr>
        <w:t>202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8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23</w:t>
      </w:r>
      <w:r>
        <w:rPr>
          <w:rFonts w:hint="eastAsia" w:ascii="仿宋_GB2312" w:hAnsi="Times New Roman"/>
          <w:szCs w:val="32"/>
        </w:rPr>
        <w:t>日送达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  <w:lang w:val="en-US" w:eastAsia="zh-CN"/>
        </w:rPr>
        <w:t>现</w:t>
      </w:r>
      <w:r>
        <w:rPr>
          <w:rFonts w:hint="eastAsia" w:ascii="仿宋_GB2312" w:hAnsi="Times New Roman"/>
          <w:szCs w:val="32"/>
        </w:rPr>
        <w:t>属</w:t>
      </w:r>
      <w:r>
        <w:rPr>
          <w:rFonts w:hint="eastAsia" w:ascii="仿宋_GB2312"/>
          <w:szCs w:val="32"/>
        </w:rPr>
        <w:t>普</w:t>
      </w:r>
      <w:r>
        <w:rPr>
          <w:rFonts w:hint="eastAsia" w:ascii="仿宋_GB2312"/>
          <w:szCs w:val="32"/>
          <w:lang w:val="en-US" w:eastAsia="zh-CN"/>
        </w:rPr>
        <w:t>管</w:t>
      </w:r>
      <w:r>
        <w:rPr>
          <w:rFonts w:hint="eastAsia" w:ascii="仿宋_GB2312"/>
          <w:szCs w:val="32"/>
        </w:rPr>
        <w:t>级</w:t>
      </w:r>
      <w:r>
        <w:rPr>
          <w:rFonts w:hint="eastAsia" w:ascii="仿宋_GB2312" w:hAnsi="Times New Roman"/>
          <w:szCs w:val="32"/>
        </w:rPr>
        <w:t>罪犯。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罪犯郑木辉在死刑，缓期二年执行期间没有故意犯罪行为，无期徒刑期间确有悔改表现，改造表现如下</w:t>
      </w:r>
      <w:r>
        <w:rPr>
          <w:rFonts w:hint="eastAsia" w:ascii="仿宋_GB2312"/>
          <w:szCs w:val="32"/>
        </w:rPr>
        <w:t>：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</w:t>
      </w:r>
      <w:r>
        <w:rPr>
          <w:rFonts w:hint="eastAsia" w:ascii="仿宋_GB2312"/>
          <w:szCs w:val="32"/>
          <w:lang w:eastAsia="zh-CN"/>
        </w:rPr>
        <w:t>该犯</w:t>
      </w:r>
      <w:r>
        <w:rPr>
          <w:rFonts w:hint="eastAsia" w:ascii="仿宋_GB2312"/>
          <w:szCs w:val="32"/>
          <w:lang w:val="en-US" w:eastAsia="zh-CN"/>
        </w:rPr>
        <w:t>是老病犯，双眼看不见，无法正常书写，</w:t>
      </w:r>
      <w:r>
        <w:rPr>
          <w:rFonts w:hint="eastAsia" w:ascii="仿宋_GB2312"/>
          <w:szCs w:val="32"/>
        </w:rPr>
        <w:t>认罪悔罪书</w:t>
      </w:r>
      <w:r>
        <w:rPr>
          <w:rFonts w:hint="eastAsia" w:ascii="仿宋_GB2312"/>
          <w:szCs w:val="32"/>
          <w:lang w:eastAsia="zh-CN"/>
        </w:rPr>
        <w:t>是本人口述，由他犯代写完成</w:t>
      </w:r>
      <w:r>
        <w:rPr>
          <w:rFonts w:hint="eastAsia" w:ascii="仿宋_GB2312"/>
          <w:szCs w:val="32"/>
        </w:rPr>
        <w:t>。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/>
          <w:szCs w:val="32"/>
          <w:lang w:val="en-US" w:eastAsia="zh-CN"/>
        </w:rPr>
        <w:t>考核期间有违规行为，经民警教育后，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</w:t>
      </w:r>
      <w:r>
        <w:rPr>
          <w:rFonts w:hint="eastAsia" w:ascii="仿宋_GB2312"/>
          <w:szCs w:val="32"/>
          <w:lang w:val="en-US" w:eastAsia="zh-CN"/>
        </w:rPr>
        <w:t>有</w:t>
      </w:r>
      <w:r>
        <w:rPr>
          <w:rFonts w:hint="eastAsia" w:ascii="仿宋_GB2312"/>
          <w:szCs w:val="32"/>
        </w:rPr>
        <w:t>参加</w:t>
      </w:r>
      <w:r>
        <w:rPr>
          <w:rFonts w:hint="eastAsia" w:ascii="仿宋_GB2312"/>
          <w:szCs w:val="32"/>
          <w:lang w:val="en-US" w:eastAsia="zh-CN"/>
        </w:rPr>
        <w:t>力所能及的</w:t>
      </w:r>
      <w:r>
        <w:rPr>
          <w:rFonts w:hint="eastAsia" w:ascii="仿宋_GB2312"/>
          <w:szCs w:val="32"/>
        </w:rPr>
        <w:t>劳动改造。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0" w:leftChars="0" w:firstLine="640" w:firstLineChars="200"/>
        <w:jc w:val="left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2192.5</w:t>
      </w:r>
      <w:r>
        <w:rPr>
          <w:rFonts w:hint="eastAsia" w:ascii="仿宋_GB2312" w:hAnsi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月至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/>
          <w:szCs w:val="32"/>
          <w:lang w:val="en-US" w:eastAsia="zh-CN"/>
        </w:rPr>
        <w:t>4670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rFonts w:hint="eastAsia" w:ascii="仿宋_GB2312"/>
          <w:szCs w:val="32"/>
          <w:lang w:val="en-US" w:eastAsia="zh-CN"/>
        </w:rPr>
        <w:t>6862.5</w:t>
      </w:r>
      <w:r>
        <w:rPr>
          <w:rFonts w:hint="eastAsia" w:ascii="仿宋_GB2312" w:hAnsi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szCs w:val="32"/>
          <w:lang w:eastAsia="zh-CN"/>
        </w:rPr>
        <w:t>折合</w:t>
      </w:r>
      <w:r>
        <w:rPr>
          <w:rFonts w:hint="eastAsia" w:ascii="仿宋_GB2312" w:hAnsi="仿宋_GB2312" w:cs="仿宋_GB2312"/>
          <w:bCs/>
          <w:szCs w:val="32"/>
        </w:rPr>
        <w:t>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物质奖励1次</w:t>
      </w:r>
      <w:r>
        <w:rPr>
          <w:rFonts w:hint="eastAsia" w:ascii="仿宋_GB2312" w:hAnsi="仿宋_GB2312" w:cs="仿宋_GB2312"/>
          <w:bCs/>
          <w:szCs w:val="32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月无违规扣分，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月至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该犯</w:t>
      </w:r>
      <w:r>
        <w:rPr>
          <w:rFonts w:hint="eastAsia" w:ascii="仿宋_GB2312" w:eastAsia="仿宋_GB2312"/>
          <w:kern w:val="32"/>
          <w:sz w:val="32"/>
          <w:szCs w:val="32"/>
          <w:lang w:eastAsia="zh-CN"/>
        </w:rPr>
        <w:t>原判</w:t>
      </w:r>
      <w:r>
        <w:rPr>
          <w:rFonts w:hint="eastAsia" w:ascii="仿宋_GB2312" w:eastAsia="仿宋_GB2312"/>
          <w:kern w:val="32"/>
          <w:sz w:val="32"/>
          <w:szCs w:val="32"/>
        </w:rPr>
        <w:t>财产性判项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继续赔偿附带民事经济损失892361.34元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已履行9329.79元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。考核期月均消费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135.05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元，账户可</w:t>
      </w:r>
      <w:r>
        <w:rPr>
          <w:rFonts w:hint="eastAsia" w:ascii="仿宋_GB2312" w:eastAsia="仿宋_GB2312"/>
          <w:kern w:val="32"/>
          <w:sz w:val="32"/>
          <w:szCs w:val="32"/>
        </w:rPr>
        <w:t>用余额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350.15</w:t>
      </w:r>
      <w:r>
        <w:rPr>
          <w:rFonts w:hint="eastAsia" w:ascii="仿宋_GB2312" w:eastAsia="仿宋_GB2312"/>
          <w:kern w:val="32"/>
          <w:sz w:val="32"/>
          <w:szCs w:val="32"/>
        </w:rPr>
        <w:t>元。福建省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泉州</w:t>
      </w:r>
      <w:r>
        <w:rPr>
          <w:rFonts w:hint="eastAsia" w:ascii="仿宋_GB2312" w:eastAsia="仿宋_GB2312"/>
          <w:kern w:val="32"/>
          <w:sz w:val="32"/>
          <w:szCs w:val="32"/>
        </w:rPr>
        <w:t>市中级人民法院复函：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一、各项财产性判项履行到位金额为9329.79元；二、目前暂未发现执行阶段存在拒不交代赃款、赃物去向情形；三、目前暂未发现执行阶段存在隐瞒、藏匿、转移财产情形；四、目前暂未发现执行阶段存在妨害财产性判项执行情形；五、经执行系统网络查控暂无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该犯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系因犯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故意杀人</w:t>
      </w:r>
      <w:r>
        <w:rPr>
          <w:rFonts w:hint="eastAsia" w:ascii="仿宋" w:hAnsi="仿宋" w:eastAsia="仿宋" w:cs="仿宋"/>
          <w:sz w:val="32"/>
          <w:szCs w:val="32"/>
        </w:rPr>
        <w:t>罪，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被</w:t>
      </w:r>
      <w:r>
        <w:rPr>
          <w:rFonts w:hint="eastAsia" w:ascii="仿宋" w:hAnsi="仿宋" w:eastAsia="仿宋" w:cs="仿宋"/>
          <w:sz w:val="32"/>
          <w:szCs w:val="32"/>
        </w:rPr>
        <w:t>判处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死刑，缓期二年执行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属于从严掌握减刑对象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0" w:leftChars="0"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13</w:t>
      </w:r>
      <w:r>
        <w:rPr>
          <w:rFonts w:hint="eastAsia" w:ascii="仿宋_GB2312" w:hAnsi="Times New Roman"/>
          <w:szCs w:val="32"/>
          <w:highlight w:val="none"/>
        </w:rPr>
        <w:t>日至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17</w:t>
      </w:r>
      <w:r>
        <w:rPr>
          <w:rFonts w:hint="eastAsia" w:ascii="仿宋_GB2312" w:hAnsi="Times New Roman"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</w:rPr>
      </w:pPr>
      <w:r>
        <w:rPr>
          <w:rFonts w:hint="eastAsia" w:ascii="仿宋_GB2312" w:eastAsia="仿宋_GB2312"/>
          <w:kern w:val="32"/>
          <w:sz w:val="32"/>
          <w:szCs w:val="32"/>
        </w:rPr>
        <w:t>因此，依照《中华人民共和国刑法》第五十七条、第</w:t>
      </w:r>
      <w:r>
        <w:rPr>
          <w:rFonts w:hint="eastAsia" w:ascii="仿宋_GB2312" w:eastAsia="仿宋_GB2312"/>
          <w:kern w:val="32"/>
          <w:sz w:val="32"/>
          <w:szCs w:val="32"/>
          <w:highlight w:val="none"/>
        </w:rPr>
        <w:t>七十</w:t>
      </w:r>
      <w:r>
        <w:rPr>
          <w:rFonts w:hint="eastAsia" w:ascii="仿宋_GB2312" w:eastAsia="仿宋_GB2312"/>
          <w:kern w:val="32"/>
          <w:sz w:val="32"/>
          <w:szCs w:val="32"/>
          <w:highlight w:val="none"/>
          <w:lang w:eastAsia="zh-CN"/>
        </w:rPr>
        <w:t>八</w:t>
      </w:r>
      <w:r>
        <w:rPr>
          <w:rFonts w:hint="eastAsia" w:ascii="仿宋_GB2312" w:eastAsia="仿宋_GB2312"/>
          <w:kern w:val="32"/>
          <w:sz w:val="32"/>
          <w:szCs w:val="32"/>
        </w:rPr>
        <w:t>条</w:t>
      </w:r>
      <w:r>
        <w:rPr>
          <w:rFonts w:hint="eastAsia" w:ascii="仿宋_GB2312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kern w:val="32"/>
          <w:sz w:val="32"/>
          <w:szCs w:val="32"/>
        </w:rPr>
        <w:t>《中华人民共和国刑事诉讼法》第二百七十三条第二款和《中华人民共和国监狱法》第二十九条</w:t>
      </w:r>
      <w:r>
        <w:rPr>
          <w:rFonts w:hint="eastAsia" w:ascii="仿宋_GB2312" w:eastAsia="仿宋_GB2312"/>
          <w:kern w:val="32"/>
          <w:sz w:val="32"/>
          <w:szCs w:val="32"/>
          <w:lang w:eastAsia="zh-CN"/>
        </w:rPr>
        <w:t>之</w:t>
      </w:r>
      <w:r>
        <w:rPr>
          <w:rFonts w:hint="eastAsia" w:ascii="仿宋_GB2312" w:eastAsia="仿宋_GB2312"/>
          <w:kern w:val="32"/>
          <w:sz w:val="32"/>
          <w:szCs w:val="32"/>
        </w:rPr>
        <w:t>规定，建议对罪犯</w:t>
      </w:r>
      <w:r>
        <w:rPr>
          <w:rFonts w:hint="eastAsia" w:ascii="仿宋_GB2312" w:eastAsia="仿宋_GB2312"/>
          <w:kern w:val="32"/>
          <w:sz w:val="32"/>
          <w:szCs w:val="32"/>
          <w:lang w:eastAsia="zh-CN"/>
        </w:rPr>
        <w:t>郑木辉</w:t>
      </w:r>
      <w:r>
        <w:rPr>
          <w:rFonts w:hint="eastAsia" w:ascii="仿宋_GB2312" w:eastAsia="仿宋_GB2312"/>
          <w:kern w:val="32"/>
          <w:sz w:val="32"/>
          <w:szCs w:val="32"/>
        </w:rPr>
        <w:t>减为有期徒刑二十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kern w:val="32"/>
          <w:sz w:val="32"/>
          <w:szCs w:val="32"/>
        </w:rPr>
        <w:t>年，剥夺政治权利改为十年。特提请你院审理裁定。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 w:firstLine="614" w:firstLineChars="192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高级</w:t>
      </w:r>
      <w:r>
        <w:rPr>
          <w:rFonts w:hint="eastAsia" w:ascii="仿宋_GB2312" w:hAnsi="Times New Roman"/>
          <w:szCs w:val="32"/>
        </w:rPr>
        <w:t>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附件：⒈罪犯</w:t>
      </w:r>
      <w:r>
        <w:rPr>
          <w:rFonts w:hint="eastAsia" w:ascii="仿宋_GB2312" w:hAnsi="Times New Roman"/>
          <w:szCs w:val="32"/>
          <w:lang w:eastAsia="zh-CN"/>
        </w:rPr>
        <w:t>郑木辉</w:t>
      </w:r>
      <w:r>
        <w:rPr>
          <w:rFonts w:hint="eastAsia" w:ascii="仿宋_GB2312" w:hAnsi="Times New Roman"/>
          <w:szCs w:val="32"/>
        </w:rPr>
        <w:t>卷宗</w:t>
      </w:r>
      <w:r>
        <w:rPr>
          <w:rFonts w:hint="eastAsia" w:ascii="仿宋_GB2312" w:hAnsi="Times New Roman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 w:firstLine="1600" w:firstLineChars="500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⒉减刑建议书2份</w:t>
      </w:r>
    </w:p>
    <w:p>
      <w:pPr>
        <w:pStyle w:val="10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460" w:lineRule="exact"/>
        <w:ind w:right="796" w:rightChars="379" w:firstLine="614" w:firstLineChars="192"/>
        <w:jc w:val="right"/>
        <w:textAlignment w:val="auto"/>
        <w:rPr>
          <w:rFonts w:hint="eastAsia" w:ascii="Times New Roman" w:hAnsi="Times New Roman" w:eastAsia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福建省厦门监狱</w:t>
      </w:r>
      <w:r>
        <w:rPr>
          <w:rFonts w:hint="eastAsia" w:ascii="Times New Roman" w:hAnsi="Times New Roman"/>
          <w:szCs w:val="32"/>
          <w:lang w:val="en-US"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840" w:rightChars="400"/>
        <w:jc w:val="righ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Times New Roman" w:hAnsi="Times New Roman"/>
          <w:szCs w:val="32"/>
          <w:highlight w:val="none"/>
        </w:rPr>
        <w:t>年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/>
          <w:szCs w:val="32"/>
          <w:highlight w:val="none"/>
        </w:rPr>
        <w:t>月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/>
          <w:szCs w:val="32"/>
          <w:highlight w:val="none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0941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5DE2"/>
    <w:rsid w:val="001E07D0"/>
    <w:rsid w:val="002207D9"/>
    <w:rsid w:val="00253F32"/>
    <w:rsid w:val="00265862"/>
    <w:rsid w:val="002770B4"/>
    <w:rsid w:val="002E2694"/>
    <w:rsid w:val="002F437E"/>
    <w:rsid w:val="00304D09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D6934"/>
    <w:rsid w:val="004E3A18"/>
    <w:rsid w:val="00504620"/>
    <w:rsid w:val="00513CFB"/>
    <w:rsid w:val="00514F54"/>
    <w:rsid w:val="0054246B"/>
    <w:rsid w:val="00552324"/>
    <w:rsid w:val="00587C7D"/>
    <w:rsid w:val="005D2C4A"/>
    <w:rsid w:val="005E0D68"/>
    <w:rsid w:val="005E192D"/>
    <w:rsid w:val="005E6AF1"/>
    <w:rsid w:val="00605C49"/>
    <w:rsid w:val="00617101"/>
    <w:rsid w:val="006471F4"/>
    <w:rsid w:val="0069168D"/>
    <w:rsid w:val="00691ED5"/>
    <w:rsid w:val="006A5587"/>
    <w:rsid w:val="006B2846"/>
    <w:rsid w:val="006B5BC3"/>
    <w:rsid w:val="006C2089"/>
    <w:rsid w:val="00721283"/>
    <w:rsid w:val="00732FA1"/>
    <w:rsid w:val="00735C6D"/>
    <w:rsid w:val="00742B6E"/>
    <w:rsid w:val="00746586"/>
    <w:rsid w:val="00770C9D"/>
    <w:rsid w:val="00796644"/>
    <w:rsid w:val="007B516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C54AF"/>
    <w:rsid w:val="009D3B7B"/>
    <w:rsid w:val="009F216C"/>
    <w:rsid w:val="00A0312A"/>
    <w:rsid w:val="00A06536"/>
    <w:rsid w:val="00A264F4"/>
    <w:rsid w:val="00A50891"/>
    <w:rsid w:val="00A84702"/>
    <w:rsid w:val="00A90E99"/>
    <w:rsid w:val="00AD272D"/>
    <w:rsid w:val="00B047F6"/>
    <w:rsid w:val="00B07CFC"/>
    <w:rsid w:val="00B109FE"/>
    <w:rsid w:val="00B62DAF"/>
    <w:rsid w:val="00B6489B"/>
    <w:rsid w:val="00BC38F6"/>
    <w:rsid w:val="00BD0BAE"/>
    <w:rsid w:val="00BE1B05"/>
    <w:rsid w:val="00C0154A"/>
    <w:rsid w:val="00C04820"/>
    <w:rsid w:val="00C07F4B"/>
    <w:rsid w:val="00C2138F"/>
    <w:rsid w:val="00C31AD2"/>
    <w:rsid w:val="00C44659"/>
    <w:rsid w:val="00C471A6"/>
    <w:rsid w:val="00C5454D"/>
    <w:rsid w:val="00C86B6F"/>
    <w:rsid w:val="00CA164D"/>
    <w:rsid w:val="00CA6C8D"/>
    <w:rsid w:val="00CC479B"/>
    <w:rsid w:val="00D41706"/>
    <w:rsid w:val="00D451E7"/>
    <w:rsid w:val="00D54B9F"/>
    <w:rsid w:val="00D62E0F"/>
    <w:rsid w:val="00D66476"/>
    <w:rsid w:val="00DC28D6"/>
    <w:rsid w:val="00E04035"/>
    <w:rsid w:val="00E37DF9"/>
    <w:rsid w:val="00E43610"/>
    <w:rsid w:val="00E4461B"/>
    <w:rsid w:val="00E60C8A"/>
    <w:rsid w:val="00E61A85"/>
    <w:rsid w:val="00E7763B"/>
    <w:rsid w:val="00E807FC"/>
    <w:rsid w:val="00E93478"/>
    <w:rsid w:val="00EA06F9"/>
    <w:rsid w:val="00EC2C95"/>
    <w:rsid w:val="00ED353A"/>
    <w:rsid w:val="00ED35EB"/>
    <w:rsid w:val="00EE3D60"/>
    <w:rsid w:val="00F00B8F"/>
    <w:rsid w:val="00F23380"/>
    <w:rsid w:val="00F2669F"/>
    <w:rsid w:val="00F5328B"/>
    <w:rsid w:val="00F747E9"/>
    <w:rsid w:val="00F8441A"/>
    <w:rsid w:val="00F96A98"/>
    <w:rsid w:val="00FA4566"/>
    <w:rsid w:val="00FD3B18"/>
    <w:rsid w:val="00FF2087"/>
    <w:rsid w:val="01347A59"/>
    <w:rsid w:val="067661BE"/>
    <w:rsid w:val="06DB1A65"/>
    <w:rsid w:val="07387F67"/>
    <w:rsid w:val="0AA250A3"/>
    <w:rsid w:val="0AA636C9"/>
    <w:rsid w:val="0EB74C97"/>
    <w:rsid w:val="11192861"/>
    <w:rsid w:val="12610334"/>
    <w:rsid w:val="15BC4872"/>
    <w:rsid w:val="176B4CA8"/>
    <w:rsid w:val="18953C01"/>
    <w:rsid w:val="1A4E1CCE"/>
    <w:rsid w:val="1BF76EE6"/>
    <w:rsid w:val="227A5C9D"/>
    <w:rsid w:val="24995926"/>
    <w:rsid w:val="28EE384A"/>
    <w:rsid w:val="298237D3"/>
    <w:rsid w:val="30767363"/>
    <w:rsid w:val="310C7299"/>
    <w:rsid w:val="32FB3E76"/>
    <w:rsid w:val="360207E9"/>
    <w:rsid w:val="383C377E"/>
    <w:rsid w:val="39201119"/>
    <w:rsid w:val="398C4910"/>
    <w:rsid w:val="39D46E39"/>
    <w:rsid w:val="3DE10D33"/>
    <w:rsid w:val="3FA4607B"/>
    <w:rsid w:val="40AF44CE"/>
    <w:rsid w:val="4679477B"/>
    <w:rsid w:val="47B3111C"/>
    <w:rsid w:val="47C013E8"/>
    <w:rsid w:val="48C45B8F"/>
    <w:rsid w:val="49F42AD9"/>
    <w:rsid w:val="4C7076A6"/>
    <w:rsid w:val="4CCE4E9E"/>
    <w:rsid w:val="547A32A8"/>
    <w:rsid w:val="56B469BB"/>
    <w:rsid w:val="56F712AD"/>
    <w:rsid w:val="5B1F41C6"/>
    <w:rsid w:val="5B2A3511"/>
    <w:rsid w:val="5C102537"/>
    <w:rsid w:val="5D0B3384"/>
    <w:rsid w:val="5D431A40"/>
    <w:rsid w:val="5E446D0A"/>
    <w:rsid w:val="65D97967"/>
    <w:rsid w:val="66FC550E"/>
    <w:rsid w:val="67F66454"/>
    <w:rsid w:val="68710755"/>
    <w:rsid w:val="6A8F2181"/>
    <w:rsid w:val="6D88464B"/>
    <w:rsid w:val="6F6F5A26"/>
    <w:rsid w:val="6F9470A3"/>
    <w:rsid w:val="6FBF25B7"/>
    <w:rsid w:val="796953A6"/>
    <w:rsid w:val="7AC3458C"/>
    <w:rsid w:val="7BE377DB"/>
    <w:rsid w:val="7DC35C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7">
    <w:name w:val="页码 New"/>
    <w:qFormat/>
    <w:uiPriority w:val="0"/>
    <w:rPr>
      <w:rFonts w:cs="Times New Roman"/>
    </w:rPr>
  </w:style>
  <w:style w:type="character" w:customStyle="1" w:styleId="8">
    <w:name w:val="页码 New New"/>
    <w:qFormat/>
    <w:uiPriority w:val="0"/>
    <w:rPr>
      <w:rFonts w:cs="Times New Roman"/>
    </w:rPr>
  </w:style>
  <w:style w:type="paragraph" w:customStyle="1" w:styleId="9">
    <w:name w:val="称呼 New New"/>
    <w:basedOn w:val="10"/>
    <w:next w:val="10"/>
    <w:qFormat/>
    <w:uiPriority w:val="0"/>
  </w:style>
  <w:style w:type="paragraph" w:customStyle="1" w:styleId="10">
    <w:name w:val="正文 New New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1">
    <w:name w:val="正文 New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2">
    <w:name w:val="称呼 New"/>
    <w:basedOn w:val="11"/>
    <w:next w:val="11"/>
    <w:qFormat/>
    <w:uiPriority w:val="0"/>
  </w:style>
  <w:style w:type="paragraph" w:customStyle="1" w:styleId="13">
    <w:name w:val="页脚 New"/>
    <w:basedOn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"/>
    <w:basedOn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5">
    <w:name w:val="页脚 New New New"/>
    <w:basedOn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6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">
    <w:name w:val="页眉 New"/>
    <w:basedOn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8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2026\&#24314;&#35758;&#20070;\2&#25913;&#65288;&#25130;1&#12289;&#25130;2&#65289;\3.8.&#30452;&#20108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156</Words>
  <Characters>890</Characters>
  <Lines>7</Lines>
  <Paragraphs>2</Paragraphs>
  <TotalTime>5</TotalTime>
  <ScaleCrop>false</ScaleCrop>
  <LinksUpToDate>false</LinksUpToDate>
  <CharactersWithSpaces>1044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刘海滨</cp:lastModifiedBy>
  <cp:lastPrinted>2026-04-30T06:30:00Z</cp:lastPrinted>
  <dcterms:modified xsi:type="dcterms:W3CDTF">2026-05-25T03:04:41Z</dcterms:modified>
  <dc:title>福建省XX监狱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6616F7DB70294641956C78724FEE3042</vt:lpwstr>
  </property>
</Properties>
</file>