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8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〔2026〕闽厦狱减字第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333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罪犯杨开芝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ascii="仿宋_GB2312"/>
          <w:szCs w:val="32"/>
        </w:rPr>
        <w:t>1972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25日</w:t>
      </w:r>
      <w:r>
        <w:rPr>
          <w:rFonts w:hint="eastAsia" w:ascii="仿宋_GB2312"/>
          <w:szCs w:val="32"/>
        </w:rPr>
        <w:t>出生，汉族，初中文化，</w:t>
      </w:r>
      <w:r>
        <w:rPr>
          <w:rFonts w:hint="eastAsia" w:ascii="仿宋_GB2312"/>
          <w:szCs w:val="32"/>
          <w:lang w:val="en-US" w:eastAsia="zh-CN"/>
        </w:rPr>
        <w:t>住</w:t>
      </w:r>
      <w:r>
        <w:rPr>
          <w:rFonts w:hint="eastAsia" w:ascii="仿宋_GB2312" w:hAnsi="宋体"/>
          <w:sz w:val="28"/>
          <w:szCs w:val="28"/>
        </w:rPr>
        <w:t>四</w:t>
      </w:r>
      <w:r>
        <w:rPr>
          <w:rFonts w:hint="eastAsia" w:ascii="仿宋_GB2312"/>
          <w:szCs w:val="32"/>
        </w:rPr>
        <w:t>川省广安市岳池县</w:t>
      </w:r>
      <w:bookmarkStart w:id="0" w:name="_GoBack"/>
      <w:bookmarkEnd w:id="0"/>
      <w:r>
        <w:rPr>
          <w:rFonts w:hint="eastAsia" w:ascii="仿宋_GB2312"/>
          <w:szCs w:val="32"/>
        </w:rPr>
        <w:t>，捕前无业。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福建省漳州市中级人民法院于</w:t>
      </w:r>
      <w:r>
        <w:rPr>
          <w:rFonts w:hint="eastAsia" w:ascii="仿宋_GB2312"/>
          <w:szCs w:val="32"/>
          <w:lang w:val="en-US" w:eastAsia="zh-CN"/>
        </w:rPr>
        <w:t>2018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日作出(</w:t>
      </w:r>
      <w:r>
        <w:rPr>
          <w:rFonts w:hint="eastAsia" w:ascii="仿宋_GB2312"/>
          <w:szCs w:val="32"/>
          <w:lang w:val="en-US" w:eastAsia="zh-CN"/>
        </w:rPr>
        <w:t>2017</w:t>
      </w:r>
      <w:r>
        <w:rPr>
          <w:rFonts w:hint="eastAsia" w:ascii="仿宋_GB2312"/>
          <w:szCs w:val="32"/>
        </w:rPr>
        <w:t>)闽06刑初</w:t>
      </w:r>
      <w:r>
        <w:rPr>
          <w:rFonts w:hint="eastAsia" w:ascii="仿宋_GB2312"/>
          <w:szCs w:val="32"/>
          <w:lang w:val="en-US" w:eastAsia="zh-CN"/>
        </w:rPr>
        <w:t>56</w:t>
      </w:r>
      <w:r>
        <w:rPr>
          <w:rFonts w:hint="eastAsia" w:ascii="仿宋_GB2312"/>
          <w:szCs w:val="32"/>
        </w:rPr>
        <w:t>号刑事判决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以被告人杨开芝犯制造毒品罪，判处无期徒刑，剥夺政治权利终身，</w:t>
      </w:r>
      <w:r>
        <w:rPr>
          <w:rFonts w:hint="eastAsia" w:ascii="仿宋_GB2312"/>
          <w:szCs w:val="32"/>
          <w:lang w:val="en-US" w:eastAsia="zh-CN"/>
        </w:rPr>
        <w:t>并处</w:t>
      </w:r>
      <w:r>
        <w:rPr>
          <w:rFonts w:hint="eastAsia" w:ascii="仿宋_GB2312"/>
          <w:szCs w:val="32"/>
        </w:rPr>
        <w:t>没收个人全部财产。</w:t>
      </w:r>
      <w:r>
        <w:rPr>
          <w:rFonts w:hint="eastAsia" w:ascii="仿宋_GB2312"/>
          <w:szCs w:val="32"/>
          <w:lang w:val="en-US" w:eastAsia="zh-CN"/>
        </w:rPr>
        <w:t>该犯及同案犯不服，提出上诉。</w:t>
      </w:r>
      <w:r>
        <w:rPr>
          <w:rFonts w:hint="eastAsia" w:ascii="仿宋_GB2312"/>
          <w:szCs w:val="32"/>
        </w:rPr>
        <w:t>福建省高级人民法院于20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日作出(</w:t>
      </w:r>
      <w:r>
        <w:rPr>
          <w:rFonts w:hint="eastAsia" w:ascii="仿宋_GB2312"/>
          <w:szCs w:val="32"/>
          <w:lang w:val="en-US" w:eastAsia="zh-CN"/>
        </w:rPr>
        <w:t>2018</w:t>
      </w:r>
      <w:r>
        <w:rPr>
          <w:rFonts w:hint="eastAsia" w:ascii="仿宋_GB2312"/>
          <w:szCs w:val="32"/>
        </w:rPr>
        <w:t>)闽刑终</w:t>
      </w:r>
      <w:r>
        <w:rPr>
          <w:rFonts w:hint="eastAsia" w:ascii="仿宋_GB2312"/>
          <w:szCs w:val="32"/>
          <w:lang w:val="en-US" w:eastAsia="zh-CN"/>
        </w:rPr>
        <w:t>247</w:t>
      </w:r>
      <w:r>
        <w:rPr>
          <w:rFonts w:hint="eastAsia" w:ascii="仿宋_GB2312"/>
          <w:szCs w:val="32"/>
        </w:rPr>
        <w:t>号刑事</w:t>
      </w:r>
      <w:r>
        <w:rPr>
          <w:rFonts w:hint="eastAsia" w:ascii="仿宋_GB2312"/>
          <w:szCs w:val="32"/>
          <w:lang w:val="en-US" w:eastAsia="zh-CN"/>
        </w:rPr>
        <w:t>裁定，鉴于上诉人可能存在漏罪，裁定撤销</w:t>
      </w:r>
      <w:r>
        <w:rPr>
          <w:rFonts w:hint="eastAsia" w:ascii="仿宋_GB2312"/>
          <w:szCs w:val="32"/>
        </w:rPr>
        <w:t>漳州市中级人民法院(</w:t>
      </w:r>
      <w:r>
        <w:rPr>
          <w:rFonts w:hint="eastAsia" w:ascii="仿宋_GB2312"/>
          <w:szCs w:val="32"/>
          <w:lang w:val="en-US" w:eastAsia="zh-CN"/>
        </w:rPr>
        <w:t>2017</w:t>
      </w:r>
      <w:r>
        <w:rPr>
          <w:rFonts w:hint="eastAsia" w:ascii="仿宋_GB2312"/>
          <w:szCs w:val="32"/>
        </w:rPr>
        <w:t>)闽06刑初</w:t>
      </w:r>
      <w:r>
        <w:rPr>
          <w:rFonts w:hint="eastAsia" w:ascii="仿宋_GB2312"/>
          <w:szCs w:val="32"/>
          <w:lang w:val="en-US" w:eastAsia="zh-CN"/>
        </w:rPr>
        <w:t>56</w:t>
      </w:r>
      <w:r>
        <w:rPr>
          <w:rFonts w:hint="eastAsia" w:ascii="仿宋_GB2312"/>
          <w:szCs w:val="32"/>
        </w:rPr>
        <w:t>号刑事判决</w:t>
      </w:r>
      <w:r>
        <w:rPr>
          <w:rFonts w:hint="eastAsia" w:ascii="仿宋_GB2312"/>
          <w:szCs w:val="32"/>
          <w:lang w:val="en-US" w:eastAsia="zh-CN"/>
        </w:rPr>
        <w:t>，发回重审。</w:t>
      </w:r>
      <w:r>
        <w:rPr>
          <w:rFonts w:hint="eastAsia" w:ascii="仿宋_GB2312"/>
          <w:szCs w:val="32"/>
        </w:rPr>
        <w:t>福建省漳州市中级人民法院于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日作出(</w:t>
      </w:r>
      <w:r>
        <w:rPr>
          <w:rFonts w:hint="eastAsia" w:ascii="仿宋_GB2312"/>
          <w:szCs w:val="32"/>
          <w:lang w:val="en-US" w:eastAsia="zh-CN"/>
        </w:rPr>
        <w:t>2019</w:t>
      </w:r>
      <w:r>
        <w:rPr>
          <w:rFonts w:hint="eastAsia" w:ascii="仿宋_GB2312"/>
          <w:szCs w:val="32"/>
        </w:rPr>
        <w:t>)闽06刑初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号刑事判决，以被告人杨开芝犯制造毒品罪，判处无期徒刑，剥夺政治权利终身，</w:t>
      </w:r>
      <w:r>
        <w:rPr>
          <w:rFonts w:hint="eastAsia" w:ascii="仿宋_GB2312"/>
          <w:szCs w:val="32"/>
          <w:lang w:val="en-US" w:eastAsia="zh-CN"/>
        </w:rPr>
        <w:t>并处</w:t>
      </w:r>
      <w:r>
        <w:rPr>
          <w:rFonts w:hint="eastAsia" w:ascii="仿宋_GB2312"/>
          <w:szCs w:val="32"/>
        </w:rPr>
        <w:t>没收个人全部财产。</w:t>
      </w:r>
      <w:r>
        <w:rPr>
          <w:rFonts w:hint="eastAsia" w:ascii="仿宋_GB2312"/>
          <w:szCs w:val="32"/>
          <w:lang w:val="en-US" w:eastAsia="zh-CN"/>
        </w:rPr>
        <w:t>扣押在案的毒品氯胺酮165.0814千克、面包车一辆、轿车三辆、手机三部、制毒工具及制毒原料等物品予以没收。</w:t>
      </w:r>
      <w:r>
        <w:rPr>
          <w:rFonts w:hint="eastAsia" w:ascii="仿宋_GB2312"/>
          <w:szCs w:val="32"/>
        </w:rPr>
        <w:t>该犯</w:t>
      </w:r>
      <w:r>
        <w:rPr>
          <w:rFonts w:hint="eastAsia" w:ascii="仿宋_GB2312"/>
          <w:szCs w:val="32"/>
          <w:lang w:val="en-US" w:eastAsia="zh-CN"/>
        </w:rPr>
        <w:t>及同案犯</w:t>
      </w:r>
      <w:r>
        <w:rPr>
          <w:rFonts w:hint="eastAsia" w:ascii="仿宋_GB2312"/>
          <w:szCs w:val="32"/>
        </w:rPr>
        <w:t>不服，提出上诉。福建省高级人民法院于2022年3月15日作出</w:t>
      </w:r>
      <w:r>
        <w:rPr>
          <w:rFonts w:hint="eastAsia" w:ascii="仿宋_GB2312"/>
          <w:szCs w:val="32"/>
          <w:lang w:val="en-US" w:eastAsia="zh-CN"/>
        </w:rPr>
        <w:t>(</w:t>
      </w:r>
      <w:r>
        <w:rPr>
          <w:rFonts w:hint="eastAsia" w:ascii="仿宋_GB2312"/>
          <w:szCs w:val="32"/>
        </w:rPr>
        <w:t>2021</w:t>
      </w:r>
      <w:r>
        <w:rPr>
          <w:rFonts w:hint="eastAsia" w:ascii="仿宋_GB2312"/>
          <w:szCs w:val="32"/>
          <w:lang w:val="en-US" w:eastAsia="zh-CN"/>
        </w:rPr>
        <w:t>)</w:t>
      </w:r>
      <w:r>
        <w:rPr>
          <w:rFonts w:hint="eastAsia" w:ascii="仿宋_GB2312"/>
          <w:szCs w:val="32"/>
        </w:rPr>
        <w:t>闽刑终167号刑事</w:t>
      </w:r>
      <w:r>
        <w:rPr>
          <w:rFonts w:hint="eastAsia" w:ascii="仿宋_GB2312"/>
          <w:szCs w:val="32"/>
          <w:lang w:val="en-US" w:eastAsia="zh-CN"/>
        </w:rPr>
        <w:t>裁定</w:t>
      </w:r>
      <w:r>
        <w:rPr>
          <w:rFonts w:hint="eastAsia" w:ascii="仿宋_GB2312"/>
          <w:szCs w:val="32"/>
        </w:rPr>
        <w:t>，驳回上诉，维持原判。刑期自2022年3月28日起。2023年8月9日交付福建省厦门监狱执行刑罚。属普管级罪犯。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20"/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20"/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20"/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20"/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ascii="仿宋_GB2312" w:hAnsi="仿宋_GB2312" w:cs="仿宋_GB2312"/>
          <w:bCs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</w:t>
      </w:r>
      <w:r>
        <w:rPr>
          <w:rFonts w:hint="eastAsia" w:ascii="仿宋_GB2312" w:hAnsi="仿宋_GB2312" w:cs="仿宋_GB2312"/>
          <w:bCs/>
          <w:szCs w:val="32"/>
          <w:lang w:val="zh-CN"/>
        </w:rPr>
        <w:t>改造：能参加劳动，努力完成劳动任务。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" w:cs="宋体"/>
          <w:szCs w:val="32"/>
          <w:lang w:val="zh-CN"/>
        </w:rPr>
        <w:t>该犯考核期2023年8月9日至202</w:t>
      </w:r>
      <w:r>
        <w:rPr>
          <w:rFonts w:hint="eastAsia" w:ascii="仿宋_GB2312" w:hAnsi="仿宋" w:cs="宋体"/>
          <w:szCs w:val="32"/>
        </w:rPr>
        <w:t>6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</w:rPr>
        <w:t>3</w:t>
      </w:r>
      <w:r>
        <w:rPr>
          <w:rFonts w:hint="eastAsia" w:ascii="仿宋_GB2312" w:hAnsi="仿宋" w:cs="宋体"/>
          <w:szCs w:val="32"/>
          <w:lang w:val="zh-CN"/>
        </w:rPr>
        <w:t>月累计获考核分2</w:t>
      </w:r>
      <w:r>
        <w:rPr>
          <w:rFonts w:hint="eastAsia" w:ascii="仿宋_GB2312" w:hAnsi="仿宋" w:cs="宋体"/>
          <w:szCs w:val="32"/>
        </w:rPr>
        <w:t>9</w:t>
      </w:r>
      <w:r>
        <w:rPr>
          <w:rFonts w:hint="eastAsia" w:ascii="仿宋_GB2312" w:hAnsi="仿宋" w:cs="宋体"/>
          <w:szCs w:val="32"/>
          <w:lang w:val="zh-CN"/>
        </w:rPr>
        <w:t>47.5分，表扬4次；无违规扣分。</w:t>
      </w:r>
    </w:p>
    <w:p>
      <w:pPr>
        <w:pStyle w:val="20"/>
        <w:keepNext w:val="0"/>
        <w:keepLines w:val="0"/>
        <w:pageBreakBefore w:val="0"/>
        <w:kinsoku/>
        <w:overflowPunct/>
        <w:topLinePunct w:val="0"/>
        <w:bidi w:val="0"/>
        <w:snapToGrid/>
        <w:spacing w:line="480" w:lineRule="exact"/>
        <w:ind w:firstLine="640"/>
        <w:jc w:val="left"/>
        <w:textAlignment w:val="auto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该犯原判财产性判项未履行。</w:t>
      </w:r>
      <w:r>
        <w:rPr>
          <w:rFonts w:hint="eastAsia" w:ascii="仿宋_GB2312"/>
          <w:szCs w:val="32"/>
        </w:rPr>
        <w:t>该犯考核期月均消费人民币</w:t>
      </w: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97.83</w:t>
      </w:r>
      <w:r>
        <w:rPr>
          <w:rFonts w:hint="eastAsia" w:ascii="仿宋_GB2312"/>
          <w:szCs w:val="32"/>
        </w:rPr>
        <w:t>元，账户可用余额人民币424.25元。</w:t>
      </w:r>
      <w:r>
        <w:rPr>
          <w:rFonts w:hint="eastAsia" w:ascii="仿宋_GB2312"/>
          <w:szCs w:val="32"/>
          <w:lang w:val="en-US" w:eastAsia="zh-CN"/>
        </w:rPr>
        <w:t>福建省漳州市中级人民法院2025年8月20日作出的执行裁定书载明：</w:t>
      </w:r>
      <w:r>
        <w:rPr>
          <w:rFonts w:hint="eastAsia" w:ascii="仿宋_GB2312" w:cs="Times New Roman"/>
          <w:szCs w:val="32"/>
        </w:rPr>
        <w:t>终结（2025)闽06执181号一案中杨开芝的执行</w:t>
      </w:r>
      <w:r>
        <w:rPr>
          <w:rFonts w:hint="eastAsia" w:ascii="仿宋_GB2312" w:cs="Times New Roman"/>
          <w:szCs w:val="32"/>
          <w:lang w:eastAsia="zh-CN"/>
        </w:rPr>
        <w:t>。</w:t>
      </w:r>
      <w:r>
        <w:rPr>
          <w:rFonts w:hint="eastAsia" w:ascii="仿宋_GB2312"/>
          <w:szCs w:val="32"/>
          <w:lang w:val="en-US" w:eastAsia="zh-CN"/>
        </w:rPr>
        <w:t>福建省漳州市中级人民法院于2025年12月18日复函载明：未查找到杨开芝向本院缴交款项，未发现杨开芝存在拒不交待赃款、赃物去向情形，未发现杨开芝存在隐瞒、藏匿、转移财产情节，未发现杨开芝存在妨害财产性判项执行情节。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12</w:t>
      </w:r>
      <w:r>
        <w:rPr>
          <w:rFonts w:hint="eastAsia" w:ascii="仿宋_GB2312"/>
          <w:szCs w:val="32"/>
          <w:highlight w:val="none"/>
        </w:rPr>
        <w:t>日至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18</w:t>
      </w:r>
      <w:r>
        <w:rPr>
          <w:rFonts w:hint="eastAsia" w:ascii="仿宋_GB2312"/>
          <w:szCs w:val="32"/>
          <w:highlight w:val="none"/>
        </w:rPr>
        <w:t>日</w:t>
      </w:r>
      <w:r>
        <w:rPr>
          <w:rFonts w:hint="eastAsia" w:ascii="仿宋_GB2312" w:hAnsi="Times New Roman"/>
          <w:szCs w:val="32"/>
        </w:rPr>
        <w:t>在狱内公示未收到不同意见。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《中华人民共和国刑法》第五十七条、第七十八条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《中华人民共和国刑事诉讼法》第二百七十三条第二款和《中华人民共和国监狱法》第二十九条规定，建议对罪犯杨开芝减为有期徒刑二十二年，剥夺政治权利改为十年。特提请你院审理裁定。</w:t>
      </w:r>
    </w:p>
    <w:p>
      <w:pPr>
        <w:pStyle w:val="4"/>
        <w:keepNext w:val="0"/>
        <w:keepLines w:val="0"/>
        <w:pageBreakBefore w:val="0"/>
        <w:kinsoku/>
        <w:overflowPunct/>
        <w:topLinePunct w:val="0"/>
        <w:bidi w:val="0"/>
        <w:snapToGrid/>
        <w:spacing w:line="48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20"/>
        <w:keepNext w:val="0"/>
        <w:keepLines w:val="0"/>
        <w:pageBreakBefore w:val="0"/>
        <w:kinsoku/>
        <w:overflowPunct/>
        <w:topLinePunct w:val="0"/>
        <w:bidi w:val="0"/>
        <w:snapToGrid/>
        <w:spacing w:line="480" w:lineRule="exact"/>
        <w:ind w:right="-48" w:rightChars="-15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福建省高级人民法院</w:t>
      </w:r>
    </w:p>
    <w:p>
      <w:pPr>
        <w:pStyle w:val="20"/>
        <w:keepNext w:val="0"/>
        <w:keepLines w:val="0"/>
        <w:pageBreakBefore w:val="0"/>
        <w:kinsoku/>
        <w:overflowPunct/>
        <w:topLinePunct w:val="0"/>
        <w:bidi w:val="0"/>
        <w:snapToGrid/>
        <w:spacing w:line="48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cs="仿宋_GB2312"/>
          <w:szCs w:val="32"/>
        </w:rPr>
        <w:t>附件：⒈</w:t>
      </w:r>
      <w:r>
        <w:rPr>
          <w:rFonts w:hint="eastAsia" w:ascii="仿宋_GB2312" w:hAnsi="仿宋_GB2312" w:cs="仿宋_GB2312"/>
          <w:szCs w:val="32"/>
        </w:rPr>
        <w:t>罪犯杨开芝卷宗2册</w:t>
      </w:r>
    </w:p>
    <w:p>
      <w:pPr>
        <w:pStyle w:val="20"/>
        <w:keepNext w:val="0"/>
        <w:keepLines w:val="0"/>
        <w:pageBreakBefore w:val="0"/>
        <w:kinsoku/>
        <w:overflowPunct/>
        <w:topLinePunct w:val="0"/>
        <w:bidi w:val="0"/>
        <w:snapToGrid/>
        <w:spacing w:line="48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⒉减刑建议书2份</w:t>
      </w:r>
    </w:p>
    <w:p>
      <w:pPr>
        <w:pStyle w:val="4"/>
        <w:keepNext w:val="0"/>
        <w:keepLines w:val="0"/>
        <w:pageBreakBefore w:val="0"/>
        <w:kinsoku/>
        <w:overflowPunct/>
        <w:topLinePunct w:val="0"/>
        <w:bidi w:val="0"/>
        <w:snapToGrid/>
        <w:spacing w:line="480" w:lineRule="exact"/>
        <w:ind w:left="640" w:right="-48" w:rightChars="-15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480" w:lineRule="exact"/>
        <w:jc w:val="left"/>
        <w:textAlignment w:val="auto"/>
      </w:pPr>
    </w:p>
    <w:p>
      <w:pPr>
        <w:pStyle w:val="4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exact"/>
        <w:ind w:right="624" w:rightChars="195"/>
        <w:jc w:val="righ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监狱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624" w:rightChars="195"/>
        <w:jc w:val="righ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pStyle w:val="4"/>
        <w:keepNext w:val="0"/>
        <w:keepLines w:val="0"/>
        <w:pageBreakBefore w:val="0"/>
        <w:kinsoku/>
        <w:overflowPunct/>
        <w:topLinePunct w:val="0"/>
        <w:bidi w:val="0"/>
        <w:snapToGrid/>
        <w:spacing w:line="480" w:lineRule="exact"/>
        <w:ind w:right="1280" w:rightChars="400"/>
        <w:jc w:val="right"/>
        <w:textAlignment w:val="auto"/>
        <w:rPr>
          <w:rFonts w:ascii="Times New Roman" w:hAnsi="Times New Roman"/>
          <w:szCs w:val="32"/>
        </w:rPr>
      </w:pPr>
    </w:p>
    <w:sectPr>
      <w:footerReference r:id="rId3" w:type="default"/>
      <w:footerReference r:id="rId4" w:type="even"/>
      <w:pgSz w:w="11907" w:h="16840"/>
      <w:pgMar w:top="1560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outside" w:y="1"/>
      <w:ind w:left="320" w:leftChars="100" w:right="320" w:rightChars="100"/>
      <w:rPr>
        <w:rStyle w:val="11"/>
        <w:sz w:val="28"/>
        <w:szCs w:val="28"/>
      </w:rPr>
    </w:pPr>
    <w:r>
      <w:rPr>
        <w:rStyle w:val="11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11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11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11"/>
        <w:sz w:val="28"/>
        <w:szCs w:val="28"/>
      </w:rPr>
      <w:t xml:space="preserve"> —</w:t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page" w:x="2042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2</w:t>
    </w:r>
    <w: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oNotHyphenateCaps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B725619"/>
    <w:rsid w:val="00005E44"/>
    <w:rsid w:val="00031252"/>
    <w:rsid w:val="00031BFE"/>
    <w:rsid w:val="000456EC"/>
    <w:rsid w:val="00052AAA"/>
    <w:rsid w:val="000C78F0"/>
    <w:rsid w:val="001140A9"/>
    <w:rsid w:val="0014000D"/>
    <w:rsid w:val="0014310B"/>
    <w:rsid w:val="001469C7"/>
    <w:rsid w:val="0017101A"/>
    <w:rsid w:val="00185013"/>
    <w:rsid w:val="001A3103"/>
    <w:rsid w:val="001B4ED7"/>
    <w:rsid w:val="001C11FE"/>
    <w:rsid w:val="001F3782"/>
    <w:rsid w:val="00204BFC"/>
    <w:rsid w:val="00206433"/>
    <w:rsid w:val="00231292"/>
    <w:rsid w:val="00250316"/>
    <w:rsid w:val="00254BFE"/>
    <w:rsid w:val="0029154A"/>
    <w:rsid w:val="002E78F8"/>
    <w:rsid w:val="00303729"/>
    <w:rsid w:val="00324885"/>
    <w:rsid w:val="00332D2D"/>
    <w:rsid w:val="0033453F"/>
    <w:rsid w:val="003523B1"/>
    <w:rsid w:val="00361AA1"/>
    <w:rsid w:val="00374B30"/>
    <w:rsid w:val="003879F0"/>
    <w:rsid w:val="003C0AB1"/>
    <w:rsid w:val="003C3519"/>
    <w:rsid w:val="003D2292"/>
    <w:rsid w:val="003E0767"/>
    <w:rsid w:val="003E3E45"/>
    <w:rsid w:val="00431586"/>
    <w:rsid w:val="00447D4F"/>
    <w:rsid w:val="004666D2"/>
    <w:rsid w:val="00473252"/>
    <w:rsid w:val="004752DE"/>
    <w:rsid w:val="004A7022"/>
    <w:rsid w:val="004B62A2"/>
    <w:rsid w:val="004D4D0D"/>
    <w:rsid w:val="004D7572"/>
    <w:rsid w:val="004F576D"/>
    <w:rsid w:val="004F766A"/>
    <w:rsid w:val="005115AE"/>
    <w:rsid w:val="00516A4E"/>
    <w:rsid w:val="00534271"/>
    <w:rsid w:val="00540A30"/>
    <w:rsid w:val="00556683"/>
    <w:rsid w:val="005662D1"/>
    <w:rsid w:val="00566EE6"/>
    <w:rsid w:val="005764AC"/>
    <w:rsid w:val="005A3DBE"/>
    <w:rsid w:val="005C5A63"/>
    <w:rsid w:val="005E0652"/>
    <w:rsid w:val="00633CB0"/>
    <w:rsid w:val="00644E63"/>
    <w:rsid w:val="006651FB"/>
    <w:rsid w:val="00674165"/>
    <w:rsid w:val="00686FA0"/>
    <w:rsid w:val="006B2E87"/>
    <w:rsid w:val="006B3087"/>
    <w:rsid w:val="006D2A65"/>
    <w:rsid w:val="00701F84"/>
    <w:rsid w:val="007115A0"/>
    <w:rsid w:val="007312F5"/>
    <w:rsid w:val="007318C1"/>
    <w:rsid w:val="00762D6B"/>
    <w:rsid w:val="00772CE7"/>
    <w:rsid w:val="007803A2"/>
    <w:rsid w:val="007824E9"/>
    <w:rsid w:val="0078779B"/>
    <w:rsid w:val="007B26AC"/>
    <w:rsid w:val="007B3F4A"/>
    <w:rsid w:val="007C0B22"/>
    <w:rsid w:val="007C44EE"/>
    <w:rsid w:val="007C7461"/>
    <w:rsid w:val="007E7CB8"/>
    <w:rsid w:val="007F25CC"/>
    <w:rsid w:val="00834658"/>
    <w:rsid w:val="00847439"/>
    <w:rsid w:val="00856EFB"/>
    <w:rsid w:val="00891E30"/>
    <w:rsid w:val="008947DD"/>
    <w:rsid w:val="008A14FA"/>
    <w:rsid w:val="008A773E"/>
    <w:rsid w:val="008D2F31"/>
    <w:rsid w:val="008D5124"/>
    <w:rsid w:val="00906C85"/>
    <w:rsid w:val="00915EDC"/>
    <w:rsid w:val="009179EA"/>
    <w:rsid w:val="00932021"/>
    <w:rsid w:val="009337AA"/>
    <w:rsid w:val="0094580F"/>
    <w:rsid w:val="00974A7B"/>
    <w:rsid w:val="009805EC"/>
    <w:rsid w:val="009838A7"/>
    <w:rsid w:val="00983B8E"/>
    <w:rsid w:val="00991516"/>
    <w:rsid w:val="009E4A2A"/>
    <w:rsid w:val="009F04CE"/>
    <w:rsid w:val="00A164D4"/>
    <w:rsid w:val="00A341E2"/>
    <w:rsid w:val="00A53292"/>
    <w:rsid w:val="00A66504"/>
    <w:rsid w:val="00A727B4"/>
    <w:rsid w:val="00AA6445"/>
    <w:rsid w:val="00AC0940"/>
    <w:rsid w:val="00AC5522"/>
    <w:rsid w:val="00AD1DAD"/>
    <w:rsid w:val="00AE16A7"/>
    <w:rsid w:val="00AE4319"/>
    <w:rsid w:val="00B30208"/>
    <w:rsid w:val="00B33528"/>
    <w:rsid w:val="00B37638"/>
    <w:rsid w:val="00B827EE"/>
    <w:rsid w:val="00B842C0"/>
    <w:rsid w:val="00BA058E"/>
    <w:rsid w:val="00BA4211"/>
    <w:rsid w:val="00BC7595"/>
    <w:rsid w:val="00BE1E4C"/>
    <w:rsid w:val="00BE6386"/>
    <w:rsid w:val="00C149B0"/>
    <w:rsid w:val="00C26A31"/>
    <w:rsid w:val="00C36201"/>
    <w:rsid w:val="00C65752"/>
    <w:rsid w:val="00C70726"/>
    <w:rsid w:val="00C72DDE"/>
    <w:rsid w:val="00C95269"/>
    <w:rsid w:val="00CF01C0"/>
    <w:rsid w:val="00D03882"/>
    <w:rsid w:val="00D11C77"/>
    <w:rsid w:val="00D43D37"/>
    <w:rsid w:val="00D441C3"/>
    <w:rsid w:val="00D642FC"/>
    <w:rsid w:val="00D73F06"/>
    <w:rsid w:val="00D77FC5"/>
    <w:rsid w:val="00D8083D"/>
    <w:rsid w:val="00DA4E37"/>
    <w:rsid w:val="00DC6627"/>
    <w:rsid w:val="00DC73C9"/>
    <w:rsid w:val="00DF3545"/>
    <w:rsid w:val="00E07D17"/>
    <w:rsid w:val="00E16A79"/>
    <w:rsid w:val="00E6012D"/>
    <w:rsid w:val="00E63208"/>
    <w:rsid w:val="00E81E34"/>
    <w:rsid w:val="00EA6E63"/>
    <w:rsid w:val="00ED05E5"/>
    <w:rsid w:val="00EF26A6"/>
    <w:rsid w:val="00F0731F"/>
    <w:rsid w:val="00F271B9"/>
    <w:rsid w:val="00F45321"/>
    <w:rsid w:val="00F577DD"/>
    <w:rsid w:val="00F60865"/>
    <w:rsid w:val="00F937CF"/>
    <w:rsid w:val="00FA3868"/>
    <w:rsid w:val="00FA69C0"/>
    <w:rsid w:val="00FB3B4D"/>
    <w:rsid w:val="00FF3E1E"/>
    <w:rsid w:val="010212D3"/>
    <w:rsid w:val="01752EEC"/>
    <w:rsid w:val="01AC54CC"/>
    <w:rsid w:val="038601B1"/>
    <w:rsid w:val="0432222E"/>
    <w:rsid w:val="05B062A9"/>
    <w:rsid w:val="06F1205B"/>
    <w:rsid w:val="07193A6D"/>
    <w:rsid w:val="08D8605B"/>
    <w:rsid w:val="09055EDD"/>
    <w:rsid w:val="094B5E78"/>
    <w:rsid w:val="09D65705"/>
    <w:rsid w:val="0C0014B2"/>
    <w:rsid w:val="0C081499"/>
    <w:rsid w:val="0D4A2FE5"/>
    <w:rsid w:val="0DD146F3"/>
    <w:rsid w:val="0F7B5746"/>
    <w:rsid w:val="105459B2"/>
    <w:rsid w:val="109401F4"/>
    <w:rsid w:val="12DB4186"/>
    <w:rsid w:val="12FA27EF"/>
    <w:rsid w:val="149C6ED6"/>
    <w:rsid w:val="156F6517"/>
    <w:rsid w:val="169C764A"/>
    <w:rsid w:val="17C67BCF"/>
    <w:rsid w:val="17CF1E12"/>
    <w:rsid w:val="1A804B59"/>
    <w:rsid w:val="1C0C3C77"/>
    <w:rsid w:val="1D436104"/>
    <w:rsid w:val="1DF801B2"/>
    <w:rsid w:val="1F58635D"/>
    <w:rsid w:val="207F2CD7"/>
    <w:rsid w:val="23F30F1C"/>
    <w:rsid w:val="247E72A7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AFA09E7"/>
    <w:rsid w:val="2B485E02"/>
    <w:rsid w:val="2C202412"/>
    <w:rsid w:val="2C2C5328"/>
    <w:rsid w:val="2C91644C"/>
    <w:rsid w:val="2D452F54"/>
    <w:rsid w:val="2DC548D2"/>
    <w:rsid w:val="2F7169E1"/>
    <w:rsid w:val="2FB74E69"/>
    <w:rsid w:val="30D47492"/>
    <w:rsid w:val="31192F1A"/>
    <w:rsid w:val="317706B3"/>
    <w:rsid w:val="32514AF0"/>
    <w:rsid w:val="32AC3AD3"/>
    <w:rsid w:val="32E36C3E"/>
    <w:rsid w:val="3301185F"/>
    <w:rsid w:val="331C7A3F"/>
    <w:rsid w:val="33CA2808"/>
    <w:rsid w:val="33DC12A7"/>
    <w:rsid w:val="344E0782"/>
    <w:rsid w:val="344F456B"/>
    <w:rsid w:val="346F16AA"/>
    <w:rsid w:val="36AA1AAF"/>
    <w:rsid w:val="373E3AC8"/>
    <w:rsid w:val="38497FF0"/>
    <w:rsid w:val="38A51D7C"/>
    <w:rsid w:val="3A46238F"/>
    <w:rsid w:val="3B790662"/>
    <w:rsid w:val="3BFF6B0B"/>
    <w:rsid w:val="3C267814"/>
    <w:rsid w:val="3C310CB7"/>
    <w:rsid w:val="3C322526"/>
    <w:rsid w:val="3C937570"/>
    <w:rsid w:val="3CAE3C60"/>
    <w:rsid w:val="3D5868FB"/>
    <w:rsid w:val="3DA624D3"/>
    <w:rsid w:val="3F235BE8"/>
    <w:rsid w:val="3FAA4098"/>
    <w:rsid w:val="40094FBB"/>
    <w:rsid w:val="404572B9"/>
    <w:rsid w:val="41662FA6"/>
    <w:rsid w:val="421B1084"/>
    <w:rsid w:val="44C77B6B"/>
    <w:rsid w:val="459317E9"/>
    <w:rsid w:val="45E81812"/>
    <w:rsid w:val="46591125"/>
    <w:rsid w:val="480745B8"/>
    <w:rsid w:val="49A45029"/>
    <w:rsid w:val="4A037E9C"/>
    <w:rsid w:val="4A0E7F9A"/>
    <w:rsid w:val="4A9F7723"/>
    <w:rsid w:val="4B725619"/>
    <w:rsid w:val="4CDA310C"/>
    <w:rsid w:val="4CDF1228"/>
    <w:rsid w:val="4E016B22"/>
    <w:rsid w:val="4EE41863"/>
    <w:rsid w:val="4F2E566D"/>
    <w:rsid w:val="4F454AFF"/>
    <w:rsid w:val="4FFE3514"/>
    <w:rsid w:val="509427E0"/>
    <w:rsid w:val="50CC27E1"/>
    <w:rsid w:val="52782A7B"/>
    <w:rsid w:val="52F779A0"/>
    <w:rsid w:val="537D11B1"/>
    <w:rsid w:val="53CC0384"/>
    <w:rsid w:val="53D1705C"/>
    <w:rsid w:val="542857C5"/>
    <w:rsid w:val="55FB3E3B"/>
    <w:rsid w:val="56DF2BE1"/>
    <w:rsid w:val="575173FD"/>
    <w:rsid w:val="57D350CB"/>
    <w:rsid w:val="58641705"/>
    <w:rsid w:val="589400BC"/>
    <w:rsid w:val="599F4978"/>
    <w:rsid w:val="5AA83904"/>
    <w:rsid w:val="5CB8517D"/>
    <w:rsid w:val="5CD33A8C"/>
    <w:rsid w:val="5D1C7825"/>
    <w:rsid w:val="5D423C53"/>
    <w:rsid w:val="5FDF0A3A"/>
    <w:rsid w:val="607F7102"/>
    <w:rsid w:val="60C5377C"/>
    <w:rsid w:val="62977EFA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675D10"/>
    <w:rsid w:val="6A8A4AA7"/>
    <w:rsid w:val="6B9133FC"/>
    <w:rsid w:val="6BBC3840"/>
    <w:rsid w:val="6BFC0FB6"/>
    <w:rsid w:val="6D4A7888"/>
    <w:rsid w:val="6E1A7D08"/>
    <w:rsid w:val="6E7064BC"/>
    <w:rsid w:val="6E8E14A3"/>
    <w:rsid w:val="6F1D2820"/>
    <w:rsid w:val="706B694B"/>
    <w:rsid w:val="706D46FB"/>
    <w:rsid w:val="70706C59"/>
    <w:rsid w:val="70AB3BB8"/>
    <w:rsid w:val="70D30D13"/>
    <w:rsid w:val="71290C33"/>
    <w:rsid w:val="72F92F64"/>
    <w:rsid w:val="740B34BA"/>
    <w:rsid w:val="77E172B0"/>
    <w:rsid w:val="783E0E99"/>
    <w:rsid w:val="7B650D27"/>
    <w:rsid w:val="7B972A5D"/>
    <w:rsid w:val="7BA33F9B"/>
    <w:rsid w:val="7C9C14A2"/>
    <w:rsid w:val="7F1258F3"/>
    <w:rsid w:val="7F613BF7"/>
    <w:rsid w:val="7FDC4D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10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624"/>
    </w:pPr>
  </w:style>
  <w:style w:type="paragraph" w:styleId="3">
    <w:name w:val="annotation text"/>
    <w:basedOn w:val="1"/>
    <w:link w:val="14"/>
    <w:uiPriority w:val="0"/>
    <w:pPr>
      <w:jc w:val="left"/>
    </w:pPr>
    <w:rPr>
      <w:rFonts w:ascii="Times New Roman" w:hAnsi="Times New Roman"/>
    </w:rPr>
  </w:style>
  <w:style w:type="paragraph" w:styleId="4">
    <w:name w:val="Salutation"/>
    <w:basedOn w:val="1"/>
    <w:next w:val="1"/>
    <w:link w:val="15"/>
    <w:qFormat/>
    <w:uiPriority w:val="99"/>
  </w:style>
  <w:style w:type="paragraph" w:styleId="5">
    <w:name w:val="Balloon Text"/>
    <w:basedOn w:val="1"/>
    <w:link w:val="16"/>
    <w:uiPriority w:val="0"/>
    <w:rPr>
      <w:sz w:val="18"/>
      <w:szCs w:val="18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lang w:val="en-US" w:eastAsia="zh-CN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uiPriority w:val="0"/>
    <w:rPr>
      <w:rFonts w:cs="Times New Roman"/>
    </w:rPr>
  </w:style>
  <w:style w:type="character" w:styleId="12">
    <w:name w:val="Emphasis"/>
    <w:basedOn w:val="10"/>
    <w:qFormat/>
    <w:locked/>
    <w:uiPriority w:val="0"/>
    <w:rPr>
      <w:i/>
    </w:rPr>
  </w:style>
  <w:style w:type="character" w:styleId="13">
    <w:name w:val="annotation reference"/>
    <w:basedOn w:val="10"/>
    <w:uiPriority w:val="0"/>
    <w:rPr>
      <w:sz w:val="21"/>
      <w:szCs w:val="21"/>
    </w:rPr>
  </w:style>
  <w:style w:type="character" w:customStyle="1" w:styleId="14">
    <w:name w:val="批注文字 Char"/>
    <w:basedOn w:val="10"/>
    <w:link w:val="3"/>
    <w:uiPriority w:val="0"/>
    <w:rPr>
      <w:rFonts w:eastAsia="仿宋_GB2312"/>
      <w:kern w:val="32"/>
      <w:sz w:val="32"/>
    </w:rPr>
  </w:style>
  <w:style w:type="character" w:customStyle="1" w:styleId="15">
    <w:name w:val="称呼 Char"/>
    <w:basedOn w:val="10"/>
    <w:link w:val="4"/>
    <w:qFormat/>
    <w:uiPriority w:val="99"/>
    <w:rPr>
      <w:rFonts w:ascii="Calibri" w:hAnsi="Calibri" w:eastAsia="仿宋_GB2312"/>
      <w:kern w:val="32"/>
      <w:sz w:val="32"/>
    </w:rPr>
  </w:style>
  <w:style w:type="character" w:customStyle="1" w:styleId="16">
    <w:name w:val="批注框文本 Char"/>
    <w:basedOn w:val="10"/>
    <w:link w:val="5"/>
    <w:uiPriority w:val="0"/>
    <w:rPr>
      <w:rFonts w:ascii="Calibri" w:hAnsi="Calibri" w:eastAsia="仿宋_GB2312"/>
      <w:kern w:val="32"/>
      <w:sz w:val="18"/>
      <w:szCs w:val="18"/>
    </w:rPr>
  </w:style>
  <w:style w:type="paragraph" w:customStyle="1" w:styleId="17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8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9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2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113</Words>
  <Characters>647</Characters>
  <Lines>5</Lines>
  <Paragraphs>1</Paragraphs>
  <TotalTime>0</TotalTime>
  <ScaleCrop>false</ScaleCrop>
  <LinksUpToDate>false</LinksUpToDate>
  <CharactersWithSpaces>759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2019-12-10T02:01:00Z</dcterms:created>
  <dc:creator>郑凯宁</dc:creator>
  <cp:lastModifiedBy>陈雯</cp:lastModifiedBy>
  <cp:lastPrinted>2026-06-15T09:03:00Z</cp:lastPrinted>
  <dcterms:modified xsi:type="dcterms:W3CDTF">2026-06-26T01:04:50Z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443572EAD664440E8E318EBA83E857F5</vt:lpwstr>
  </property>
</Properties>
</file>