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val="0"/>
        <w:spacing w:line="600" w:lineRule="exact"/>
        <w:jc w:val="center"/>
        <w:textAlignment w:val="auto"/>
        <w:rPr>
          <w:rFonts w:ascii="方正小标宋简体" w:hAnsi="仿宋" w:eastAsia="方正小标宋简体" w:cs="方正小标宋简体"/>
          <w:sz w:val="44"/>
          <w:szCs w:val="44"/>
        </w:rPr>
      </w:pPr>
      <w:r>
        <w:rPr>
          <w:rFonts w:hint="eastAsia" w:ascii="方正小标宋简体" w:hAnsi="仿宋" w:eastAsia="方正小标宋简体" w:cs="方正小标宋简体"/>
          <w:sz w:val="44"/>
          <w:szCs w:val="44"/>
        </w:rPr>
        <w:t>福建省厦门监狱</w:t>
      </w:r>
    </w:p>
    <w:p>
      <w:pPr>
        <w:keepNext w:val="0"/>
        <w:keepLines w:val="0"/>
        <w:pageBreakBefore w:val="0"/>
        <w:widowControl w:val="0"/>
        <w:kinsoku/>
        <w:wordWrap/>
        <w:overflowPunct/>
        <w:topLinePunct w:val="0"/>
        <w:autoSpaceDE/>
        <w:autoSpaceDN/>
        <w:bidi w:val="0"/>
        <w:adjustRightInd/>
        <w:snapToGrid w:val="0"/>
        <w:spacing w:line="600" w:lineRule="exact"/>
        <w:jc w:val="center"/>
        <w:textAlignment w:val="auto"/>
        <w:rPr>
          <w:rFonts w:ascii="方正小标宋简体" w:hAnsi="仿宋" w:eastAsia="方正小标宋简体" w:cs="方正小标宋简体"/>
          <w:sz w:val="44"/>
          <w:szCs w:val="44"/>
        </w:rPr>
      </w:pPr>
      <w:r>
        <w:rPr>
          <w:rFonts w:hint="eastAsia" w:ascii="方正小标宋简体" w:hAnsi="仿宋" w:eastAsia="方正小标宋简体" w:cs="方正小标宋简体"/>
          <w:sz w:val="44"/>
          <w:szCs w:val="44"/>
        </w:rPr>
        <w:t>提请减刑建议书</w:t>
      </w:r>
    </w:p>
    <w:p>
      <w:pPr>
        <w:spacing w:line="560" w:lineRule="exact"/>
        <w:jc w:val="right"/>
        <w:rPr>
          <w:rFonts w:hint="eastAsia" w:ascii="楷体_GB2312" w:hAnsi="楷体_GB2312" w:eastAsia="楷体_GB2312" w:cs="楷体_GB2312"/>
          <w:szCs w:val="32"/>
        </w:rPr>
      </w:pPr>
      <w:r>
        <w:rPr>
          <w:rFonts w:hint="eastAsia" w:ascii="楷体_GB2312" w:hAnsi="楷体_GB2312" w:eastAsia="楷体_GB2312" w:cs="楷体_GB2312"/>
          <w:szCs w:val="32"/>
        </w:rPr>
        <w:t>〔2026〕闽厦狱减字第</w:t>
      </w:r>
      <w:r>
        <w:rPr>
          <w:rFonts w:hint="eastAsia" w:ascii="楷体_GB2312" w:hAnsi="楷体_GB2312" w:eastAsia="楷体_GB2312" w:cs="楷体_GB2312"/>
          <w:szCs w:val="32"/>
          <w:lang w:val="en-US" w:eastAsia="zh-CN"/>
        </w:rPr>
        <w:t>340</w:t>
      </w:r>
      <w:r>
        <w:rPr>
          <w:rFonts w:hint="eastAsia" w:ascii="楷体_GB2312" w:hAnsi="楷体_GB2312" w:eastAsia="楷体_GB2312" w:cs="楷体_GB2312"/>
          <w:szCs w:val="32"/>
        </w:rPr>
        <w:t>号</w:t>
      </w:r>
    </w:p>
    <w:p>
      <w:pPr>
        <w:jc w:val="right"/>
        <w:rPr>
          <w:rFonts w:cs="楷体_GB2312" w:asciiTheme="majorEastAsia" w:hAnsiTheme="majorEastAsia" w:eastAsiaTheme="majorEastAsia"/>
          <w:szCs w:val="32"/>
        </w:rPr>
      </w:pPr>
    </w:p>
    <w:p>
      <w:pPr>
        <w:keepNext w:val="0"/>
        <w:keepLines w:val="0"/>
        <w:pageBreakBefore w:val="0"/>
        <w:widowControl w:val="0"/>
        <w:kinsoku/>
        <w:wordWrap/>
        <w:overflowPunct/>
        <w:topLinePunct w:val="0"/>
        <w:autoSpaceDE/>
        <w:autoSpaceDN/>
        <w:bidi w:val="0"/>
        <w:adjustRightInd/>
        <w:snapToGrid/>
        <w:spacing w:line="400" w:lineRule="exact"/>
        <w:ind w:firstLine="640" w:firstLineChars="200"/>
        <w:jc w:val="left"/>
        <w:textAlignment w:val="auto"/>
        <w:rPr>
          <w:rFonts w:ascii="仿宋_GB2312" w:hAnsi="仿宋"/>
          <w:szCs w:val="32"/>
        </w:rPr>
      </w:pPr>
      <w:r>
        <w:rPr>
          <w:rFonts w:hint="eastAsia" w:ascii="仿宋_GB2312" w:hAnsi="仿宋"/>
          <w:szCs w:val="32"/>
        </w:rPr>
        <w:t>罪犯贾志远</w:t>
      </w:r>
      <w:r>
        <w:rPr>
          <w:rFonts w:hint="eastAsia" w:ascii="仿宋_GB2312" w:hAnsi="仿宋"/>
          <w:szCs w:val="32"/>
        </w:rPr>
        <w:fldChar w:fldCharType="begin"/>
      </w:r>
      <w:r>
        <w:rPr>
          <w:rFonts w:hint="eastAsia" w:ascii="仿宋_GB2312" w:hAnsi="仿宋"/>
          <w:szCs w:val="32"/>
        </w:rPr>
        <w:instrText xml:space="preserve"> AUTOTEXTLIST  \* MERGEFORMAT </w:instrText>
      </w:r>
      <w:r>
        <w:rPr>
          <w:rFonts w:hint="eastAsia" w:ascii="仿宋_GB2312" w:hAnsi="仿宋"/>
          <w:szCs w:val="32"/>
        </w:rPr>
        <w:fldChar w:fldCharType="end"/>
      </w:r>
      <w:r>
        <w:rPr>
          <w:rFonts w:hint="eastAsia" w:ascii="仿宋_GB2312" w:hAnsi="仿宋"/>
          <w:szCs w:val="32"/>
        </w:rPr>
        <w:t>，男，1990年3月8日出生，汉族，高中文化，住山东省平邑县</w:t>
      </w:r>
      <w:bookmarkStart w:id="0" w:name="_GoBack"/>
      <w:bookmarkEnd w:id="0"/>
      <w:r>
        <w:rPr>
          <w:rFonts w:hint="eastAsia" w:ascii="仿宋_GB2312" w:hAnsi="仿宋"/>
          <w:szCs w:val="32"/>
        </w:rPr>
        <w:t>，捕前务工。</w:t>
      </w:r>
    </w:p>
    <w:p>
      <w:pPr>
        <w:keepNext w:val="0"/>
        <w:keepLines w:val="0"/>
        <w:pageBreakBefore w:val="0"/>
        <w:widowControl w:val="0"/>
        <w:kinsoku/>
        <w:wordWrap/>
        <w:overflowPunct/>
        <w:topLinePunct w:val="0"/>
        <w:autoSpaceDE/>
        <w:autoSpaceDN/>
        <w:bidi w:val="0"/>
        <w:adjustRightInd/>
        <w:snapToGrid/>
        <w:spacing w:line="400" w:lineRule="exact"/>
        <w:ind w:firstLine="640" w:firstLineChars="200"/>
        <w:jc w:val="left"/>
        <w:textAlignment w:val="auto"/>
        <w:rPr>
          <w:rFonts w:ascii="仿宋_GB2312" w:hAnsi="仿宋"/>
          <w:szCs w:val="32"/>
        </w:rPr>
      </w:pPr>
      <w:r>
        <w:rPr>
          <w:rFonts w:hint="eastAsia" w:ascii="仿宋_GB2312" w:hAnsi="仿宋"/>
          <w:szCs w:val="32"/>
        </w:rPr>
        <w:t>福建省泉州市中级人民法院于2020年9月28日作出</w:t>
      </w:r>
      <w:r>
        <w:rPr>
          <w:rFonts w:hint="eastAsia" w:ascii="仿宋_GB2312" w:hAnsi="仿宋"/>
          <w:szCs w:val="32"/>
          <w:lang w:eastAsia="zh-CN"/>
        </w:rPr>
        <w:t>（</w:t>
      </w:r>
      <w:r>
        <w:rPr>
          <w:rFonts w:hint="eastAsia" w:ascii="仿宋_GB2312" w:hAnsi="仿宋"/>
          <w:szCs w:val="32"/>
        </w:rPr>
        <w:t>2020</w:t>
      </w:r>
      <w:r>
        <w:rPr>
          <w:rFonts w:hint="eastAsia" w:ascii="仿宋_GB2312" w:hAnsi="仿宋"/>
          <w:szCs w:val="32"/>
          <w:lang w:eastAsia="zh-CN"/>
        </w:rPr>
        <w:t>）</w:t>
      </w:r>
      <w:r>
        <w:rPr>
          <w:rFonts w:hint="eastAsia" w:ascii="仿宋_GB2312" w:hAnsi="仿宋"/>
          <w:szCs w:val="32"/>
        </w:rPr>
        <w:t>闽05刑初54号刑事判决，以被告人贾志远犯绑架罪，判处无期徒刑，剥夺政治权利终身，并处没收个人全部财产。暂扣于安溪县公安局的人民币11239084.89元、从被告人处扣押的万国手表1块、范思哲手包1个发还给被害人；追缴</w:t>
      </w:r>
      <w:r>
        <w:rPr>
          <w:rFonts w:hint="eastAsia" w:ascii="仿宋_GB2312" w:hAnsi="仿宋"/>
          <w:szCs w:val="32"/>
          <w:lang w:val="en-US" w:eastAsia="zh-CN"/>
        </w:rPr>
        <w:t>二</w:t>
      </w:r>
      <w:r>
        <w:rPr>
          <w:rFonts w:hint="eastAsia" w:ascii="仿宋_GB2312" w:hAnsi="仿宋"/>
          <w:szCs w:val="32"/>
        </w:rPr>
        <w:t>被告人违法所得人民币4622200元及用违法所得人民币250000元购买的基金及收益，发还给被害人；继续追缴四被告人的违法所得人民币2680525.11元及菲律宾比索10万元，发还给被害人；暂扣于安溪县公安局的宝马牌轿车两辆及手链一条由公安机关依法拍卖，拍卖所得抵扣继续追缴</w:t>
      </w:r>
      <w:r>
        <w:rPr>
          <w:rFonts w:hint="eastAsia" w:ascii="仿宋_GB2312" w:hAnsi="仿宋"/>
          <w:szCs w:val="32"/>
          <w:lang w:val="en-US" w:eastAsia="zh-CN"/>
        </w:rPr>
        <w:t>四</w:t>
      </w:r>
      <w:r>
        <w:rPr>
          <w:rFonts w:hint="eastAsia" w:ascii="仿宋_GB2312" w:hAnsi="仿宋"/>
          <w:szCs w:val="32"/>
        </w:rPr>
        <w:t>被告人的违法所得部分并发还给被害人。</w:t>
      </w:r>
      <w:r>
        <w:rPr>
          <w:rFonts w:hint="eastAsia" w:ascii="仿宋_GB2312" w:hAnsi="仿宋"/>
          <w:szCs w:val="32"/>
          <w:lang w:val="en-US" w:eastAsia="zh-CN"/>
        </w:rPr>
        <w:t>随案移送的手机七部等物予以没收。</w:t>
      </w:r>
      <w:r>
        <w:rPr>
          <w:rFonts w:hint="eastAsia" w:ascii="仿宋_GB2312" w:hAnsi="仿宋"/>
          <w:szCs w:val="32"/>
        </w:rPr>
        <w:t>该犯及同案犯不服，提出上诉。福建省高级人民法院于2021年5月6日作出</w:t>
      </w:r>
      <w:r>
        <w:rPr>
          <w:rFonts w:hint="eastAsia" w:ascii="仿宋_GB2312" w:hAnsi="仿宋"/>
          <w:szCs w:val="32"/>
          <w:lang w:eastAsia="zh-CN"/>
        </w:rPr>
        <w:t>（</w:t>
      </w:r>
      <w:r>
        <w:rPr>
          <w:rFonts w:hint="eastAsia" w:ascii="仿宋_GB2312" w:hAnsi="仿宋"/>
          <w:szCs w:val="32"/>
        </w:rPr>
        <w:t>2020</w:t>
      </w:r>
      <w:r>
        <w:rPr>
          <w:rFonts w:hint="eastAsia" w:ascii="仿宋_GB2312" w:hAnsi="仿宋"/>
          <w:szCs w:val="32"/>
          <w:lang w:eastAsia="zh-CN"/>
        </w:rPr>
        <w:t>）</w:t>
      </w:r>
      <w:r>
        <w:rPr>
          <w:rFonts w:hint="eastAsia" w:ascii="仿宋_GB2312" w:hAnsi="仿宋"/>
          <w:szCs w:val="32"/>
        </w:rPr>
        <w:t>闽刑终268刑事裁定：驳回上诉，维持原判。刑期自2021年6月8日起。2021年6月16日交付福建省厦门监狱执行刑罚。</w:t>
      </w:r>
      <w:r>
        <w:rPr>
          <w:rFonts w:hint="eastAsia" w:ascii="仿宋_GB2312"/>
          <w:szCs w:val="32"/>
        </w:rPr>
        <w:t>2025年8月22日，福建省高级人民法院作出</w:t>
      </w:r>
      <w:r>
        <w:rPr>
          <w:rFonts w:hint="eastAsia" w:ascii="仿宋_GB2312" w:hAnsi="仿宋"/>
          <w:szCs w:val="32"/>
          <w:lang w:eastAsia="zh-CN"/>
        </w:rPr>
        <w:t>（</w:t>
      </w:r>
      <w:r>
        <w:rPr>
          <w:rFonts w:hint="eastAsia" w:ascii="仿宋_GB2312"/>
          <w:szCs w:val="32"/>
        </w:rPr>
        <w:t>2025</w:t>
      </w:r>
      <w:r>
        <w:rPr>
          <w:rFonts w:hint="eastAsia" w:ascii="仿宋_GB2312" w:hAnsi="仿宋"/>
          <w:szCs w:val="32"/>
          <w:lang w:eastAsia="zh-CN"/>
        </w:rPr>
        <w:t>）</w:t>
      </w:r>
      <w:r>
        <w:rPr>
          <w:rFonts w:hint="eastAsia" w:ascii="仿宋_GB2312"/>
          <w:szCs w:val="32"/>
        </w:rPr>
        <w:t>闽刑更229号刑事裁定，</w:t>
      </w:r>
      <w:r>
        <w:rPr>
          <w:rFonts w:hint="eastAsia" w:ascii="仿宋_GB2312" w:hAnsi="仿宋_GB2312" w:cs="仿宋_GB2312"/>
          <w:szCs w:val="32"/>
        </w:rPr>
        <w:t>对其不予减刑，2025年9月22日送达。</w:t>
      </w:r>
      <w:r>
        <w:rPr>
          <w:rFonts w:hint="eastAsia" w:ascii="仿宋_GB2312" w:hAnsi="仿宋"/>
          <w:szCs w:val="32"/>
        </w:rPr>
        <w:t>属普管级罪犯。</w:t>
      </w:r>
    </w:p>
    <w:p>
      <w:pPr>
        <w:keepNext w:val="0"/>
        <w:keepLines w:val="0"/>
        <w:pageBreakBefore w:val="0"/>
        <w:widowControl w:val="0"/>
        <w:kinsoku/>
        <w:wordWrap/>
        <w:overflowPunct/>
        <w:topLinePunct w:val="0"/>
        <w:autoSpaceDE/>
        <w:autoSpaceDN/>
        <w:bidi w:val="0"/>
        <w:adjustRightInd/>
        <w:snapToGrid/>
        <w:spacing w:line="400" w:lineRule="exact"/>
        <w:ind w:firstLine="640" w:firstLineChars="200"/>
        <w:jc w:val="left"/>
        <w:textAlignment w:val="auto"/>
        <w:rPr>
          <w:rFonts w:ascii="仿宋_GB2312" w:hAnsi="仿宋"/>
          <w:szCs w:val="32"/>
        </w:rPr>
      </w:pPr>
      <w:r>
        <w:rPr>
          <w:rFonts w:hint="eastAsia" w:ascii="仿宋_GB2312" w:hAnsi="仿宋"/>
          <w:szCs w:val="32"/>
        </w:rPr>
        <w:t>该犯自入监以来确有悔改表现，具体事实如下：</w:t>
      </w:r>
    </w:p>
    <w:p>
      <w:pPr>
        <w:keepNext w:val="0"/>
        <w:keepLines w:val="0"/>
        <w:pageBreakBefore w:val="0"/>
        <w:widowControl w:val="0"/>
        <w:kinsoku/>
        <w:wordWrap/>
        <w:overflowPunct/>
        <w:topLinePunct w:val="0"/>
        <w:autoSpaceDE/>
        <w:autoSpaceDN/>
        <w:bidi w:val="0"/>
        <w:adjustRightInd/>
        <w:snapToGrid/>
        <w:spacing w:line="400" w:lineRule="exact"/>
        <w:ind w:firstLine="640" w:firstLineChars="200"/>
        <w:jc w:val="left"/>
        <w:textAlignment w:val="auto"/>
        <w:rPr>
          <w:rFonts w:ascii="仿宋_GB2312" w:hAnsi="仿宋"/>
          <w:szCs w:val="32"/>
        </w:rPr>
      </w:pPr>
      <w:r>
        <w:rPr>
          <w:rFonts w:hint="eastAsia" w:ascii="仿宋_GB2312" w:hAnsi="仿宋"/>
          <w:szCs w:val="32"/>
        </w:rPr>
        <w:t>认罪悔罪：能服从法院判决，自书认罪悔罪书。</w:t>
      </w:r>
    </w:p>
    <w:p>
      <w:pPr>
        <w:keepNext w:val="0"/>
        <w:keepLines w:val="0"/>
        <w:pageBreakBefore w:val="0"/>
        <w:widowControl w:val="0"/>
        <w:kinsoku/>
        <w:wordWrap/>
        <w:overflowPunct/>
        <w:topLinePunct w:val="0"/>
        <w:autoSpaceDE/>
        <w:autoSpaceDN/>
        <w:bidi w:val="0"/>
        <w:adjustRightInd/>
        <w:snapToGrid/>
        <w:spacing w:line="400" w:lineRule="exact"/>
        <w:ind w:firstLine="640" w:firstLineChars="200"/>
        <w:jc w:val="left"/>
        <w:textAlignment w:val="auto"/>
        <w:rPr>
          <w:rFonts w:ascii="仿宋_GB2312" w:hAnsi="仿宋"/>
          <w:szCs w:val="32"/>
        </w:rPr>
      </w:pPr>
      <w:r>
        <w:rPr>
          <w:rFonts w:hint="eastAsia" w:ascii="仿宋_GB2312" w:hAnsi="仿宋"/>
          <w:szCs w:val="32"/>
        </w:rPr>
        <w:t>遵守监规：考核期内有违规行为，经民警教育后，能认识到自己的错误，目前尚能遵守法律法规及监规纪律，接受教育改造。</w:t>
      </w:r>
    </w:p>
    <w:p>
      <w:pPr>
        <w:keepNext w:val="0"/>
        <w:keepLines w:val="0"/>
        <w:pageBreakBefore w:val="0"/>
        <w:widowControl w:val="0"/>
        <w:kinsoku/>
        <w:wordWrap/>
        <w:overflowPunct/>
        <w:topLinePunct w:val="0"/>
        <w:autoSpaceDE/>
        <w:autoSpaceDN/>
        <w:bidi w:val="0"/>
        <w:adjustRightInd/>
        <w:snapToGrid/>
        <w:spacing w:line="400" w:lineRule="exact"/>
        <w:ind w:firstLine="640" w:firstLineChars="200"/>
        <w:jc w:val="left"/>
        <w:textAlignment w:val="auto"/>
        <w:rPr>
          <w:rFonts w:ascii="仿宋_GB2312" w:hAnsi="仿宋"/>
          <w:szCs w:val="32"/>
        </w:rPr>
      </w:pPr>
      <w:r>
        <w:rPr>
          <w:rFonts w:hint="eastAsia" w:ascii="仿宋_GB2312" w:hAnsi="仿宋"/>
          <w:szCs w:val="32"/>
        </w:rPr>
        <w:t>学习情况：能参加思想、文化、职业技术教育。</w:t>
      </w:r>
    </w:p>
    <w:p>
      <w:pPr>
        <w:keepNext w:val="0"/>
        <w:keepLines w:val="0"/>
        <w:pageBreakBefore w:val="0"/>
        <w:widowControl w:val="0"/>
        <w:kinsoku/>
        <w:wordWrap/>
        <w:overflowPunct/>
        <w:topLinePunct w:val="0"/>
        <w:autoSpaceDE/>
        <w:autoSpaceDN/>
        <w:bidi w:val="0"/>
        <w:adjustRightInd/>
        <w:snapToGrid/>
        <w:spacing w:line="400" w:lineRule="exact"/>
        <w:ind w:firstLine="640" w:firstLineChars="200"/>
        <w:jc w:val="left"/>
        <w:textAlignment w:val="auto"/>
        <w:rPr>
          <w:rFonts w:ascii="仿宋_GB2312" w:hAnsi="仿宋"/>
          <w:szCs w:val="32"/>
        </w:rPr>
      </w:pPr>
      <w:r>
        <w:rPr>
          <w:rFonts w:hint="eastAsia" w:ascii="仿宋_GB2312" w:hAnsi="仿宋"/>
          <w:szCs w:val="32"/>
        </w:rPr>
        <w:t>劳动改造：能参加劳动，努力完成劳动任务。</w:t>
      </w:r>
    </w:p>
    <w:p>
      <w:pPr>
        <w:keepNext w:val="0"/>
        <w:keepLines w:val="0"/>
        <w:pageBreakBefore w:val="0"/>
        <w:widowControl w:val="0"/>
        <w:kinsoku/>
        <w:wordWrap/>
        <w:overflowPunct/>
        <w:topLinePunct w:val="0"/>
        <w:autoSpaceDE/>
        <w:autoSpaceDN/>
        <w:bidi w:val="0"/>
        <w:adjustRightInd/>
        <w:snapToGrid/>
        <w:spacing w:line="400" w:lineRule="exact"/>
        <w:ind w:firstLine="640" w:firstLineChars="200"/>
        <w:jc w:val="left"/>
        <w:textAlignment w:val="auto"/>
        <w:rPr>
          <w:rFonts w:ascii="仿宋_GB2312" w:hAnsi="仿宋"/>
          <w:szCs w:val="32"/>
        </w:rPr>
      </w:pPr>
      <w:r>
        <w:rPr>
          <w:rFonts w:hint="eastAsia" w:ascii="仿宋_GB2312" w:hAnsi="仿宋"/>
          <w:szCs w:val="32"/>
        </w:rPr>
        <w:t>奖惩情况：该犯考核期2021年6月16日至2026年3月累计获考核分5586.5分，表扬8次，物质奖励1次；违规1次，累计扣考核分2分，无重大违规。</w:t>
      </w:r>
    </w:p>
    <w:p>
      <w:pPr>
        <w:keepNext w:val="0"/>
        <w:keepLines w:val="0"/>
        <w:pageBreakBefore w:val="0"/>
        <w:widowControl w:val="0"/>
        <w:kinsoku/>
        <w:wordWrap/>
        <w:overflowPunct/>
        <w:topLinePunct w:val="0"/>
        <w:autoSpaceDE/>
        <w:autoSpaceDN/>
        <w:bidi w:val="0"/>
        <w:adjustRightInd/>
        <w:snapToGrid/>
        <w:spacing w:line="400" w:lineRule="exact"/>
        <w:ind w:firstLine="640" w:firstLineChars="200"/>
        <w:jc w:val="left"/>
        <w:textAlignment w:val="auto"/>
        <w:rPr>
          <w:rFonts w:ascii="仿宋_GB2312" w:hAnsi="仿宋"/>
          <w:szCs w:val="32"/>
        </w:rPr>
      </w:pPr>
      <w:r>
        <w:rPr>
          <w:rFonts w:hint="eastAsia" w:ascii="仿宋_GB2312" w:hAnsi="仿宋"/>
          <w:szCs w:val="32"/>
        </w:rPr>
        <w:t>该犯原判财产性判项已履行人民币</w:t>
      </w:r>
      <w:r>
        <w:rPr>
          <w:rFonts w:ascii="仿宋_GB2312" w:hAnsi="仿宋"/>
          <w:szCs w:val="32"/>
        </w:rPr>
        <w:t>18</w:t>
      </w:r>
      <w:r>
        <w:rPr>
          <w:rFonts w:hint="eastAsia" w:ascii="仿宋_GB2312" w:hAnsi="仿宋"/>
          <w:szCs w:val="32"/>
        </w:rPr>
        <w:t>9</w:t>
      </w:r>
      <w:r>
        <w:rPr>
          <w:rFonts w:ascii="仿宋_GB2312" w:hAnsi="仿宋"/>
          <w:szCs w:val="32"/>
        </w:rPr>
        <w:t>171</w:t>
      </w:r>
      <w:r>
        <w:rPr>
          <w:rFonts w:hint="eastAsia" w:ascii="仿宋_GB2312" w:hAnsi="仿宋"/>
          <w:szCs w:val="32"/>
        </w:rPr>
        <w:t>1</w:t>
      </w:r>
      <w:r>
        <w:rPr>
          <w:rFonts w:ascii="仿宋_GB2312" w:hAnsi="仿宋"/>
          <w:szCs w:val="32"/>
        </w:rPr>
        <w:t>.55元；其中福建省泉州市中级人民法院扣划该犯名下银行存款等</w:t>
      </w:r>
      <w:r>
        <w:rPr>
          <w:rFonts w:hint="eastAsia" w:ascii="仿宋_GB2312" w:hAnsi="仿宋"/>
          <w:szCs w:val="32"/>
        </w:rPr>
        <w:t>1868171.55元，本次提请向福建省泉州市中级人民法院缴纳违法所得人民币23540元</w:t>
      </w:r>
      <w:r>
        <w:rPr>
          <w:rFonts w:ascii="仿宋_GB2312" w:hAnsi="仿宋"/>
          <w:szCs w:val="32"/>
        </w:rPr>
        <w:t>。该犯考核期月均消费人民币</w:t>
      </w:r>
      <w:r>
        <w:rPr>
          <w:rFonts w:hint="eastAsia" w:ascii="仿宋_GB2312" w:hAnsi="仿宋"/>
          <w:szCs w:val="32"/>
        </w:rPr>
        <w:t>273.51</w:t>
      </w:r>
      <w:r>
        <w:rPr>
          <w:rFonts w:ascii="仿宋_GB2312" w:hAnsi="仿宋"/>
          <w:szCs w:val="32"/>
        </w:rPr>
        <w:t>元，账户可用余额人民币</w:t>
      </w:r>
      <w:r>
        <w:rPr>
          <w:rFonts w:hint="eastAsia" w:ascii="仿宋_GB2312" w:hAnsi="仿宋"/>
          <w:szCs w:val="32"/>
        </w:rPr>
        <w:t>10.49</w:t>
      </w:r>
      <w:r>
        <w:rPr>
          <w:rFonts w:ascii="仿宋_GB2312" w:hAnsi="仿宋"/>
          <w:szCs w:val="32"/>
        </w:rPr>
        <w:t>元。</w:t>
      </w:r>
      <w:r>
        <w:rPr>
          <w:rFonts w:hint="eastAsia" w:ascii="仿宋_GB2312" w:hAnsi="仿宋"/>
          <w:szCs w:val="32"/>
        </w:rPr>
        <w:t>2026年4月21日，福建省泉州市中级人民法院复函载明：本院通过全国法院网络执行查控系统、福建法院执行司法查控系统查询被执行人名下银行存款、车辆及其他交通运输工具、有价证券、保险、不动产信息及工商登记信息等，已扣划被执行人贾志远名下银行存款等1868171.55元，暂未发现被执行人有存在拒不交代赃款、赃物去向情节、隐瞒、隐匿、转移财产情节及妨碍财产性判项执行情节，暂未发现被执行人有其它可供执行的财产。被执行人贾志远于2026年1月9日向本院缴纳20000元、2026年3月12日向本院缴纳3540元。截止至2026年3月24日，贾志远各项财产性判项履行到位金额1891711.55元，已退赔给被害人。</w:t>
      </w:r>
    </w:p>
    <w:p>
      <w:pPr>
        <w:keepNext w:val="0"/>
        <w:keepLines w:val="0"/>
        <w:pageBreakBefore w:val="0"/>
        <w:widowControl w:val="0"/>
        <w:kinsoku/>
        <w:wordWrap/>
        <w:overflowPunct/>
        <w:topLinePunct w:val="0"/>
        <w:autoSpaceDE/>
        <w:autoSpaceDN/>
        <w:bidi w:val="0"/>
        <w:adjustRightInd/>
        <w:snapToGrid/>
        <w:spacing w:line="400" w:lineRule="exact"/>
        <w:ind w:firstLine="640" w:firstLineChars="200"/>
        <w:jc w:val="left"/>
        <w:textAlignment w:val="auto"/>
        <w:rPr>
          <w:rFonts w:ascii="仿宋_GB2312" w:hAnsi="仿宋"/>
          <w:szCs w:val="32"/>
        </w:rPr>
      </w:pPr>
      <w:r>
        <w:rPr>
          <w:rFonts w:hint="eastAsia" w:ascii="仿宋_GB2312" w:hAnsi="仿宋"/>
          <w:szCs w:val="32"/>
        </w:rPr>
        <w:t>该犯系被判处无期徒刑的</w:t>
      </w:r>
      <w:r>
        <w:rPr>
          <w:rFonts w:hint="eastAsia" w:ascii="仿宋_GB2312" w:hAnsi="仿宋"/>
          <w:szCs w:val="32"/>
          <w:lang w:val="en-US" w:eastAsia="zh-CN"/>
        </w:rPr>
        <w:t>绑架犯</w:t>
      </w:r>
      <w:r>
        <w:rPr>
          <w:rFonts w:hint="eastAsia" w:ascii="仿宋_GB2312" w:hAnsi="仿宋"/>
          <w:szCs w:val="32"/>
        </w:rPr>
        <w:t>罪罪犯，</w:t>
      </w:r>
      <w:r>
        <w:rPr>
          <w:rFonts w:hint="eastAsia" w:ascii="仿宋_GB2312" w:hAnsi="仿宋"/>
          <w:szCs w:val="32"/>
          <w:lang w:val="en-US" w:eastAsia="zh-CN"/>
        </w:rPr>
        <w:t>且财产判项未履行完毕，</w:t>
      </w:r>
      <w:r>
        <w:rPr>
          <w:rFonts w:hint="eastAsia" w:ascii="仿宋_GB2312" w:hAnsi="仿宋"/>
          <w:szCs w:val="32"/>
        </w:rPr>
        <w:t>属于从严掌握减刑对象。</w:t>
      </w:r>
    </w:p>
    <w:p>
      <w:pPr>
        <w:keepNext w:val="0"/>
        <w:keepLines w:val="0"/>
        <w:pageBreakBefore w:val="0"/>
        <w:widowControl w:val="0"/>
        <w:kinsoku/>
        <w:wordWrap/>
        <w:overflowPunct/>
        <w:topLinePunct w:val="0"/>
        <w:autoSpaceDE/>
        <w:autoSpaceDN/>
        <w:bidi w:val="0"/>
        <w:adjustRightInd/>
        <w:snapToGrid/>
        <w:spacing w:line="400" w:lineRule="exact"/>
        <w:ind w:firstLine="640" w:firstLineChars="200"/>
        <w:jc w:val="left"/>
        <w:textAlignment w:val="auto"/>
        <w:rPr>
          <w:rFonts w:hint="eastAsia" w:ascii="仿宋_GB2312" w:hAnsi="Times New Roman"/>
          <w:szCs w:val="32"/>
        </w:rPr>
      </w:pPr>
      <w:r>
        <w:rPr>
          <w:rFonts w:hint="eastAsia" w:ascii="仿宋_GB2312" w:hAnsi="Times New Roman"/>
          <w:szCs w:val="32"/>
        </w:rPr>
        <w:t>本案于</w:t>
      </w:r>
      <w:r>
        <w:rPr>
          <w:rFonts w:hint="eastAsia" w:ascii="仿宋_GB2312"/>
          <w:szCs w:val="32"/>
          <w:highlight w:val="none"/>
          <w:lang w:eastAsia="zh-CN"/>
        </w:rPr>
        <w:t>202</w:t>
      </w:r>
      <w:r>
        <w:rPr>
          <w:rFonts w:hint="eastAsia" w:ascii="仿宋_GB2312"/>
          <w:szCs w:val="32"/>
          <w:highlight w:val="none"/>
          <w:lang w:val="en-US" w:eastAsia="zh-CN"/>
        </w:rPr>
        <w:t>6</w:t>
      </w:r>
      <w:r>
        <w:rPr>
          <w:rFonts w:hint="eastAsia" w:ascii="仿宋_GB2312"/>
          <w:szCs w:val="32"/>
          <w:highlight w:val="none"/>
        </w:rPr>
        <w:t>年</w:t>
      </w:r>
      <w:r>
        <w:rPr>
          <w:rFonts w:hint="eastAsia" w:ascii="仿宋_GB2312"/>
          <w:szCs w:val="32"/>
          <w:highlight w:val="none"/>
          <w:lang w:val="en-US" w:eastAsia="zh-CN"/>
        </w:rPr>
        <w:t>6</w:t>
      </w:r>
      <w:r>
        <w:rPr>
          <w:rFonts w:hint="eastAsia" w:ascii="仿宋_GB2312"/>
          <w:szCs w:val="32"/>
          <w:highlight w:val="none"/>
        </w:rPr>
        <w:t>月</w:t>
      </w:r>
      <w:r>
        <w:rPr>
          <w:rFonts w:hint="eastAsia" w:ascii="仿宋_GB2312"/>
          <w:szCs w:val="32"/>
          <w:highlight w:val="none"/>
          <w:lang w:val="en-US" w:eastAsia="zh-CN"/>
        </w:rPr>
        <w:t>12</w:t>
      </w:r>
      <w:r>
        <w:rPr>
          <w:rFonts w:hint="eastAsia" w:ascii="仿宋_GB2312"/>
          <w:szCs w:val="32"/>
          <w:highlight w:val="none"/>
        </w:rPr>
        <w:t>日至</w:t>
      </w:r>
      <w:r>
        <w:rPr>
          <w:rFonts w:hint="eastAsia" w:ascii="仿宋_GB2312"/>
          <w:szCs w:val="32"/>
          <w:highlight w:val="none"/>
          <w:lang w:eastAsia="zh-CN"/>
        </w:rPr>
        <w:t>202</w:t>
      </w:r>
      <w:r>
        <w:rPr>
          <w:rFonts w:hint="eastAsia" w:ascii="仿宋_GB2312"/>
          <w:szCs w:val="32"/>
          <w:highlight w:val="none"/>
          <w:lang w:val="en-US" w:eastAsia="zh-CN"/>
        </w:rPr>
        <w:t>6</w:t>
      </w:r>
      <w:r>
        <w:rPr>
          <w:rFonts w:hint="eastAsia" w:ascii="仿宋_GB2312"/>
          <w:szCs w:val="32"/>
          <w:highlight w:val="none"/>
        </w:rPr>
        <w:t>年</w:t>
      </w:r>
      <w:r>
        <w:rPr>
          <w:rFonts w:hint="eastAsia" w:ascii="仿宋_GB2312"/>
          <w:szCs w:val="32"/>
          <w:highlight w:val="none"/>
          <w:lang w:val="en-US" w:eastAsia="zh-CN"/>
        </w:rPr>
        <w:t>6</w:t>
      </w:r>
      <w:r>
        <w:rPr>
          <w:rFonts w:hint="eastAsia" w:ascii="仿宋_GB2312"/>
          <w:szCs w:val="32"/>
          <w:highlight w:val="none"/>
        </w:rPr>
        <w:t>月</w:t>
      </w:r>
      <w:r>
        <w:rPr>
          <w:rFonts w:hint="eastAsia" w:ascii="仿宋_GB2312"/>
          <w:szCs w:val="32"/>
          <w:highlight w:val="none"/>
          <w:lang w:val="en-US" w:eastAsia="zh-CN"/>
        </w:rPr>
        <w:t>18</w:t>
      </w:r>
      <w:r>
        <w:rPr>
          <w:rFonts w:hint="eastAsia" w:ascii="仿宋_GB2312"/>
          <w:szCs w:val="32"/>
          <w:highlight w:val="none"/>
        </w:rPr>
        <w:t>日</w:t>
      </w:r>
      <w:r>
        <w:rPr>
          <w:rFonts w:hint="eastAsia" w:ascii="仿宋_GB2312" w:hAnsi="Times New Roman"/>
          <w:szCs w:val="32"/>
        </w:rPr>
        <w:t>在狱内公示未收到不同意见。</w:t>
      </w:r>
    </w:p>
    <w:p>
      <w:pPr>
        <w:keepNext w:val="0"/>
        <w:keepLines w:val="0"/>
        <w:pageBreakBefore w:val="0"/>
        <w:widowControl w:val="0"/>
        <w:kinsoku/>
        <w:wordWrap/>
        <w:overflowPunct/>
        <w:topLinePunct w:val="0"/>
        <w:autoSpaceDE/>
        <w:autoSpaceDN/>
        <w:bidi w:val="0"/>
        <w:adjustRightInd/>
        <w:snapToGrid/>
        <w:spacing w:line="400" w:lineRule="exact"/>
        <w:ind w:firstLine="640" w:firstLineChars="200"/>
        <w:jc w:val="left"/>
        <w:textAlignment w:val="auto"/>
        <w:rPr>
          <w:rFonts w:ascii="仿宋_GB2312" w:hAnsi="仿宋"/>
          <w:szCs w:val="32"/>
        </w:rPr>
      </w:pPr>
      <w:r>
        <w:rPr>
          <w:rFonts w:hint="eastAsia" w:ascii="仿宋_GB2312" w:hAnsi="仿宋"/>
          <w:szCs w:val="32"/>
        </w:rPr>
        <w:t>因此，依照《中华人民共和国刑法》第五十七条、第七十八条</w:t>
      </w:r>
      <w:r>
        <w:rPr>
          <w:rFonts w:hint="eastAsia" w:ascii="仿宋_GB2312" w:hAnsi="仿宋"/>
          <w:szCs w:val="32"/>
          <w:lang w:eastAsia="zh-CN"/>
        </w:rPr>
        <w:t>，</w:t>
      </w:r>
      <w:r>
        <w:rPr>
          <w:rFonts w:hint="eastAsia" w:ascii="仿宋_GB2312" w:hAnsi="仿宋"/>
          <w:szCs w:val="32"/>
        </w:rPr>
        <w:t>《中华人民共和国刑事诉讼法》第二百七十三条第二款和《中华人民共和国监狱法》第二十九条规定，建议对罪犯贾志远减为有期徒刑二十二年，剥夺政治权利改为十年。特提请你院审理裁定。</w:t>
      </w:r>
    </w:p>
    <w:p>
      <w:pPr>
        <w:pStyle w:val="3"/>
        <w:keepNext w:val="0"/>
        <w:keepLines w:val="0"/>
        <w:pageBreakBefore w:val="0"/>
        <w:widowControl w:val="0"/>
        <w:kinsoku/>
        <w:wordWrap/>
        <w:overflowPunct/>
        <w:topLinePunct w:val="0"/>
        <w:autoSpaceDE/>
        <w:autoSpaceDN/>
        <w:bidi w:val="0"/>
        <w:adjustRightInd/>
        <w:snapToGrid/>
        <w:spacing w:line="400" w:lineRule="exact"/>
        <w:ind w:right="-48" w:rightChars="-15" w:firstLine="614" w:firstLineChars="192"/>
        <w:jc w:val="left"/>
        <w:textAlignment w:val="auto"/>
        <w:rPr>
          <w:rFonts w:ascii="仿宋_GB2312" w:eastAsia="仿宋_GB2312" w:hAnsiTheme="majorEastAsia"/>
          <w:sz w:val="32"/>
          <w:szCs w:val="32"/>
        </w:rPr>
      </w:pPr>
      <w:r>
        <w:rPr>
          <w:rFonts w:hint="eastAsia" w:ascii="仿宋_GB2312" w:eastAsia="仿宋_GB2312" w:hAnsiTheme="majorEastAsia"/>
          <w:sz w:val="32"/>
          <w:szCs w:val="32"/>
        </w:rPr>
        <w:t>此致</w:t>
      </w:r>
    </w:p>
    <w:p>
      <w:pPr>
        <w:keepNext w:val="0"/>
        <w:keepLines w:val="0"/>
        <w:pageBreakBefore w:val="0"/>
        <w:widowControl w:val="0"/>
        <w:kinsoku/>
        <w:wordWrap/>
        <w:overflowPunct/>
        <w:topLinePunct w:val="0"/>
        <w:autoSpaceDE/>
        <w:autoSpaceDN/>
        <w:bidi w:val="0"/>
        <w:adjustRightInd/>
        <w:snapToGrid/>
        <w:spacing w:line="400" w:lineRule="exact"/>
        <w:ind w:right="-48" w:rightChars="-15"/>
        <w:jc w:val="left"/>
        <w:textAlignment w:val="auto"/>
        <w:rPr>
          <w:rFonts w:ascii="仿宋_GB2312" w:hAnsiTheme="majorEastAsia"/>
          <w:szCs w:val="32"/>
        </w:rPr>
      </w:pPr>
      <w:r>
        <w:rPr>
          <w:rFonts w:hint="eastAsia" w:ascii="仿宋_GB2312" w:hAnsiTheme="majorEastAsia"/>
          <w:szCs w:val="32"/>
        </w:rPr>
        <w:t>福建省高级人民法院</w:t>
      </w:r>
    </w:p>
    <w:p>
      <w:pPr>
        <w:keepNext w:val="0"/>
        <w:keepLines w:val="0"/>
        <w:pageBreakBefore w:val="0"/>
        <w:widowControl w:val="0"/>
        <w:kinsoku/>
        <w:wordWrap/>
        <w:overflowPunct/>
        <w:topLinePunct w:val="0"/>
        <w:autoSpaceDE/>
        <w:autoSpaceDN/>
        <w:bidi w:val="0"/>
        <w:adjustRightInd/>
        <w:snapToGrid/>
        <w:spacing w:line="400" w:lineRule="exact"/>
        <w:ind w:firstLine="640" w:firstLineChars="200"/>
        <w:jc w:val="left"/>
        <w:textAlignment w:val="auto"/>
        <w:rPr>
          <w:rFonts w:ascii="仿宋_GB2312" w:cs="仿宋_GB2312" w:hAnsiTheme="majorEastAsia"/>
          <w:szCs w:val="32"/>
        </w:rPr>
      </w:pPr>
      <w:r>
        <w:rPr>
          <w:rFonts w:hint="eastAsia" w:ascii="仿宋_GB2312" w:cs="仿宋_GB2312" w:hAnsiTheme="majorEastAsia"/>
          <w:szCs w:val="32"/>
        </w:rPr>
        <w:t>附件：⒈罪犯</w:t>
      </w:r>
      <w:r>
        <w:rPr>
          <w:rFonts w:hint="eastAsia" w:ascii="仿宋_GB2312" w:hAnsiTheme="majorEastAsia"/>
          <w:szCs w:val="32"/>
        </w:rPr>
        <w:t>贾志远</w:t>
      </w:r>
      <w:r>
        <w:rPr>
          <w:rFonts w:hint="eastAsia" w:ascii="仿宋_GB2312" w:cs="仿宋_GB2312" w:hAnsiTheme="majorEastAsia"/>
          <w:szCs w:val="32"/>
        </w:rPr>
        <w:t>卷宗</w:t>
      </w:r>
      <w:r>
        <w:rPr>
          <w:rFonts w:hint="eastAsia" w:ascii="仿宋_GB2312" w:cs="仿宋_GB2312" w:hAnsiTheme="majorEastAsia"/>
          <w:szCs w:val="32"/>
          <w:lang w:val="en-US" w:eastAsia="zh-CN"/>
        </w:rPr>
        <w:t>2</w:t>
      </w:r>
      <w:r>
        <w:rPr>
          <w:rFonts w:hint="eastAsia" w:ascii="仿宋_GB2312" w:cs="仿宋_GB2312" w:hAnsiTheme="majorEastAsia"/>
          <w:szCs w:val="32"/>
        </w:rPr>
        <w:t>册</w:t>
      </w:r>
    </w:p>
    <w:p>
      <w:pPr>
        <w:keepNext w:val="0"/>
        <w:keepLines w:val="0"/>
        <w:pageBreakBefore w:val="0"/>
        <w:widowControl w:val="0"/>
        <w:kinsoku/>
        <w:wordWrap/>
        <w:overflowPunct/>
        <w:topLinePunct w:val="0"/>
        <w:autoSpaceDE/>
        <w:autoSpaceDN/>
        <w:bidi w:val="0"/>
        <w:adjustRightInd/>
        <w:snapToGrid/>
        <w:spacing w:line="400" w:lineRule="exact"/>
        <w:ind w:right="-48" w:rightChars="-15" w:firstLine="1600" w:firstLineChars="500"/>
        <w:jc w:val="left"/>
        <w:textAlignment w:val="auto"/>
        <w:rPr>
          <w:rFonts w:ascii="仿宋_GB2312" w:cs="仿宋_GB2312" w:hAnsiTheme="majorEastAsia"/>
          <w:szCs w:val="32"/>
        </w:rPr>
      </w:pPr>
      <w:r>
        <w:rPr>
          <w:rFonts w:hint="eastAsia" w:ascii="仿宋_GB2312" w:cs="仿宋_GB2312" w:hAnsiTheme="majorEastAsia"/>
          <w:szCs w:val="32"/>
        </w:rPr>
        <w:t>⒉减刑建议书</w:t>
      </w:r>
      <w:r>
        <w:rPr>
          <w:rFonts w:hint="eastAsia" w:ascii="仿宋_GB2312" w:cs="仿宋_GB2312" w:hAnsiTheme="majorEastAsia"/>
          <w:szCs w:val="32"/>
          <w:lang w:val="en-US" w:eastAsia="zh-CN"/>
        </w:rPr>
        <w:t>2</w:t>
      </w:r>
      <w:r>
        <w:rPr>
          <w:rFonts w:hint="eastAsia" w:ascii="仿宋_GB2312" w:cs="仿宋_GB2312" w:hAnsiTheme="majorEastAsia"/>
          <w:szCs w:val="32"/>
        </w:rPr>
        <w:t>份</w:t>
      </w:r>
    </w:p>
    <w:p>
      <w:pPr>
        <w:keepNext w:val="0"/>
        <w:keepLines w:val="0"/>
        <w:pageBreakBefore w:val="0"/>
        <w:widowControl w:val="0"/>
        <w:kinsoku/>
        <w:wordWrap/>
        <w:overflowPunct/>
        <w:topLinePunct w:val="0"/>
        <w:autoSpaceDE/>
        <w:autoSpaceDN/>
        <w:bidi w:val="0"/>
        <w:adjustRightInd/>
        <w:snapToGrid/>
        <w:spacing w:line="400" w:lineRule="exact"/>
        <w:ind w:right="-48" w:rightChars="-15" w:firstLine="1600" w:firstLineChars="500"/>
        <w:jc w:val="left"/>
        <w:textAlignment w:val="auto"/>
        <w:rPr>
          <w:rFonts w:ascii="仿宋_GB2312" w:cs="仿宋_GB2312" w:hAnsiTheme="majorEastAsia"/>
          <w:szCs w:val="32"/>
        </w:rPr>
      </w:pPr>
    </w:p>
    <w:p>
      <w:pPr>
        <w:pStyle w:val="3"/>
        <w:keepNext w:val="0"/>
        <w:keepLines w:val="0"/>
        <w:pageBreakBefore w:val="0"/>
        <w:widowControl w:val="0"/>
        <w:kinsoku/>
        <w:wordWrap w:val="0"/>
        <w:overflowPunct/>
        <w:topLinePunct w:val="0"/>
        <w:autoSpaceDE/>
        <w:autoSpaceDN/>
        <w:bidi w:val="0"/>
        <w:adjustRightInd/>
        <w:snapToGrid/>
        <w:spacing w:line="400" w:lineRule="exact"/>
        <w:ind w:right="624" w:rightChars="195"/>
        <w:jc w:val="right"/>
        <w:textAlignment w:val="auto"/>
        <w:rPr>
          <w:rFonts w:hint="eastAsia" w:ascii="仿宋_GB2312" w:hAnsi="仿宋" w:eastAsia="仿宋_GB2312" w:cs="Times New Roman"/>
          <w:kern w:val="32"/>
          <w:sz w:val="32"/>
          <w:szCs w:val="32"/>
          <w:lang w:val="en-US" w:eastAsia="zh-CN" w:bidi="ar-SA"/>
        </w:rPr>
      </w:pPr>
      <w:r>
        <w:rPr>
          <w:rFonts w:hint="eastAsia" w:ascii="仿宋_GB2312" w:hAnsi="仿宋" w:eastAsia="仿宋_GB2312" w:cs="Times New Roman"/>
          <w:kern w:val="32"/>
          <w:sz w:val="32"/>
          <w:szCs w:val="32"/>
          <w:lang w:val="en-US" w:eastAsia="zh-CN" w:bidi="ar-SA"/>
        </w:rPr>
        <w:t xml:space="preserve">福建省厦门监狱 </w:t>
      </w:r>
    </w:p>
    <w:p>
      <w:pPr>
        <w:pStyle w:val="3"/>
        <w:keepNext w:val="0"/>
        <w:keepLines w:val="0"/>
        <w:pageBreakBefore w:val="0"/>
        <w:widowControl w:val="0"/>
        <w:kinsoku/>
        <w:wordWrap/>
        <w:overflowPunct/>
        <w:topLinePunct w:val="0"/>
        <w:autoSpaceDE/>
        <w:autoSpaceDN/>
        <w:bidi w:val="0"/>
        <w:adjustRightInd/>
        <w:snapToGrid/>
        <w:spacing w:line="400" w:lineRule="exact"/>
        <w:ind w:right="624" w:rightChars="195"/>
        <w:jc w:val="right"/>
        <w:textAlignment w:val="auto"/>
        <w:rPr>
          <w:rFonts w:hint="eastAsia" w:ascii="仿宋_GB2312" w:hAnsi="仿宋" w:eastAsia="仿宋_GB2312" w:cs="Times New Roman"/>
          <w:kern w:val="32"/>
          <w:sz w:val="32"/>
          <w:szCs w:val="32"/>
          <w:lang w:val="en-US" w:eastAsia="zh-CN" w:bidi="ar-SA"/>
        </w:rPr>
      </w:pPr>
      <w:r>
        <w:rPr>
          <w:rFonts w:hint="eastAsia" w:ascii="仿宋_GB2312" w:hAnsi="仿宋" w:eastAsia="仿宋_GB2312" w:cs="Times New Roman"/>
          <w:kern w:val="32"/>
          <w:sz w:val="32"/>
          <w:szCs w:val="32"/>
          <w:lang w:val="en-US" w:eastAsia="zh-CN" w:bidi="ar-SA"/>
        </w:rPr>
        <w:t>2026年6月22日</w:t>
      </w:r>
    </w:p>
    <w:p>
      <w:pPr>
        <w:keepNext w:val="0"/>
        <w:keepLines w:val="0"/>
        <w:pageBreakBefore w:val="0"/>
        <w:widowControl w:val="0"/>
        <w:kinsoku/>
        <w:wordWrap/>
        <w:overflowPunct/>
        <w:topLinePunct w:val="0"/>
        <w:autoSpaceDE/>
        <w:autoSpaceDN/>
        <w:bidi w:val="0"/>
        <w:adjustRightInd/>
        <w:snapToGrid/>
        <w:spacing w:line="400" w:lineRule="exact"/>
        <w:ind w:right="1213" w:rightChars="379" w:firstLine="5414" w:firstLineChars="1692"/>
        <w:jc w:val="left"/>
        <w:textAlignment w:val="auto"/>
        <w:rPr>
          <w:rFonts w:ascii="仿宋_GB2312" w:hAnsiTheme="majorEastAsia"/>
          <w:szCs w:val="32"/>
        </w:rPr>
      </w:pPr>
    </w:p>
    <w:sectPr>
      <w:headerReference r:id="rId3" w:type="default"/>
      <w:footerReference r:id="rId4" w:type="default"/>
      <w:footerReference r:id="rId5" w:type="even"/>
      <w:pgSz w:w="11906" w:h="16838"/>
      <w:pgMar w:top="1871" w:right="1304" w:bottom="1871" w:left="1587" w:header="1587" w:footer="1587" w:gutter="0"/>
      <w:cols w:space="425"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2010601030101010101"/>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8"/>
      </w:rPr>
    </w:pPr>
    <w:r>
      <w:rPr>
        <w:rStyle w:val="8"/>
        <w:rFonts w:hint="eastAsia"/>
      </w:rPr>
      <w:fldChar w:fldCharType="begin"/>
    </w:r>
    <w:r>
      <w:rPr>
        <w:rStyle w:val="8"/>
        <w:rFonts w:hint="eastAsia"/>
      </w:rPr>
      <w:instrText xml:space="preserve">PAGE  </w:instrText>
    </w:r>
    <w:r>
      <w:rPr>
        <w:rStyle w:val="8"/>
        <w:rFonts w:hint="eastAsia"/>
      </w:rPr>
      <w:fldChar w:fldCharType="end"/>
    </w:r>
  </w:p>
  <w:p>
    <w:pPr>
      <w:pStyle w:val="4"/>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HorizontalSpacing w:val="105"/>
  <w:drawingGridVerticalSpacing w:val="435"/>
  <w:displayHorizontalDrawingGridEvery w:val="0"/>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E71400"/>
    <w:rsid w:val="000026A3"/>
    <w:rsid w:val="00017D58"/>
    <w:rsid w:val="0002218E"/>
    <w:rsid w:val="00024F36"/>
    <w:rsid w:val="0003536C"/>
    <w:rsid w:val="00036097"/>
    <w:rsid w:val="000669E4"/>
    <w:rsid w:val="00082A2E"/>
    <w:rsid w:val="00085F7C"/>
    <w:rsid w:val="000A1E9D"/>
    <w:rsid w:val="000B1960"/>
    <w:rsid w:val="000B68B0"/>
    <w:rsid w:val="000E47C2"/>
    <w:rsid w:val="000F4D43"/>
    <w:rsid w:val="000F59AB"/>
    <w:rsid w:val="001029CB"/>
    <w:rsid w:val="00124154"/>
    <w:rsid w:val="00134F77"/>
    <w:rsid w:val="00144882"/>
    <w:rsid w:val="00146580"/>
    <w:rsid w:val="00151998"/>
    <w:rsid w:val="001541A1"/>
    <w:rsid w:val="00161176"/>
    <w:rsid w:val="001702CC"/>
    <w:rsid w:val="00171D4A"/>
    <w:rsid w:val="00182917"/>
    <w:rsid w:val="001877A7"/>
    <w:rsid w:val="001A521F"/>
    <w:rsid w:val="001B21F3"/>
    <w:rsid w:val="001D4ECF"/>
    <w:rsid w:val="00200A5B"/>
    <w:rsid w:val="0020161F"/>
    <w:rsid w:val="00237FD1"/>
    <w:rsid w:val="00253602"/>
    <w:rsid w:val="00256103"/>
    <w:rsid w:val="00262B11"/>
    <w:rsid w:val="0029196F"/>
    <w:rsid w:val="002944A2"/>
    <w:rsid w:val="00296F24"/>
    <w:rsid w:val="002A304C"/>
    <w:rsid w:val="002A670A"/>
    <w:rsid w:val="002B0008"/>
    <w:rsid w:val="002C7894"/>
    <w:rsid w:val="002E51ED"/>
    <w:rsid w:val="002E79D1"/>
    <w:rsid w:val="00300943"/>
    <w:rsid w:val="003770A2"/>
    <w:rsid w:val="003920B8"/>
    <w:rsid w:val="003A0008"/>
    <w:rsid w:val="003A7B60"/>
    <w:rsid w:val="003D2B13"/>
    <w:rsid w:val="003E2C4D"/>
    <w:rsid w:val="003E68A9"/>
    <w:rsid w:val="003E7DDF"/>
    <w:rsid w:val="00415E4B"/>
    <w:rsid w:val="00420AB5"/>
    <w:rsid w:val="00440500"/>
    <w:rsid w:val="004E0DFB"/>
    <w:rsid w:val="004E4AE5"/>
    <w:rsid w:val="00500804"/>
    <w:rsid w:val="005174C7"/>
    <w:rsid w:val="00520E95"/>
    <w:rsid w:val="00550464"/>
    <w:rsid w:val="00563171"/>
    <w:rsid w:val="00571E28"/>
    <w:rsid w:val="00572810"/>
    <w:rsid w:val="00593C48"/>
    <w:rsid w:val="005A1D12"/>
    <w:rsid w:val="005C731A"/>
    <w:rsid w:val="005E0BE3"/>
    <w:rsid w:val="00607E9B"/>
    <w:rsid w:val="00621204"/>
    <w:rsid w:val="00666730"/>
    <w:rsid w:val="0067080C"/>
    <w:rsid w:val="00673F1B"/>
    <w:rsid w:val="00680CEA"/>
    <w:rsid w:val="00690F71"/>
    <w:rsid w:val="00696FDE"/>
    <w:rsid w:val="006A168F"/>
    <w:rsid w:val="006E766E"/>
    <w:rsid w:val="006E7DEF"/>
    <w:rsid w:val="007006FF"/>
    <w:rsid w:val="0070480D"/>
    <w:rsid w:val="00721020"/>
    <w:rsid w:val="00731C7C"/>
    <w:rsid w:val="00747A31"/>
    <w:rsid w:val="00773DE3"/>
    <w:rsid w:val="00787BEE"/>
    <w:rsid w:val="007A0BFC"/>
    <w:rsid w:val="007B1CA7"/>
    <w:rsid w:val="007B389F"/>
    <w:rsid w:val="007C0760"/>
    <w:rsid w:val="007C5175"/>
    <w:rsid w:val="007C562B"/>
    <w:rsid w:val="007D11CB"/>
    <w:rsid w:val="007F65D8"/>
    <w:rsid w:val="00805265"/>
    <w:rsid w:val="00812E07"/>
    <w:rsid w:val="00815442"/>
    <w:rsid w:val="00831894"/>
    <w:rsid w:val="00840035"/>
    <w:rsid w:val="00841A48"/>
    <w:rsid w:val="00846F30"/>
    <w:rsid w:val="0084756A"/>
    <w:rsid w:val="008605E4"/>
    <w:rsid w:val="00864907"/>
    <w:rsid w:val="00887DEC"/>
    <w:rsid w:val="008C7B38"/>
    <w:rsid w:val="008D18E2"/>
    <w:rsid w:val="008D193A"/>
    <w:rsid w:val="008D5A71"/>
    <w:rsid w:val="008D7A40"/>
    <w:rsid w:val="008E3511"/>
    <w:rsid w:val="008F197F"/>
    <w:rsid w:val="00910ED6"/>
    <w:rsid w:val="00943040"/>
    <w:rsid w:val="00974D4A"/>
    <w:rsid w:val="009816E3"/>
    <w:rsid w:val="00984F66"/>
    <w:rsid w:val="00990463"/>
    <w:rsid w:val="009965AA"/>
    <w:rsid w:val="00996CDE"/>
    <w:rsid w:val="009A7A26"/>
    <w:rsid w:val="009D68A8"/>
    <w:rsid w:val="009F7FD4"/>
    <w:rsid w:val="00A01B5B"/>
    <w:rsid w:val="00A24989"/>
    <w:rsid w:val="00A57405"/>
    <w:rsid w:val="00A62EB4"/>
    <w:rsid w:val="00A744FB"/>
    <w:rsid w:val="00A771AC"/>
    <w:rsid w:val="00A80B91"/>
    <w:rsid w:val="00A80ECB"/>
    <w:rsid w:val="00A86A28"/>
    <w:rsid w:val="00A90192"/>
    <w:rsid w:val="00AA7B00"/>
    <w:rsid w:val="00AB6530"/>
    <w:rsid w:val="00AC32D5"/>
    <w:rsid w:val="00AD2603"/>
    <w:rsid w:val="00AF24F9"/>
    <w:rsid w:val="00AF5943"/>
    <w:rsid w:val="00AF72B7"/>
    <w:rsid w:val="00B00A2C"/>
    <w:rsid w:val="00B00FFF"/>
    <w:rsid w:val="00B023D5"/>
    <w:rsid w:val="00B13BF3"/>
    <w:rsid w:val="00B2649C"/>
    <w:rsid w:val="00B26710"/>
    <w:rsid w:val="00B508A5"/>
    <w:rsid w:val="00B60193"/>
    <w:rsid w:val="00BC4DA1"/>
    <w:rsid w:val="00BD06A2"/>
    <w:rsid w:val="00BE245B"/>
    <w:rsid w:val="00BE535E"/>
    <w:rsid w:val="00BF6423"/>
    <w:rsid w:val="00C03F59"/>
    <w:rsid w:val="00C1533A"/>
    <w:rsid w:val="00C33444"/>
    <w:rsid w:val="00C55CFF"/>
    <w:rsid w:val="00C62C38"/>
    <w:rsid w:val="00C65881"/>
    <w:rsid w:val="00C73732"/>
    <w:rsid w:val="00C84620"/>
    <w:rsid w:val="00C94316"/>
    <w:rsid w:val="00C955CE"/>
    <w:rsid w:val="00CA2206"/>
    <w:rsid w:val="00CA6453"/>
    <w:rsid w:val="00CD6AF8"/>
    <w:rsid w:val="00D000F3"/>
    <w:rsid w:val="00D214E9"/>
    <w:rsid w:val="00D22DD4"/>
    <w:rsid w:val="00D33C4B"/>
    <w:rsid w:val="00D540C2"/>
    <w:rsid w:val="00D54CE0"/>
    <w:rsid w:val="00D55EE8"/>
    <w:rsid w:val="00D6504E"/>
    <w:rsid w:val="00DA573C"/>
    <w:rsid w:val="00DD0D4F"/>
    <w:rsid w:val="00DD29E1"/>
    <w:rsid w:val="00DF6309"/>
    <w:rsid w:val="00E3157A"/>
    <w:rsid w:val="00E52AD8"/>
    <w:rsid w:val="00E54106"/>
    <w:rsid w:val="00E71400"/>
    <w:rsid w:val="00E761F4"/>
    <w:rsid w:val="00E81F25"/>
    <w:rsid w:val="00E82F6A"/>
    <w:rsid w:val="00EB35A5"/>
    <w:rsid w:val="00EC3917"/>
    <w:rsid w:val="00ED59AA"/>
    <w:rsid w:val="00EE15BC"/>
    <w:rsid w:val="00EF28AA"/>
    <w:rsid w:val="00F00761"/>
    <w:rsid w:val="00F066DB"/>
    <w:rsid w:val="00F27BA4"/>
    <w:rsid w:val="00F34CEF"/>
    <w:rsid w:val="00F546FE"/>
    <w:rsid w:val="00F73745"/>
    <w:rsid w:val="00FB3B7E"/>
    <w:rsid w:val="00FB67AE"/>
    <w:rsid w:val="00FE01F1"/>
    <w:rsid w:val="00FE1E5A"/>
    <w:rsid w:val="0BC57544"/>
    <w:rsid w:val="11DB5AA6"/>
    <w:rsid w:val="1EA00AC7"/>
    <w:rsid w:val="22594BA1"/>
    <w:rsid w:val="26A627C2"/>
    <w:rsid w:val="2E6365A9"/>
    <w:rsid w:val="388D6F5E"/>
    <w:rsid w:val="3F282274"/>
    <w:rsid w:val="402842CA"/>
    <w:rsid w:val="6305174A"/>
    <w:rsid w:val="7E264030"/>
    <w:rsid w:val="7E600D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qFormat="1" w:unhideWhenUsed="0" w:uiPriority="0" w:semiHidden="0"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仿宋_GB2312" w:cs="Times New Roman"/>
      <w:kern w:val="32"/>
      <w:sz w:val="32"/>
      <w:szCs w:val="20"/>
      <w:lang w:val="en-US" w:eastAsia="zh-CN" w:bidi="ar-SA"/>
    </w:rPr>
  </w:style>
  <w:style w:type="paragraph" w:styleId="2">
    <w:name w:val="heading 1"/>
    <w:basedOn w:val="1"/>
    <w:next w:val="1"/>
    <w:link w:val="12"/>
    <w:qFormat/>
    <w:uiPriority w:val="9"/>
    <w:pPr>
      <w:keepNext/>
      <w:keepLines/>
      <w:spacing w:before="340" w:after="330" w:line="578" w:lineRule="auto"/>
      <w:outlineLvl w:val="0"/>
    </w:pPr>
    <w:rPr>
      <w:rFonts w:asciiTheme="minorHAnsi" w:hAnsiTheme="minorHAnsi" w:eastAsiaTheme="minorEastAsia" w:cstheme="minorBidi"/>
      <w:b/>
      <w:bCs/>
      <w:kern w:val="44"/>
      <w:sz w:val="44"/>
      <w:szCs w:val="44"/>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Salutation"/>
    <w:basedOn w:val="1"/>
    <w:next w:val="1"/>
    <w:link w:val="11"/>
    <w:qFormat/>
    <w:uiPriority w:val="0"/>
    <w:rPr>
      <w:rFonts w:asciiTheme="minorHAnsi" w:hAnsiTheme="minorHAnsi" w:eastAsiaTheme="minorEastAsia" w:cstheme="minorBidi"/>
      <w:kern w:val="2"/>
      <w:sz w:val="21"/>
      <w:szCs w:val="22"/>
    </w:rPr>
  </w:style>
  <w:style w:type="paragraph" w:styleId="4">
    <w:name w:val="footer"/>
    <w:basedOn w:val="1"/>
    <w:link w:val="10"/>
    <w:semiHidden/>
    <w:unhideWhenUsed/>
    <w:qFormat/>
    <w:uiPriority w:val="99"/>
    <w:pPr>
      <w:tabs>
        <w:tab w:val="center" w:pos="4153"/>
        <w:tab w:val="right" w:pos="8306"/>
      </w:tabs>
      <w:snapToGrid w:val="0"/>
      <w:jc w:val="left"/>
    </w:pPr>
    <w:rPr>
      <w:rFonts w:asciiTheme="minorHAnsi" w:hAnsiTheme="minorHAnsi" w:eastAsiaTheme="minorEastAsia" w:cstheme="minorBidi"/>
      <w:kern w:val="2"/>
      <w:sz w:val="18"/>
      <w:szCs w:val="18"/>
    </w:rPr>
  </w:style>
  <w:style w:type="paragraph" w:styleId="5">
    <w:name w:val="header"/>
    <w:basedOn w:val="1"/>
    <w:link w:val="9"/>
    <w:semiHidden/>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kern w:val="2"/>
      <w:sz w:val="18"/>
      <w:szCs w:val="18"/>
    </w:rPr>
  </w:style>
  <w:style w:type="character" w:styleId="8">
    <w:name w:val="page number"/>
    <w:basedOn w:val="7"/>
    <w:semiHidden/>
    <w:unhideWhenUsed/>
    <w:qFormat/>
    <w:uiPriority w:val="99"/>
  </w:style>
  <w:style w:type="character" w:customStyle="1" w:styleId="9">
    <w:name w:val="页眉 Char"/>
    <w:basedOn w:val="7"/>
    <w:link w:val="5"/>
    <w:semiHidden/>
    <w:qFormat/>
    <w:uiPriority w:val="99"/>
    <w:rPr>
      <w:sz w:val="18"/>
      <w:szCs w:val="18"/>
    </w:rPr>
  </w:style>
  <w:style w:type="character" w:customStyle="1" w:styleId="10">
    <w:name w:val="页脚 Char"/>
    <w:basedOn w:val="7"/>
    <w:link w:val="4"/>
    <w:semiHidden/>
    <w:qFormat/>
    <w:uiPriority w:val="99"/>
    <w:rPr>
      <w:sz w:val="18"/>
      <w:szCs w:val="18"/>
    </w:rPr>
  </w:style>
  <w:style w:type="character" w:customStyle="1" w:styleId="11">
    <w:name w:val="称呼 Char"/>
    <w:basedOn w:val="7"/>
    <w:link w:val="3"/>
    <w:qFormat/>
    <w:uiPriority w:val="0"/>
    <w:rPr>
      <w:rFonts w:ascii="Calibri" w:hAnsi="Calibri" w:eastAsia="仿宋_GB2312" w:cs="Times New Roman"/>
      <w:kern w:val="32"/>
      <w:sz w:val="32"/>
      <w:szCs w:val="20"/>
    </w:rPr>
  </w:style>
  <w:style w:type="character" w:customStyle="1" w:styleId="12">
    <w:name w:val="标题 1 Char"/>
    <w:basedOn w:val="7"/>
    <w:link w:val="2"/>
    <w:qFormat/>
    <w:uiPriority w:val="9"/>
    <w:rPr>
      <w:b/>
      <w:bCs/>
      <w:kern w:val="44"/>
      <w:sz w:val="44"/>
      <w:szCs w:val="44"/>
    </w:rPr>
  </w:style>
  <w:style w:type="paragraph" w:customStyle="1" w:styleId="13">
    <w:name w:val="列表段落1"/>
    <w:basedOn w:val="1"/>
    <w:qFormat/>
    <w:uiPriority w:val="99"/>
    <w:pPr>
      <w:ind w:firstLine="420" w:firstLineChars="200"/>
    </w:pPr>
    <w:rPr>
      <w:rFonts w:ascii="Times New Roman" w:hAnsi="Times New Roman"/>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93B290-6776-441F-BEF3-613A7F49B625}">
  <ds:schemaRefs/>
</ds:datastoreItem>
</file>

<file path=docProps/app.xml><?xml version="1.0" encoding="utf-8"?>
<Properties xmlns="http://schemas.openxmlformats.org/officeDocument/2006/extended-properties" xmlns:vt="http://schemas.openxmlformats.org/officeDocument/2006/docPropsVTypes">
  <Template>Normal.dotm</Template>
  <Company>Organization</Company>
  <Pages>2</Pages>
  <Words>223</Words>
  <Characters>1277</Characters>
  <Lines>10</Lines>
  <Paragraphs>2</Paragraphs>
  <TotalTime>0</TotalTime>
  <ScaleCrop>false</ScaleCrop>
  <LinksUpToDate>false</LinksUpToDate>
  <CharactersWithSpaces>1498</CharactersWithSpaces>
  <Application>WPS Office_11.8.2.12118_F1E327BC-269C-435d-A152-05C5408002CA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2025-04-08T06:43:00Z</dcterms:created>
  <dc:creator>Windows 用户</dc:creator>
  <cp:lastModifiedBy>陈雯</cp:lastModifiedBy>
  <dcterms:modified xsi:type="dcterms:W3CDTF">2026-06-26T01:03:22Z</dcterms:modified>
  <cp:revision>211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2052-11.8.2.12118</vt:lpwstr>
  </property>
  <property fmtid="{D5CDD505-2E9C-101B-9397-08002B2CF9AE}" pid="3" name="ICV">
    <vt:lpwstr>A053C3E4B47741B0AA1E0C644F271C02</vt:lpwstr>
  </property>
</Properties>
</file>