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00" w:lineRule="atLeast"/>
        <w:ind w:left="0" w:right="0" w:firstLine="0"/>
        <w:jc w:val="center"/>
        <w:rPr>
          <w:rFonts w:ascii="微软雅黑" w:hAnsi="微软雅黑" w:eastAsia="微软雅黑" w:cs="微软雅黑"/>
          <w:b/>
          <w:bCs/>
          <w:i w:val="0"/>
          <w:iCs w:val="0"/>
          <w:caps w:val="0"/>
          <w:color w:val="3E464C"/>
          <w:spacing w:val="0"/>
          <w:sz w:val="33"/>
          <w:szCs w:val="33"/>
        </w:rPr>
      </w:pPr>
      <w:r>
        <w:rPr>
          <w:rFonts w:hint="eastAsia" w:ascii="微软雅黑" w:hAnsi="微软雅黑" w:eastAsia="微软雅黑" w:cs="微软雅黑"/>
          <w:b/>
          <w:bCs/>
          <w:i w:val="0"/>
          <w:iCs w:val="0"/>
          <w:caps w:val="0"/>
          <w:color w:val="3E464C"/>
          <w:spacing w:val="0"/>
          <w:kern w:val="0"/>
          <w:sz w:val="33"/>
          <w:szCs w:val="33"/>
          <w:shd w:val="clear" w:fill="FFFFFF"/>
          <w:lang w:val="en-US" w:eastAsia="zh-CN" w:bidi="ar"/>
        </w:rPr>
        <w:t>数字化监狱系统运维保障服务采购项目公开招标公告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0" w:beforeAutospacing="0" w:after="150" w:afterAutospacing="0" w:line="480" w:lineRule="atLeast"/>
        <w:ind w:left="0" w:right="0" w:firstLine="425"/>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受福建省未成年犯管教所委托，福建康泰招标有限公司对ZXCG-350001-FJKT-20260006、数字化监狱系统运维保障服务采购项目组织公开招标，现欢迎国内合格的供应商前来参加。数字化监狱系统运维保障服务采购项目的潜在投标人应在福建省政府采购网免费申请账号在福建省政府采购网上公开信息系统（自采平台）按项目获取采购文件，并于2026年07月07日 09时30分00秒（北京时间）前递交投标文件。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项目编号：ZXCG-350001-FJKT-20260006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项目名称：数字化监狱系统运维保障服务采购项目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预算金额：550,000.00元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采购包1(数字化监狱系统运维保障服务采购项目):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采购包预算金额：550,000.00元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采购包最高限价： 550,000.00元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采购需求：（包括但不限于标的的名称、数量、简要技术需求或服务要求等）</w:t>
      </w:r>
    </w:p>
    <w:tbl>
      <w:tblPr>
        <w:tblStyle w:val="5"/>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0"/>
        <w:gridCol w:w="2001"/>
        <w:gridCol w:w="2001"/>
        <w:gridCol w:w="785"/>
        <w:gridCol w:w="853"/>
        <w:gridCol w:w="1100"/>
        <w:gridCol w:w="1440"/>
        <w:gridCol w:w="1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品目号</w:t>
            </w:r>
          </w:p>
        </w:tc>
        <w:tc>
          <w:tcPr>
            <w:tcW w:w="10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品目编码及品目名称</w:t>
            </w:r>
          </w:p>
        </w:tc>
        <w:tc>
          <w:tcPr>
            <w:tcW w:w="10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采购标的</w:t>
            </w:r>
          </w:p>
        </w:tc>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数量（单位）</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允许进口</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简要需求或要求</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品目预算(元)</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中小企业划分标准所属行业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sz w:val="24"/>
                <w:szCs w:val="24"/>
              </w:rPr>
            </w:pPr>
            <w:r>
              <w:rPr>
                <w:rFonts w:ascii="宋体" w:hAnsi="宋体" w:eastAsia="宋体" w:cs="宋体"/>
                <w:kern w:val="0"/>
                <w:sz w:val="24"/>
                <w:szCs w:val="24"/>
                <w:lang w:val="en-US" w:eastAsia="zh-CN" w:bidi="ar"/>
              </w:rPr>
              <w:t>1-1</w:t>
            </w:r>
          </w:p>
        </w:tc>
        <w:tc>
          <w:tcPr>
            <w:tcW w:w="10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sz w:val="24"/>
                <w:szCs w:val="24"/>
              </w:rPr>
            </w:pPr>
            <w:r>
              <w:rPr>
                <w:rFonts w:ascii="宋体" w:hAnsi="宋体" w:eastAsia="宋体" w:cs="宋体"/>
                <w:kern w:val="0"/>
                <w:sz w:val="24"/>
                <w:szCs w:val="24"/>
                <w:lang w:val="en-US" w:eastAsia="zh-CN" w:bidi="ar"/>
              </w:rPr>
              <w:t>C16070200-硬件运维服务</w:t>
            </w:r>
          </w:p>
        </w:tc>
        <w:tc>
          <w:tcPr>
            <w:tcW w:w="10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sz w:val="24"/>
                <w:szCs w:val="24"/>
              </w:rPr>
            </w:pPr>
            <w:r>
              <w:rPr>
                <w:rFonts w:ascii="宋体" w:hAnsi="宋体" w:eastAsia="宋体" w:cs="宋体"/>
                <w:kern w:val="0"/>
                <w:sz w:val="24"/>
                <w:szCs w:val="24"/>
                <w:lang w:val="en-US" w:eastAsia="zh-CN" w:bidi="ar"/>
              </w:rPr>
              <w:t>数字化监狱系统运维保障服务采购项目</w:t>
            </w:r>
          </w:p>
        </w:tc>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sz w:val="24"/>
                <w:szCs w:val="24"/>
              </w:rPr>
            </w:pPr>
            <w:r>
              <w:rPr>
                <w:rFonts w:ascii="宋体" w:hAnsi="宋体" w:eastAsia="宋体" w:cs="宋体"/>
                <w:kern w:val="0"/>
                <w:sz w:val="24"/>
                <w:szCs w:val="24"/>
                <w:lang w:val="en-US" w:eastAsia="zh-CN" w:bidi="ar"/>
              </w:rPr>
              <w:t>否</w:t>
            </w:r>
          </w:p>
        </w:tc>
        <w:tc>
          <w:tcPr>
            <w:tcW w:w="5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spacing w:before="0" w:line="360" w:lineRule="auto"/>
              <w:jc w:val="center"/>
              <w:textAlignment w:val="auto"/>
              <w:rPr>
                <w:rFonts w:hint="eastAsia" w:ascii="宋体"/>
                <w:sz w:val="24"/>
                <w:szCs w:val="24"/>
              </w:rPr>
            </w:pP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right"/>
              <w:textAlignment w:val="auto"/>
              <w:rPr>
                <w:sz w:val="24"/>
                <w:szCs w:val="24"/>
              </w:rPr>
            </w:pPr>
            <w:r>
              <w:rPr>
                <w:rFonts w:ascii="宋体" w:hAnsi="宋体" w:eastAsia="宋体" w:cs="宋体"/>
                <w:kern w:val="0"/>
                <w:sz w:val="24"/>
                <w:szCs w:val="24"/>
                <w:lang w:val="en-US" w:eastAsia="zh-CN" w:bidi="ar"/>
              </w:rPr>
              <w:t>550,000.00</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right"/>
              <w:textAlignment w:val="auto"/>
              <w:rPr>
                <w:sz w:val="24"/>
                <w:szCs w:val="24"/>
              </w:rPr>
            </w:pPr>
            <w:r>
              <w:rPr>
                <w:rFonts w:ascii="宋体" w:hAnsi="宋体" w:eastAsia="宋体" w:cs="宋体"/>
                <w:kern w:val="0"/>
                <w:sz w:val="24"/>
                <w:szCs w:val="24"/>
                <w:lang w:val="en-US" w:eastAsia="zh-CN" w:bidi="ar"/>
              </w:rPr>
              <w:t>软件和信息技术服务业</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本采购包不接受联合体投标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合同履行期限：合同签订起2年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1.一般资格要求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1）单位授权书：①投标人（自然人除外）：若投标人代表为单位授权的委托代理人，应提供本授权书；若投标人代表为单位负责人，应在此项下提交其身份证正反面复印件，可不提供本授权书。 ②投标人为自然人的，可不填写本授权书。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营业执照等证明文件：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3）提供财务状况报告(财务报告、或资信证明）：①投标人提供的财务报告复印件（成立年限按照投标截止时间推算）应符合下列规定：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4）依法缴纳税收证明材料：①投标人提供的税收缴纳凭据复印件应符合下列规定：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5）依法缴纳社会保障资金证明材料：①投标人提供的社会保障资金缴纳凭据复印件应符合下列规定：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6）具备履行合同所必需设备和专业技术能力的声明函(若有)：①招标文件未要求投标人提供“具备履行合同所必需的设备和专业技术能力专项证明材料”的，投标人应提供本声明函。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7）参加采购活动前三年内在经营活动中没有重大违法记录的声明：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8）信用记录查询结果：①信用记录查询的截止时点：信用记录查询的截止时点为本项目投标截止当日。 ②信用记录查询渠道：信用中国、中国政府采购网。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本采购包为专门面向中小企业采购，投标人须提供中小企业声明函。监狱企业、残疾人福利性单位视同小型、微型企业。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kern w:val="0"/>
          <w:sz w:val="24"/>
          <w:szCs w:val="24"/>
          <w:shd w:val="clear" w:fill="FFFFFF"/>
          <w:lang w:val="en-US" w:eastAsia="zh-CN" w:bidi="ar"/>
        </w:rPr>
        <w:t>(1)</w:t>
      </w:r>
      <w:r>
        <w:rPr>
          <w:rFonts w:hint="eastAsia" w:ascii="宋体" w:hAnsi="宋体" w:eastAsia="宋体" w:cs="宋体"/>
          <w:i w:val="0"/>
          <w:iCs w:val="0"/>
          <w:caps w:val="0"/>
          <w:color w:val="222222"/>
          <w:spacing w:val="0"/>
          <w:sz w:val="24"/>
          <w:szCs w:val="24"/>
          <w:shd w:val="clear" w:fill="FFFFFF"/>
        </w:rPr>
        <w:t>本采购包专门面向中小企业采购，非中小企业投标无效，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注：本项目采购标的对应的中小企业划分标准所属行业为“软件和信息技术服务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kern w:val="0"/>
          <w:sz w:val="24"/>
          <w:szCs w:val="24"/>
          <w:shd w:val="clear" w:fill="FFFFFF"/>
          <w:lang w:val="en-US" w:eastAsia="zh-CN" w:bidi="ar"/>
        </w:rPr>
        <w:t>(2)</w:t>
      </w:r>
      <w:r>
        <w:rPr>
          <w:rFonts w:hint="eastAsia" w:ascii="宋体" w:hAnsi="宋体" w:eastAsia="宋体" w:cs="宋体"/>
          <w:i w:val="0"/>
          <w:iCs w:val="0"/>
          <w:caps w:val="0"/>
          <w:color w:val="222222"/>
          <w:spacing w:val="0"/>
          <w:sz w:val="24"/>
          <w:szCs w:val="24"/>
          <w:shd w:val="clear" w:fill="FFFFFF"/>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①供应商提供的财务报告复印件（成立年限按照提交响应文件截止时间推算）应符合下列规定：a.成立年限满1年及以上的供应商，提供经审计的2024年度/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 有关财务状况报告提供以此条为准；(4)供应商须承诺投标文件递交截止时间当日未在福建省监狱管理局和福建省未成年犯管教所不良行为记录名单内，格式详见第七章。注:本项不在资格承诺函的范围内，供应商应按本项要求提供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三、采购项目需要落实的政策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节能产品：否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环境标志产品：否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四、获取招标文件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时间： 2026-06-16 至 2026-06-24 ，（提供期限自本公告发布之日起不得少于5个工作日），每天上午00:00:00至12:00:00，下午12:00:00至23:59:59（北京时间，法定节假日除外）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点：投标人应先在福建省政府采购网免费申请账号在福建省政府采购网上公开信息系统（自采平台）按项目下载招标文件(请根据项目所在地，登录对应的(省本级/市级/区县)）福建省政府采购网上公开信息系统（自采平台）操作，否则投标将被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售价：免费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五、提交投标文件截止时间、开标时间和地点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2026-07-07 09:30:00（北京时间）（自招标文件开始发出之日起至投标人提交投标文件截止之日止，不得少于20日）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地点：福建省福州市鼓楼区湖东路169号中闽天骜大厦第十三层02A单元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名称：福建省未成年犯管教所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地址：福建省福州市闽侯县南屿镇窗厦村悬钟山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联系方式：0591-22815589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2.采购代理机构信息（如有）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名称：福建康泰招标有限公司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地址：福建省福州市鼓楼区湖东路169号中闽天骜大厦第十三层02A单元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联系方式：0591-87803505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项目联系人：陈东英、陈火源、李慧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电话：0591-87803505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4"/>
          <w:szCs w:val="24"/>
        </w:rPr>
      </w:pPr>
      <w:bookmarkStart w:id="0" w:name="_GoBack"/>
      <w:bookmarkEnd w:id="0"/>
      <w:r>
        <w:rPr>
          <w:rFonts w:hint="eastAsia" w:ascii="宋体" w:hAnsi="宋体" w:eastAsia="宋体" w:cs="宋体"/>
          <w:i w:val="0"/>
          <w:iCs w:val="0"/>
          <w:caps w:val="0"/>
          <w:color w:val="222222"/>
          <w:spacing w:val="0"/>
          <w:sz w:val="24"/>
          <w:szCs w:val="24"/>
          <w:shd w:val="clear" w:fill="FFFFFF"/>
        </w:rPr>
        <w:t>开户名：福建康泰招标有限公司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shd w:val="clear" w:fill="FFFFFF"/>
        </w:rPr>
        <w:t>福建康泰招标有限公司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shd w:val="clear" w:fill="FFFFFF"/>
        </w:rPr>
        <w:t>2026年06月16日</w:t>
      </w: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A4E5D"/>
    <w:rsid w:val="20CD725E"/>
    <w:rsid w:val="388A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2026-06-16T09:24:00Z</dcterms:created>
  <dc:creator>Kt</dc:creator>
  <cp:lastModifiedBy>一片茶叶</cp:lastModifiedBy>
  <dcterms:modified xsi:type="dcterms:W3CDTF">2026-06-18T02:52:05Z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615E421BA5DD4DB490D591926E257F41_11</vt:lpwstr>
  </property>
</Properties>
</file>