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7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7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 xml:space="preserve">24 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78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430" w:lineRule="exact"/>
        <w:ind w:left="640" w:right="-48" w:rightChars="-15" w:firstLine="0" w:firstLineChars="0"/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</w:pPr>
    </w:p>
    <w:p>
      <w:pPr>
        <w:spacing w:line="430" w:lineRule="exact"/>
        <w:ind w:firstLine="640" w:firstLineChars="200"/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  <w:t>罪犯林龙鹏，男，1992年2月5日出生，汉族，初中文化，住莆田市城厢区</w:t>
      </w:r>
      <w:bookmarkStart w:id="0" w:name="_GoBack"/>
      <w:bookmarkEnd w:id="0"/>
      <w:r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  <w:t>，捕前系务工。</w:t>
      </w:r>
    </w:p>
    <w:p>
      <w:pPr>
        <w:spacing w:line="430" w:lineRule="exact"/>
        <w:ind w:firstLine="640" w:firstLineChars="200"/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cs="Times New Roman"/>
          <w:iCs/>
          <w:kern w:val="2"/>
          <w:sz w:val="32"/>
          <w:szCs w:val="32"/>
          <w:lang w:val="en-US" w:eastAsia="zh-CN" w:bidi="ar-SA"/>
        </w:rPr>
        <w:t>福建省</w:t>
      </w:r>
      <w:r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  <w:t>莆田市城厢区人民法院于2022年6月23日作出(2021)闽0302刑初746号刑事判决，以被告人林龙鹏犯传播淫秽物品牟利罪，判处有期徒刑三年六个月，罚金人民币</w:t>
      </w:r>
      <w:r>
        <w:rPr>
          <w:rFonts w:hint="eastAsia" w:ascii="仿宋_GB2312" w:hAnsi="仿宋" w:cs="Times New Roman"/>
          <w:iCs/>
          <w:kern w:val="2"/>
          <w:sz w:val="32"/>
          <w:szCs w:val="32"/>
          <w:lang w:val="en-US" w:eastAsia="zh-CN" w:bidi="ar-SA"/>
        </w:rPr>
        <w:t>二万</w:t>
      </w:r>
      <w:r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  <w:t>元。宣判后，被告人林龙鹏，提出上诉。福建省莆田市中级人民法院于2022年10月17日作出（2022)闽03刑终350号刑事裁定书刑事裁定，驳回上诉，维持原判。刑期自2021年3月11日起至2024年9月7日止。2022年11月29日交付福建省未成年犯管教所执行刑罚。属</w:t>
      </w:r>
      <w:r>
        <w:rPr>
          <w:rFonts w:hint="eastAsia" w:ascii="仿宋_GB2312" w:hAnsi="仿宋" w:cs="Times New Roman"/>
          <w:iCs/>
          <w:kern w:val="2"/>
          <w:sz w:val="32"/>
          <w:szCs w:val="32"/>
          <w:lang w:val="en-US" w:eastAsia="zh-CN" w:bidi="ar-SA"/>
        </w:rPr>
        <w:t>宽管级</w:t>
      </w:r>
      <w:r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  <w:t>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减刑起始时间自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2022年11月29日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2024年1月31日</w:t>
      </w:r>
      <w:r>
        <w:rPr>
          <w:rFonts w:hint="eastAsia" w:ascii="仿宋_GB2312" w:hAnsi="仿宋_GB2312" w:cs="仿宋_GB2312"/>
          <w:bCs/>
          <w:szCs w:val="32"/>
        </w:rPr>
        <w:t>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1204.7</w:t>
      </w:r>
      <w:r>
        <w:rPr>
          <w:rFonts w:hint="eastAsia" w:ascii="仿宋_GB2312" w:hAnsi="仿宋_GB2312" w:cs="仿宋_GB2312"/>
          <w:bCs/>
          <w:szCs w:val="32"/>
        </w:rPr>
        <w:t>分，物质奖励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次；无违规扣分。</w:t>
      </w:r>
    </w:p>
    <w:p>
      <w:pPr>
        <w:pStyle w:val="7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/>
          <w:szCs w:val="32"/>
          <w:lang w:val="en-US" w:eastAsia="zh-CN"/>
        </w:rPr>
        <w:t>该犯财产性判项已履行完毕，福建省莆田市城厢区人民法院已出具《结案证明》予以证实。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林龙鹏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福州市</w:t>
      </w:r>
      <w:r>
        <w:rPr>
          <w:rFonts w:hint="eastAsia"/>
          <w:szCs w:val="32"/>
        </w:rPr>
        <w:t>市中级人民法院</w:t>
      </w:r>
    </w:p>
    <w:p>
      <w:pPr>
        <w:pStyle w:val="7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7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林龙鹏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14094A5E"/>
    <w:rsid w:val="3C4E4531"/>
    <w:rsid w:val="57927004"/>
    <w:rsid w:val="599261F9"/>
    <w:rsid w:val="60A82242"/>
    <w:rsid w:val="6902456B"/>
    <w:rsid w:val="749F23F8"/>
    <w:rsid w:val="74D3125C"/>
    <w:rsid w:val="75377621"/>
    <w:rsid w:val="7D31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6"/>
    <w:qFormat/>
    <w:uiPriority w:val="99"/>
  </w:style>
  <w:style w:type="character" w:styleId="5">
    <w:name w:val="Emphasis"/>
    <w:basedOn w:val="4"/>
    <w:qFormat/>
    <w:uiPriority w:val="20"/>
    <w:rPr>
      <w:i/>
    </w:rPr>
  </w:style>
  <w:style w:type="character" w:customStyle="1" w:styleId="6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4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2024-05-10T01:52:30Z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8448E1CC85654AB0916FB987C3D47684</vt:lpwstr>
  </property>
</Properties>
</file>