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假释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</w:t>
      </w:r>
      <w:r>
        <w:rPr>
          <w:rFonts w:hint="eastAsia" w:eastAsia="楷体_GB2312" w:cs="楷体_GB2312"/>
          <w:szCs w:val="32"/>
          <w:lang w:val="en-US" w:eastAsia="zh-CN"/>
        </w:rPr>
        <w:t>假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0" w:firstLineChars="0"/>
        <w:jc w:val="left"/>
        <w:textAlignment w:val="auto"/>
        <w:rPr>
          <w:rFonts w:ascii="仿宋_GB2312"/>
          <w:b/>
          <w:bCs/>
          <w:sz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罪犯施建辉，男，1991年4月14日出生，，汉族，初中文化，住所地福建省莆田市，捕前系经商。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莆田市涵江区人民法院于2021年6月1日作出(2021)闽0303刑初50号刑事判决，以被告人施建辉犯销售假冒注册商标的商品罪，判处有期徒刑四年，并处罚金人民币四十万元。退出的非法获利款人民币15万元，予以没收，上缴国库。宣判后，被告人不服，提出上诉。福建省莆田市中级人民法院于2021年8月26日作出(2021)闽03刑终401号刑事裁定：驳回上诉，维持原判。刑期自2021年1月19日起至2025年1月16日止。2021年10月19日交付福建省未成年犯管教所执行刑罚。属宽管级罪犯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关于罪犯施建辉人身危险性方面的情况：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该犯系初犯、偶犯。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该犯所犯罪行系非暴力性行为。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该犯能如实供述所犯罪行，认罪认罚，法院认定从轻处罚。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经我所《假释服刑人员表现危险性评估及救助帮教建议书》评估为：罪犯施建辉再犯罪风险为一般危险性等级；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辖区社区矫正管理局社会调查评估认认为施建辉家庭经济状况一般，小日村委会出具意见同意接纳。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二、</w:t>
      </w: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2.遵守监规：能遵守法律法规及监规纪律，接受教育改造。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3.学习情况：能参加思想、文化、职业技术教育。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4.劳动改造：能参加劳动，努力完成劳动任务。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5.奖惩情况：该犯考核期2021年10月19日至2024年1月31日累计获3143.1分，表扬5次。无违规扣分。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6.该犯已履行人民币550000元；其中本考核期向福建省莆田市秀屿区人民法院缴纳人民币400000元。福建省莆田市秀屿区人民法院出具缴款凭证（票号：0028941、0028940）、结案通知书((2021)闽0303执3014号)和执行裁定书((2022)闽0303执89号之一)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家庭情况：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父亲施某某，养殖户，年收入约150000元；</w:t>
      </w:r>
      <w:r>
        <w:rPr>
          <w:rFonts w:hint="eastAsia" w:ascii="仿宋_GB2312" w:hAnsi="仿宋_GB2312" w:eastAsia="仿宋_GB2312" w:cs="仿宋_GB2312"/>
          <w:sz w:val="32"/>
          <w:szCs w:val="32"/>
        </w:rPr>
        <w:t>妻子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刘某某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务工，月综合收入2000、3000元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帮教情况：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其父亲施某某</w:t>
      </w:r>
      <w:r>
        <w:rPr>
          <w:rFonts w:hint="eastAsia" w:ascii="仿宋_GB2312" w:hAnsi="仿宋_GB2312" w:eastAsia="仿宋_GB2312" w:cs="仿宋_GB2312"/>
          <w:sz w:val="32"/>
          <w:szCs w:val="32"/>
        </w:rPr>
        <w:t>已与福建省未成年犯管教所签订了帮教协议。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莆田市秀屿区社区矫正管理局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出具适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sz w:val="32"/>
          <w:szCs w:val="32"/>
        </w:rPr>
        <w:t>社区矫正的调查评估报告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于2024年3月22日出具检察建议，建议对罪犯施建辉优先适用假释，我所于2024年4月9日重新移送，反馈暂无异议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/>
          <w:szCs w:val="32"/>
          <w:lang w:val="en-US" w:eastAsia="zh-CN"/>
        </w:rPr>
        <w:t>综上所述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罪犯施建辉人身危险性较低，已服刑期已达总刑期的二分之一以上，在服刑期间确有悔改表现，表现良好，假释后有一定生活来源，经莆田施秀屿区社区矫正管理 局评估适合社区矫正。结合现有证据，该犯符合《中华人民共和国刑法》第八十一条第一款关于“没有再犯罪危险”的认定标准，没有再犯罪的危险，符合假释条件。为此，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</w:t>
      </w:r>
      <w:r>
        <w:rPr>
          <w:rFonts w:hint="eastAsia" w:ascii="仿宋_GB2312" w:eastAsia="仿宋_GB2312"/>
          <w:sz w:val="32"/>
          <w:szCs w:val="32"/>
        </w:rPr>
        <w:t>国刑法》第八十一条第一款、第三款、第八十二条、第八十三条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《中华人民共和国刑事诉讼法》第二百七十三条第二款和《中华人民共和国监狱法》第三十二条</w:t>
      </w:r>
      <w:r>
        <w:rPr>
          <w:rFonts w:hint="eastAsia"/>
          <w:szCs w:val="32"/>
          <w:lang w:eastAsia="zh-CN"/>
        </w:rPr>
        <w:t>、《</w:t>
      </w:r>
      <w:r>
        <w:rPr>
          <w:rFonts w:hint="eastAsia"/>
          <w:szCs w:val="32"/>
          <w:lang w:val="en-US" w:eastAsia="zh-CN"/>
        </w:rPr>
        <w:t>关于依法推进假释制度适用的指导意见</w:t>
      </w:r>
      <w:r>
        <w:rPr>
          <w:rFonts w:hint="eastAsia"/>
          <w:szCs w:val="32"/>
          <w:lang w:eastAsia="zh-CN"/>
        </w:rPr>
        <w:t>》（</w:t>
      </w:r>
      <w:r>
        <w:rPr>
          <w:rFonts w:hint="eastAsia"/>
          <w:szCs w:val="32"/>
          <w:lang w:val="en-US" w:eastAsia="zh-CN"/>
        </w:rPr>
        <w:t>司发通[2023]14号</w:t>
      </w:r>
      <w:r>
        <w:rPr>
          <w:rFonts w:hint="eastAsia"/>
          <w:szCs w:val="32"/>
          <w:lang w:eastAsia="zh-CN"/>
        </w:rPr>
        <w:t>）</w:t>
      </w:r>
      <w:r>
        <w:rPr>
          <w:rFonts w:hint="eastAsia"/>
          <w:szCs w:val="32"/>
          <w:lang w:val="en-US" w:eastAsia="zh-CN"/>
        </w:rPr>
        <w:t>第三条第一款的</w:t>
      </w:r>
      <w:r>
        <w:rPr>
          <w:rFonts w:hint="eastAsia"/>
          <w:szCs w:val="32"/>
        </w:rPr>
        <w:t>规定，建议对罪犯</w:t>
      </w:r>
      <w:r>
        <w:rPr>
          <w:rFonts w:hint="eastAsia"/>
          <w:szCs w:val="32"/>
          <w:lang w:val="en-US" w:eastAsia="zh-CN"/>
        </w:rPr>
        <w:t>施建辉</w:t>
      </w:r>
      <w:r>
        <w:rPr>
          <w:rFonts w:hint="eastAsia"/>
          <w:szCs w:val="32"/>
        </w:rPr>
        <w:t>予以假释。特提请你院审理裁定</w:t>
      </w:r>
      <w:r>
        <w:rPr>
          <w:rFonts w:hint="eastAsia" w:ascii="仿宋_GB231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附件：⒈罪犯施建辉卷宗贰册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-48" w:rightChars="-15" w:firstLine="640" w:firstLineChars="200"/>
        <w:jc w:val="left"/>
        <w:textAlignment w:val="auto"/>
        <w:rPr>
          <w:rFonts w:cs="仿宋_GB2312"/>
          <w:szCs w:val="32"/>
        </w:rPr>
      </w:pPr>
      <w:r>
        <w:rPr>
          <w:rFonts w:hint="eastAsia" w:ascii="仿宋_GB2312"/>
          <w:szCs w:val="32"/>
        </w:rPr>
        <w:t xml:space="preserve">      ⒉</w:t>
      </w:r>
      <w:r>
        <w:rPr>
          <w:rFonts w:hint="eastAsia" w:ascii="仿宋_GB2312"/>
          <w:szCs w:val="32"/>
          <w:lang w:val="en-US" w:eastAsia="zh-CN"/>
        </w:rPr>
        <w:t>假释</w:t>
      </w:r>
      <w:r>
        <w:rPr>
          <w:rFonts w:hint="eastAsia" w:ascii="仿宋_GB2312"/>
          <w:szCs w:val="32"/>
        </w:rPr>
        <w:t>建议书肆</w:t>
      </w:r>
      <w:bookmarkStart w:id="0" w:name="_GoBack"/>
      <w:bookmarkEnd w:id="0"/>
      <w:r>
        <w:rPr>
          <w:rFonts w:hint="eastAsia" w:ascii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3E3064"/>
    <w:multiLevelType w:val="singleLevel"/>
    <w:tmpl w:val="E63E30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E61A38"/>
    <w:multiLevelType w:val="singleLevel"/>
    <w:tmpl w:val="49E61A38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8E31FC3"/>
    <w:rsid w:val="0E87607E"/>
    <w:rsid w:val="36981A71"/>
    <w:rsid w:val="405B70A8"/>
    <w:rsid w:val="4106732B"/>
    <w:rsid w:val="593711DF"/>
    <w:rsid w:val="5A740D1D"/>
    <w:rsid w:val="5EF162C2"/>
    <w:rsid w:val="69482E78"/>
    <w:rsid w:val="713D34BC"/>
    <w:rsid w:val="7E73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2024-05-14T01:45:26Z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205C04ED1E144223BDA10A08DC1FB542</vt:lpwstr>
  </property>
</Properties>
</file>