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提请假释建议书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〕闽狱未假字第</w:t>
      </w:r>
      <w:r>
        <w:rPr>
          <w:rFonts w:hint="eastAsia" w:eastAsia="楷体_GB2312" w:cs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董增灼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1958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小学文化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eastAsia="zh-CN"/>
        </w:rPr>
        <w:t>福建省福州市长乐区文岭镇</w:t>
      </w:r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eastAsia="zh-CN"/>
        </w:rPr>
        <w:t>福州市长乐区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0112刑初230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董增灼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交通肇事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三年六个月。</w:t>
      </w:r>
      <w:r>
        <w:rPr>
          <w:rFonts w:hint="eastAsia" w:ascii="仿宋_GB2312"/>
          <w:szCs w:val="32"/>
        </w:rPr>
        <w:t>宣判后，被告人不服，提出上诉。</w:t>
      </w:r>
      <w:r>
        <w:rPr>
          <w:rFonts w:hint="eastAsia" w:ascii="仿宋_GB2312"/>
          <w:szCs w:val="32"/>
          <w:lang w:eastAsia="zh-CN"/>
        </w:rPr>
        <w:t>福建省福州市中级人民法院于</w:t>
      </w:r>
      <w:r>
        <w:rPr>
          <w:rFonts w:hint="eastAsia" w:ascii="仿宋_GB2312"/>
          <w:szCs w:val="32"/>
          <w:lang w:val="en-US" w:eastAsia="zh-CN"/>
        </w:rPr>
        <w:t>2022年8月25日作出（2022）闽01刑终806号刑事裁定：驳回上诉，维持原判。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eastAsia="zh-CN"/>
        </w:rPr>
        <w:t>普管级罪犯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原判主要犯罪事实：2022年1月6日4时44分许，</w:t>
      </w:r>
      <w:r>
        <w:rPr>
          <w:rFonts w:hint="eastAsia" w:ascii="仿宋_GB2312"/>
          <w:szCs w:val="32"/>
          <w:lang w:val="en-US" w:eastAsia="zh-CN"/>
        </w:rPr>
        <w:t>该犯未取得机动车驾驶证驾驶无牌三轮电动车，在福州市长乐金峰镇振兴路与弘鑫商业街交叉路口时，与被害人发生碰撞，造成被害人经送医抢救医治无效死亡。事故发生后该犯驾车逃离现场，属于交通肇事逃逸</w:t>
      </w:r>
      <w:r>
        <w:rPr>
          <w:rFonts w:hint="eastAsia" w:ascii="仿宋_GB2312"/>
          <w:szCs w:val="32"/>
        </w:rPr>
        <w:t>。</w:t>
      </w:r>
    </w:p>
    <w:p>
      <w:pPr>
        <w:numPr>
          <w:ilvl w:val="0"/>
          <w:numId w:val="1"/>
        </w:numPr>
        <w:spacing w:line="430" w:lineRule="exact"/>
        <w:ind w:firstLine="640" w:firstLineChars="200"/>
        <w:jc w:val="left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关于罪犯董增灼人身危险性方向的情况：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 w:firstLineChars="200"/>
        <w:jc w:val="both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1、该犯系初犯、偶犯。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 w:firstLineChars="200"/>
        <w:jc w:val="both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2、该犯所犯罪行系非暴力性行为。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 w:firstLineChars="200"/>
        <w:jc w:val="both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3、该犯能如实供述所犯罪行，认罪认罚，法院认定从轻处罚。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 w:firstLineChars="200"/>
        <w:jc w:val="both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4、经我监《假释服刑人员表现危险性评估认为及救助帮教建议书》评估为：罪犯董增灼再犯罪风险为一般危险性等级。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5、辖区社区矫正管理局社会调查评估认为该犯家庭经济一般，家庭成员相处良好，所在居委会愿意配合我们对该犯社区矫正。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二、</w:t>
      </w: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1466</w:t>
      </w:r>
      <w:r>
        <w:rPr>
          <w:rFonts w:hint="eastAsia" w:ascii="仿宋_GB2312" w:hAnsi="仿宋_GB2312" w:cs="仿宋_GB2312"/>
          <w:bCs/>
          <w:szCs w:val="32"/>
        </w:rPr>
        <w:t>分，物质奖励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次；无违规扣分。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  <w:lang w:eastAsia="zh-CN"/>
        </w:rPr>
        <w:t>三、帮教情况：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1、家庭主要成员及经济收入情况：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长女：董某秀，1988年7月10日出生，家住福建省福州市长乐区文岭镇。目前在福建省福州市某针织有限公司工作，月均收入人民币5800元。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长子：董某平，1987年7月10日出生，家住福建省福州市长乐区文岭镇。目前在福州市长乐区某五金商行工作，月均收入人民币5000元。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次女：董某燕，1994年8月8日出生，家住建省福州市长乐区文岭镇。目前在福州某财税服务有限公司工作，月均收入人民币4000元。</w:t>
      </w:r>
    </w:p>
    <w:p>
      <w:pPr>
        <w:pStyle w:val="6"/>
        <w:numPr>
          <w:ilvl w:val="0"/>
          <w:numId w:val="2"/>
        </w:numPr>
        <w:spacing w:line="430" w:lineRule="exact"/>
        <w:ind w:firstLine="640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社会调查评估情况：福州市长乐区社区矫正管理局出具调查评估意见书：评估意见为适用社区矫正。</w:t>
      </w:r>
    </w:p>
    <w:p>
      <w:pPr>
        <w:pStyle w:val="6"/>
        <w:numPr>
          <w:ilvl w:val="0"/>
          <w:numId w:val="2"/>
        </w:numPr>
        <w:spacing w:line="430" w:lineRule="exact"/>
        <w:ind w:firstLine="640"/>
        <w:rPr>
          <w:rFonts w:hint="default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家属帮教协议情况：罪犯董增灼长女董某秀与我监签订了假释帮教协议书：表示愿意作为罪犯董增灼的担保人，保证给予罪犯董增灼在假释期间提供思想帮教和经济支持。并监督其遵守相关规定。同时，其长女董某秀承诺在经济与生活上给予支持，保证其衣食无忧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  <w:lang w:val="en-US" w:eastAsia="zh-CN"/>
        </w:rPr>
        <w:t>综上所述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lang w:val="en-US" w:eastAsia="zh-CN"/>
        </w:rPr>
        <w:t>罪犯董增灼人身危险性较低，实际执行刑期符合法律规定，在服刑期间认真遵守监规、接受教育改造、财产性判刑已履行完毕、确有悔改表现，且假释后有一定生活来源和社区监管条件。结合现有证据，该犯符合《中华人民共和国刑法》第八十一条第一款关于“没有再犯罪危险”的认定标准，没有再犯罪的危险，符合假释条件。依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</w:t>
      </w:r>
      <w:r>
        <w:rPr>
          <w:rFonts w:hint="eastAsia" w:ascii="仿宋_GB2312" w:eastAsia="仿宋_GB2312"/>
          <w:sz w:val="32"/>
          <w:szCs w:val="32"/>
        </w:rPr>
        <w:t>国刑法》第八十一条第一款、第三款</w:t>
      </w:r>
      <w:r>
        <w:rPr>
          <w:rFonts w:hint="eastAsia"/>
          <w:szCs w:val="32"/>
          <w:lang w:eastAsia="zh-CN"/>
        </w:rPr>
        <w:t>，</w:t>
      </w:r>
      <w:r>
        <w:rPr>
          <w:rFonts w:hint="eastAsia"/>
          <w:szCs w:val="32"/>
        </w:rPr>
        <w:t>《中华人民共和国刑事诉讼法》第二百七十三条第二款和《中华人民共和国监狱法》第三十二条</w:t>
      </w:r>
      <w:r>
        <w:rPr>
          <w:rFonts w:hint="eastAsia"/>
          <w:szCs w:val="32"/>
          <w:lang w:eastAsia="zh-CN"/>
        </w:rPr>
        <w:t>、</w:t>
      </w:r>
      <w:r>
        <w:rPr>
          <w:rFonts w:hint="eastAsia"/>
          <w:szCs w:val="32"/>
          <w:lang w:val="en-US" w:eastAsia="zh-CN"/>
        </w:rPr>
        <w:t>最高法</w:t>
      </w:r>
      <w:r>
        <w:rPr>
          <w:rFonts w:hint="eastAsia"/>
          <w:szCs w:val="32"/>
          <w:lang w:eastAsia="zh-CN"/>
        </w:rPr>
        <w:t>《</w:t>
      </w:r>
      <w:r>
        <w:rPr>
          <w:rFonts w:hint="eastAsia"/>
          <w:szCs w:val="32"/>
          <w:lang w:val="en-US" w:eastAsia="zh-CN"/>
        </w:rPr>
        <w:t>关于办理减刑、假释案件具体应用法律的规定</w:t>
      </w:r>
      <w:r>
        <w:rPr>
          <w:rFonts w:hint="eastAsia"/>
          <w:szCs w:val="32"/>
          <w:lang w:eastAsia="zh-CN"/>
        </w:rPr>
        <w:t>》</w:t>
      </w:r>
      <w:r>
        <w:rPr>
          <w:rFonts w:hint="eastAsia"/>
          <w:szCs w:val="32"/>
          <w:lang w:val="en-US" w:eastAsia="zh-CN"/>
        </w:rPr>
        <w:t>第二十二条、第二十三条第一款及两高两部</w:t>
      </w:r>
      <w:r>
        <w:rPr>
          <w:rFonts w:hint="eastAsia"/>
          <w:szCs w:val="32"/>
          <w:lang w:eastAsia="zh-CN"/>
        </w:rPr>
        <w:t>《</w:t>
      </w:r>
      <w:r>
        <w:rPr>
          <w:rFonts w:hint="eastAsia"/>
          <w:szCs w:val="32"/>
          <w:lang w:val="en-US" w:eastAsia="zh-CN"/>
        </w:rPr>
        <w:t>关于依法推进假释制度适用的指导意见</w:t>
      </w:r>
      <w:r>
        <w:rPr>
          <w:rFonts w:hint="eastAsia"/>
          <w:szCs w:val="32"/>
          <w:lang w:eastAsia="zh-CN"/>
        </w:rPr>
        <w:t>》（</w:t>
      </w:r>
      <w:r>
        <w:rPr>
          <w:rFonts w:hint="eastAsia"/>
          <w:szCs w:val="32"/>
          <w:lang w:val="en-US" w:eastAsia="zh-CN"/>
        </w:rPr>
        <w:t>司发通[2023]14号</w:t>
      </w:r>
      <w:r>
        <w:rPr>
          <w:rFonts w:hint="eastAsia"/>
          <w:szCs w:val="32"/>
          <w:lang w:eastAsia="zh-CN"/>
        </w:rPr>
        <w:t>）</w:t>
      </w:r>
      <w:r>
        <w:rPr>
          <w:rFonts w:hint="eastAsia"/>
          <w:szCs w:val="32"/>
          <w:lang w:val="en-US" w:eastAsia="zh-CN"/>
        </w:rPr>
        <w:t>第三点第（一）项的</w:t>
      </w:r>
      <w:r>
        <w:rPr>
          <w:rFonts w:hint="eastAsia"/>
          <w:szCs w:val="32"/>
        </w:rPr>
        <w:t>规定，建议对罪犯</w:t>
      </w:r>
      <w:r>
        <w:rPr>
          <w:rFonts w:hint="eastAsia"/>
          <w:szCs w:val="32"/>
          <w:lang w:val="en-US" w:eastAsia="zh-CN"/>
        </w:rPr>
        <w:t>董增灼</w:t>
      </w:r>
      <w:r>
        <w:rPr>
          <w:rFonts w:hint="eastAsia"/>
          <w:szCs w:val="32"/>
        </w:rPr>
        <w:t>予以假释。特提请你院审理裁定。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董增灼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</w:t>
      </w:r>
      <w:r>
        <w:rPr>
          <w:rFonts w:hint="eastAsia" w:cs="仿宋_GB2312"/>
          <w:szCs w:val="32"/>
          <w:lang w:eastAsia="zh-CN"/>
        </w:rPr>
        <w:t>假释</w:t>
      </w:r>
      <w:r>
        <w:rPr>
          <w:rFonts w:hint="eastAsia" w:cs="仿宋_GB2312"/>
          <w:szCs w:val="32"/>
        </w:rPr>
        <w:t>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38046A"/>
    <w:multiLevelType w:val="singleLevel"/>
    <w:tmpl w:val="C938046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B647C3F"/>
    <w:multiLevelType w:val="singleLevel"/>
    <w:tmpl w:val="4B647C3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4B2FB5"/>
    <w:rsid w:val="050A2FF4"/>
    <w:rsid w:val="08605103"/>
    <w:rsid w:val="12FC32DB"/>
    <w:rsid w:val="175C6C73"/>
    <w:rsid w:val="27C737C3"/>
    <w:rsid w:val="28EF2E3C"/>
    <w:rsid w:val="34F24B89"/>
    <w:rsid w:val="36A26B74"/>
    <w:rsid w:val="7686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2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2024-07-03T05:59:12Z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B53CF300607A46E0A2DD90D3E8134D9C</vt:lpwstr>
  </property>
</Properties>
</file>