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92"/>
        <w:spacing w:line="430" w:lineRule="exact"/>
        <w:ind w:left="640" w:right="160" w:firstLine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287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atLeast"/>
        <w:ind w:firstLine="640" w:firstLineChars="200"/>
        <w:jc w:val="right"/>
        <w:textAlignment w:val="auto"/>
        <w:rPr>
          <w:rFonts w:hint="eastAsia" w:ascii="楷体" w:hAnsi="楷体" w:eastAsia="楷体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</w:rPr>
      </w:pPr>
      <w:r>
        <w:rPr>
          <w:rFonts w:hint="eastAsia" w:ascii="仿宋_GB2312" w:hAnsi="Calibri" w:cs="Times New Roman"/>
          <w:szCs w:val="32"/>
        </w:rPr>
        <w:t>罪犯梁高攀，男，1994年7月17日出生</w:t>
      </w:r>
      <w:r>
        <w:rPr>
          <w:rFonts w:hint="eastAsia" w:ascii="仿宋_GB2312" w:hAnsi="Calibri" w:cs="Times New Roman"/>
          <w:szCs w:val="32"/>
          <w:lang w:eastAsia="zh-CN"/>
        </w:rPr>
        <w:t>，</w:t>
      </w:r>
      <w:r>
        <w:rPr>
          <w:rFonts w:ascii="仿宋_GB2312" w:hAnsi="Calibri" w:cs="Times New Roman"/>
          <w:szCs w:val="32"/>
          <w:lang w:val="en-US" w:eastAsia="zh-CN"/>
        </w:rPr>
        <w:t>汉族，</w:t>
      </w:r>
      <w:r>
        <w:rPr>
          <w:rFonts w:hint="eastAsia" w:ascii="仿宋_GB2312" w:hAnsi="Calibri" w:cs="Times New Roman"/>
          <w:szCs w:val="32"/>
          <w:lang w:val="en-US" w:eastAsia="zh-CN"/>
        </w:rPr>
        <w:t>初中文化</w:t>
      </w:r>
      <w:r>
        <w:rPr>
          <w:rFonts w:hint="eastAsia" w:ascii="仿宋_GB2312" w:hAnsi="Calibri" w:cs="Times New Roman"/>
          <w:szCs w:val="32"/>
        </w:rPr>
        <w:t>，</w:t>
      </w:r>
      <w:r>
        <w:rPr>
          <w:rFonts w:hint="eastAsia" w:ascii="仿宋_GB2312" w:hAnsi="Calibri" w:cs="Times New Roman"/>
          <w:szCs w:val="32"/>
          <w:lang w:val="en-US" w:eastAsia="zh-CN"/>
        </w:rPr>
        <w:t>住所</w:t>
      </w:r>
      <w:r>
        <w:rPr>
          <w:rFonts w:ascii="仿宋_GB2312" w:hAnsi="Calibri" w:cs="Times New Roman"/>
          <w:szCs w:val="32"/>
          <w:lang w:val="en-US" w:eastAsia="zh-CN"/>
        </w:rPr>
        <w:t>地</w:t>
      </w:r>
      <w:r>
        <w:rPr>
          <w:rFonts w:hint="eastAsia" w:ascii="仿宋_GB2312" w:hAnsi="Calibri" w:cs="Times New Roman"/>
          <w:szCs w:val="32"/>
        </w:rPr>
        <w:t>河南省驻马店市新蔡县韩集镇</w:t>
      </w:r>
      <w:bookmarkStart w:id="0" w:name="_GoBack"/>
      <w:bookmarkEnd w:id="0"/>
      <w:r>
        <w:rPr>
          <w:rFonts w:hint="eastAsia" w:ascii="仿宋_GB2312" w:hAnsi="Calibri" w:cs="Times New Roman"/>
          <w:szCs w:val="32"/>
        </w:rPr>
        <w:t>，捕前系</w:t>
      </w:r>
      <w:r>
        <w:rPr>
          <w:rFonts w:hint="eastAsia" w:ascii="仿宋_GB2312" w:hAnsi="Calibri" w:cs="Times New Roman"/>
          <w:szCs w:val="32"/>
          <w:lang w:val="en-US" w:eastAsia="zh-CN"/>
        </w:rPr>
        <w:t>务工</w:t>
      </w:r>
      <w:r>
        <w:rPr>
          <w:rFonts w:hint="eastAsia" w:ascii="仿宋_GB2312" w:hAnsi="Calibri" w:cs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</w:rPr>
      </w:pPr>
      <w:r>
        <w:rPr>
          <w:rFonts w:hint="eastAsia" w:ascii="仿宋_GB2312" w:hAnsi="Calibri" w:cs="Times New Roman"/>
          <w:szCs w:val="32"/>
        </w:rPr>
        <w:t>福建省莆田市荔城区人民法院</w:t>
      </w:r>
      <w:r>
        <w:rPr>
          <w:rFonts w:hint="eastAsia" w:ascii="仿宋_GB2312" w:hAnsi="Calibri" w:cs="Times New Roman"/>
          <w:szCs w:val="32"/>
          <w:lang w:eastAsia="zh-CN"/>
        </w:rPr>
        <w:t>于</w:t>
      </w:r>
      <w:r>
        <w:rPr>
          <w:rFonts w:hint="eastAsia" w:ascii="仿宋_GB2312" w:hAnsi="Calibri" w:cs="Times New Roman"/>
          <w:szCs w:val="32"/>
          <w:lang w:val="en-US" w:eastAsia="zh-CN"/>
        </w:rPr>
        <w:t>2022年9月6日</w:t>
      </w:r>
      <w:r>
        <w:rPr>
          <w:rFonts w:hint="eastAsia" w:ascii="仿宋_GB2312" w:hAnsi="Calibri" w:cs="Times New Roman"/>
          <w:szCs w:val="32"/>
          <w:lang w:eastAsia="zh-CN"/>
        </w:rPr>
        <w:t>作出</w:t>
      </w:r>
      <w:r>
        <w:rPr>
          <w:rFonts w:hint="eastAsia" w:ascii="仿宋_GB2312" w:hAnsi="Calibri" w:cs="Times New Roman"/>
          <w:szCs w:val="32"/>
        </w:rPr>
        <w:t>(2022)闽0304刑初358号</w:t>
      </w:r>
      <w:r>
        <w:rPr>
          <w:rFonts w:hint="eastAsia" w:ascii="仿宋_GB2312" w:hAnsi="Calibri" w:cs="Times New Roman"/>
          <w:szCs w:val="32"/>
          <w:lang w:eastAsia="zh-CN"/>
        </w:rPr>
        <w:t>刑事判决，以被告人</w:t>
      </w:r>
      <w:r>
        <w:rPr>
          <w:rFonts w:hint="eastAsia" w:ascii="仿宋_GB2312" w:hAnsi="Calibri" w:cs="Times New Roman"/>
          <w:szCs w:val="32"/>
          <w:lang w:val="en-US" w:eastAsia="zh-CN"/>
        </w:rPr>
        <w:t>梁高攀犯容留卖淫罪</w:t>
      </w:r>
      <w:r>
        <w:rPr>
          <w:rFonts w:hint="eastAsia" w:ascii="仿宋_GB2312" w:hAnsi="Calibri" w:cs="Times New Roman"/>
          <w:szCs w:val="32"/>
          <w:lang w:eastAsia="zh-CN"/>
        </w:rPr>
        <w:t>，判处有期徒刑三年五个月，</w:t>
      </w:r>
      <w:r>
        <w:rPr>
          <w:rFonts w:hint="eastAsia" w:ascii="仿宋_GB2312" w:hAnsi="Calibri" w:cs="Times New Roman"/>
          <w:szCs w:val="32"/>
        </w:rPr>
        <w:t>并处罚金人民币六万元</w:t>
      </w:r>
      <w:r>
        <w:rPr>
          <w:rFonts w:hint="eastAsia" w:ascii="仿宋_GB2312" w:hAnsi="Calibri" w:cs="Times New Roman"/>
          <w:szCs w:val="32"/>
          <w:lang w:eastAsia="zh-CN"/>
        </w:rPr>
        <w:t>；</w:t>
      </w:r>
      <w:r>
        <w:rPr>
          <w:rFonts w:hint="eastAsia" w:ascii="仿宋_GB2312" w:hAnsi="Calibri" w:cs="Times New Roman"/>
          <w:szCs w:val="32"/>
        </w:rPr>
        <w:t>责令被告人梁高攀退出违法所得人民币二万八千八百元，予以没收，上缴国库</w:t>
      </w:r>
      <w:r>
        <w:rPr>
          <w:rFonts w:hint="eastAsia" w:ascii="仿宋_GB2312" w:hAnsi="Calibri" w:cs="Times New Roman"/>
          <w:szCs w:val="32"/>
          <w:lang w:eastAsia="zh-CN"/>
        </w:rPr>
        <w:t>。</w:t>
      </w:r>
      <w:r>
        <w:rPr>
          <w:rFonts w:hint="eastAsia" w:ascii="仿宋_GB2312" w:hAnsi="Calibri" w:cs="Times New Roman"/>
          <w:szCs w:val="32"/>
        </w:rPr>
        <w:t>刑期自20</w:t>
      </w:r>
      <w:r>
        <w:rPr>
          <w:rFonts w:hint="eastAsia" w:ascii="仿宋_GB2312" w:hAnsi="Calibri" w:cs="Times New Roman"/>
          <w:szCs w:val="32"/>
          <w:lang w:val="en-US" w:eastAsia="zh-CN"/>
        </w:rPr>
        <w:t>22</w:t>
      </w:r>
      <w:r>
        <w:rPr>
          <w:rFonts w:hint="eastAsia" w:ascii="仿宋_GB2312" w:hAnsi="Calibri" w:cs="Times New Roman"/>
          <w:szCs w:val="32"/>
        </w:rPr>
        <w:t>年</w:t>
      </w:r>
      <w:r>
        <w:rPr>
          <w:rFonts w:hint="eastAsia" w:ascii="仿宋_GB2312" w:hAnsi="Calibri" w:cs="Times New Roman"/>
          <w:szCs w:val="32"/>
          <w:lang w:val="en-US" w:eastAsia="zh-CN"/>
        </w:rPr>
        <w:t>3</w:t>
      </w:r>
      <w:r>
        <w:rPr>
          <w:rFonts w:hint="eastAsia" w:ascii="仿宋_GB2312" w:hAnsi="Calibri" w:cs="Times New Roman"/>
          <w:szCs w:val="32"/>
        </w:rPr>
        <w:t>月</w:t>
      </w:r>
      <w:r>
        <w:rPr>
          <w:rFonts w:hint="eastAsia" w:ascii="仿宋_GB2312" w:hAnsi="Calibri" w:cs="Times New Roman"/>
          <w:szCs w:val="32"/>
          <w:lang w:val="en-US" w:eastAsia="zh-CN"/>
        </w:rPr>
        <w:t>4</w:t>
      </w:r>
      <w:r>
        <w:rPr>
          <w:rFonts w:hint="eastAsia" w:ascii="仿宋_GB2312" w:hAnsi="Calibri" w:cs="Times New Roman"/>
          <w:szCs w:val="32"/>
        </w:rPr>
        <w:t>日起至</w:t>
      </w:r>
      <w:r>
        <w:rPr>
          <w:rFonts w:hint="eastAsia" w:ascii="仿宋_GB2312" w:hAnsi="Calibri" w:cs="Times New Roman"/>
          <w:szCs w:val="32"/>
          <w:lang w:val="en-US" w:eastAsia="zh-CN"/>
        </w:rPr>
        <w:t>2025</w:t>
      </w:r>
      <w:r>
        <w:rPr>
          <w:rFonts w:hint="eastAsia" w:ascii="仿宋_GB2312" w:hAnsi="Calibri" w:cs="Times New Roman"/>
          <w:szCs w:val="32"/>
        </w:rPr>
        <w:t>年</w:t>
      </w:r>
      <w:r>
        <w:rPr>
          <w:rFonts w:hint="eastAsia" w:ascii="仿宋_GB2312" w:hAnsi="Calibri" w:cs="Times New Roman"/>
          <w:szCs w:val="32"/>
          <w:lang w:val="en-US" w:eastAsia="zh-CN"/>
        </w:rPr>
        <w:t>8月3</w:t>
      </w:r>
      <w:r>
        <w:rPr>
          <w:rFonts w:hint="eastAsia" w:ascii="仿宋_GB2312" w:hAnsi="Calibri" w:cs="Times New Roman"/>
          <w:szCs w:val="32"/>
        </w:rPr>
        <w:t>日止。2</w:t>
      </w:r>
      <w:r>
        <w:rPr>
          <w:rFonts w:hint="eastAsia" w:ascii="仿宋_GB2312" w:hAnsi="Calibri" w:cs="Times New Roman"/>
          <w:szCs w:val="32"/>
          <w:lang w:val="en-US" w:eastAsia="zh-CN"/>
        </w:rPr>
        <w:t>023年1月12日</w:t>
      </w:r>
      <w:r>
        <w:rPr>
          <w:rFonts w:hint="eastAsia" w:ascii="仿宋_GB2312" w:hAnsi="Calibri" w:cs="Times New Roman"/>
          <w:szCs w:val="32"/>
        </w:rPr>
        <w:t>交付福建省未成年犯管教所执行刑罚。属</w:t>
      </w:r>
      <w:r>
        <w:rPr>
          <w:rFonts w:hint="eastAsia" w:ascii="仿宋_GB2312" w:hAnsi="Calibri" w:cs="Times New Roman"/>
          <w:szCs w:val="32"/>
          <w:lang w:val="en-US" w:eastAsia="zh-CN"/>
        </w:rPr>
        <w:t>普管</w:t>
      </w:r>
      <w:r>
        <w:rPr>
          <w:rFonts w:hint="eastAsia" w:ascii="仿宋_GB2312" w:hAnsi="Calibri" w:cs="Times New Roman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  <w:lang w:val="en-US" w:eastAsia="zh-CN"/>
        </w:rPr>
      </w:pPr>
      <w:r>
        <w:rPr>
          <w:rFonts w:hint="eastAsia" w:ascii="仿宋_GB2312" w:hAnsi="Calibri" w:cs="Times New Roman"/>
          <w:szCs w:val="32"/>
          <w:lang w:val="en-US" w:eastAsia="zh-CN"/>
        </w:rPr>
        <w:t>该犯</w:t>
      </w:r>
      <w:r>
        <w:rPr>
          <w:rFonts w:hint="eastAsia" w:ascii="仿宋_GB2312" w:hAnsi="Calibri" w:cs="Times New Roman"/>
          <w:szCs w:val="32"/>
          <w:lang w:val="zh-CN" w:eastAsia="zh-CN"/>
        </w:rPr>
        <w:t>自入监以来</w:t>
      </w:r>
      <w:r>
        <w:rPr>
          <w:rFonts w:hint="eastAsia" w:ascii="仿宋_GB2312" w:hAnsi="Calibri" w:cs="Times New Roman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  <w:lang w:val="en-US" w:eastAsia="zh-CN"/>
        </w:rPr>
      </w:pPr>
      <w:r>
        <w:rPr>
          <w:rFonts w:hint="eastAsia" w:ascii="仿宋_GB2312" w:hAnsi="Calibri" w:cs="Times New Roman"/>
          <w:szCs w:val="32"/>
          <w:lang w:val="zh-CN" w:eastAsia="zh-CN"/>
        </w:rPr>
        <w:t>1.</w:t>
      </w:r>
      <w:r>
        <w:rPr>
          <w:rFonts w:hint="eastAsia" w:ascii="仿宋_GB2312" w:hAnsi="Calibri" w:cs="Times New Roman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  <w:lang w:val="zh-CN" w:eastAsia="zh-CN"/>
        </w:rPr>
      </w:pPr>
      <w:r>
        <w:rPr>
          <w:rFonts w:hint="eastAsia" w:ascii="仿宋_GB2312" w:hAnsi="Calibri" w:cs="Times New Roman"/>
          <w:szCs w:val="32"/>
          <w:lang w:val="en-US" w:eastAsia="zh-CN"/>
        </w:rPr>
        <w:t>2.遵守监规</w:t>
      </w:r>
      <w:r>
        <w:rPr>
          <w:rFonts w:hint="eastAsia" w:ascii="仿宋_GB2312" w:hAnsi="Calibri" w:cs="Times New Roman"/>
          <w:szCs w:val="32"/>
          <w:lang w:val="zh-CN" w:eastAsia="zh-CN"/>
        </w:rPr>
        <w:t>：</w:t>
      </w:r>
      <w:r>
        <w:rPr>
          <w:rFonts w:hint="eastAsia" w:ascii="仿宋_GB2312" w:hAnsi="Calibri" w:cs="Times New Roman"/>
          <w:szCs w:val="32"/>
          <w:lang w:eastAsia="zh-CN"/>
        </w:rPr>
        <w:t>罪犯存在违规行为，但经民警教育引导后能遵守法律法规及监规纪律、接</w:t>
      </w:r>
      <w:r>
        <w:rPr>
          <w:rFonts w:hint="eastAsia" w:ascii="仿宋_GB2312" w:hAnsi="Calibri" w:cs="Times New Roman"/>
          <w:szCs w:val="32"/>
          <w:lang w:val="zh-CN" w:eastAsia="zh-CN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  <w:lang w:val="zh-CN" w:eastAsia="zh-CN"/>
        </w:rPr>
      </w:pPr>
      <w:r>
        <w:rPr>
          <w:rFonts w:hint="eastAsia" w:ascii="仿宋_GB2312" w:hAnsi="Calibri" w:cs="Times New Roman"/>
          <w:szCs w:val="32"/>
          <w:lang w:val="zh-CN" w:eastAsia="zh-CN"/>
        </w:rPr>
        <w:t>3.学习情况：能参加</w:t>
      </w:r>
      <w:r>
        <w:rPr>
          <w:rFonts w:hint="eastAsia" w:ascii="仿宋_GB2312" w:hAnsi="Calibri" w:cs="Times New Roman"/>
          <w:szCs w:val="32"/>
          <w:lang w:val="en-US" w:eastAsia="zh-CN"/>
        </w:rPr>
        <w:t>思想、文化、职业技术教育</w:t>
      </w:r>
      <w:r>
        <w:rPr>
          <w:rFonts w:hint="eastAsia" w:ascii="仿宋_GB2312" w:hAnsi="Calibri" w:cs="Times New Roman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szCs w:val="32"/>
          <w:lang w:val="zh-CN" w:eastAsia="zh-CN"/>
        </w:rPr>
      </w:pPr>
      <w:r>
        <w:rPr>
          <w:rFonts w:hint="eastAsia" w:ascii="仿宋_GB2312" w:hAnsi="Calibri" w:cs="Times New Roman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Calibri" w:cs="Times New Roman"/>
          <w:szCs w:val="32"/>
          <w:lang w:val="en-US" w:eastAsia="zh-CN"/>
        </w:rPr>
        <w:t>劳动</w:t>
      </w:r>
      <w:r>
        <w:rPr>
          <w:rFonts w:hint="eastAsia" w:ascii="仿宋_GB2312" w:hAnsi="Calibri" w:cs="Times New Roman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_GB2312" w:hAnsi="Calibri" w:cs="Times New Roman"/>
          <w:szCs w:val="32"/>
          <w:lang w:val="en-US" w:eastAsia="zh-CN"/>
        </w:rPr>
      </w:pPr>
      <w:r>
        <w:rPr>
          <w:rFonts w:hint="eastAsia" w:ascii="仿宋_GB2312" w:hAnsi="Calibri" w:cs="Times New Roman"/>
          <w:szCs w:val="32"/>
          <w:lang w:val="zh-CN" w:eastAsia="zh-CN"/>
        </w:rPr>
        <w:t>5.奖惩情况：</w:t>
      </w:r>
      <w:r>
        <w:rPr>
          <w:rFonts w:hint="eastAsia" w:ascii="仿宋_GB2312" w:hAnsi="Calibri" w:cs="Times New Roman"/>
          <w:szCs w:val="32"/>
          <w:lang w:val="en-US" w:eastAsia="zh-CN"/>
        </w:rPr>
        <w:t>该犯考核期2023年1月12日至2024年9月30日累计</w:t>
      </w:r>
      <w:r>
        <w:rPr>
          <w:rFonts w:hint="eastAsia" w:ascii="仿宋_GB2312" w:hAnsi="Calibri" w:cs="Times New Roman"/>
          <w:color w:val="000000"/>
          <w:szCs w:val="32"/>
          <w:lang w:val="en-US" w:eastAsia="zh-CN"/>
        </w:rPr>
        <w:t>获1973.2分，表扬2次，物质奖励1次。考核期内违规1次，扣1</w:t>
      </w:r>
      <w:r>
        <w:rPr>
          <w:rFonts w:hint="eastAsia" w:ascii="仿宋_GB2312" w:hAnsi="Calibri" w:cs="Times New Roman"/>
          <w:szCs w:val="32"/>
          <w:lang w:val="en-US" w:eastAsia="zh-CN"/>
        </w:rPr>
        <w:t>分，其中</w:t>
      </w:r>
      <w:r>
        <w:rPr>
          <w:rFonts w:ascii="仿宋_GB2312" w:hAnsi="Calibri" w:cs="Times New Roman"/>
          <w:szCs w:val="32"/>
          <w:lang w:val="en-US" w:eastAsia="zh-CN"/>
        </w:rPr>
        <w:t>2024</w:t>
      </w:r>
      <w:r>
        <w:rPr>
          <w:rFonts w:hint="eastAsia" w:ascii="仿宋_GB2312" w:hAnsi="Calibri" w:cs="Times New Roman"/>
          <w:szCs w:val="32"/>
          <w:lang w:val="en-US" w:eastAsia="zh-CN"/>
        </w:rPr>
        <w:t>年4月14日</w:t>
      </w:r>
      <w:r>
        <w:rPr>
          <w:rFonts w:ascii="仿宋_GB2312" w:hAnsi="Calibri" w:cs="Times New Roman"/>
          <w:szCs w:val="32"/>
          <w:lang w:val="en-US" w:eastAsia="zh-CN"/>
        </w:rPr>
        <w:t>因违反互监组管理规定的，对互监组成员违规制止不及时（下午临近收工时，对互监组成员黄行涛和林昌玲离开机位没有及时报告和制止），情节轻微的扣1分。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hAnsi="Calibri" w:cs="Times New Roman"/>
          <w:szCs w:val="32"/>
          <w:lang w:val="en-US" w:eastAsia="zh-CN"/>
        </w:rPr>
      </w:pPr>
      <w:r>
        <w:rPr>
          <w:rFonts w:hint="eastAsia" w:ascii="仿宋_GB2312" w:hAnsi="Calibri" w:cs="Times New Roman"/>
          <w:szCs w:val="32"/>
          <w:lang w:val="en-US" w:eastAsia="zh-CN"/>
        </w:rPr>
        <w:t>6.原判财产性判项：罚金人民币60000元，退出违法所得人民币28800元。该犯已履行人民币88800元，已全部履行完毕；其中本考核期向福建省莆田市荔城区人民法院缴纳罚金人民币60000元，退出违法所得人民币28800元。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福建省莆田市荔城区人民法院出具缴款凭证（票号：0001540111）及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结案通知书予以证实。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梁高攀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福建省福州市中级人民法院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梁高攀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卷宗</w:t>
      </w:r>
      <w:r>
        <w:rPr>
          <w:rFonts w:hint="eastAsia" w:cs="仿宋_GB2312"/>
          <w:szCs w:val="32"/>
        </w:rPr>
        <w:t>贰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⒉减刑建议书</w:t>
      </w:r>
      <w:r>
        <w:rPr>
          <w:rFonts w:hint="eastAsia" w:cs="仿宋_GB2312"/>
          <w:szCs w:val="32"/>
        </w:rPr>
        <w:t>肆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份</w:t>
      </w:r>
    </w:p>
    <w:p>
      <w:pPr>
        <w:pStyle w:val="185"/>
        <w:spacing w:line="430" w:lineRule="exact"/>
        <w:ind w:left="640" w:right="-48"/>
        <w:rPr>
          <w:color w:val="000000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pStyle w:val="185"/>
        <w:spacing w:line="430" w:lineRule="exact"/>
        <w:ind w:right="1280"/>
        <w:jc w:val="center"/>
        <w:rPr>
          <w:color w:val="000000"/>
          <w:szCs w:val="32"/>
        </w:rPr>
      </w:pPr>
    </w:p>
    <w:sectPr>
      <w:pgSz w:w="11905" w:h="16838"/>
      <w:pgMar w:top="1871" w:right="1304" w:bottom="1871" w:left="1587" w:header="851" w:footer="992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265C7"/>
    <w:rsid w:val="49094EAC"/>
    <w:rsid w:val="5EAE17D5"/>
    <w:rsid w:val="6D317E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1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sz w:val="3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Salutation"/>
    <w:basedOn w:val="1"/>
    <w:next w:val="1"/>
    <w:qFormat/>
    <w:uiPriority w:val="99"/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1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54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header"/>
    <w:basedOn w:val="1"/>
    <w:link w:val="52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0"/>
    <w:semiHidden/>
    <w:unhideWhenUsed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semiHidden/>
    <w:unhideWhenUsed/>
    <w:uiPriority w:val="99"/>
    <w:rPr>
      <w:vertAlign w:val="superscript"/>
    </w:rPr>
  </w:style>
  <w:style w:type="character" w:styleId="33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unhideWhenUsed/>
    <w:uiPriority w:val="99"/>
    <w:rPr>
      <w:vertAlign w:val="superscript"/>
    </w:rPr>
  </w:style>
  <w:style w:type="character" w:customStyle="1" w:styleId="35">
    <w:name w:val="Heading 1 Char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Heading 2 Char"/>
    <w:link w:val="3"/>
    <w:uiPriority w:val="9"/>
    <w:rPr>
      <w:rFonts w:ascii="Arial" w:hAnsi="Arial" w:eastAsia="Arial" w:cs="Arial"/>
      <w:sz w:val="34"/>
    </w:rPr>
  </w:style>
  <w:style w:type="character" w:customStyle="1" w:styleId="37">
    <w:name w:val="Heading 3 Char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Heading 4 Char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Heading 5 Char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Heading 6 Char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Heading 7 Char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Heading 8 Char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Heading 9 Char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6">
    <w:name w:val="Title Char"/>
    <w:link w:val="28"/>
    <w:uiPriority w:val="10"/>
    <w:rPr>
      <w:sz w:val="48"/>
      <w:szCs w:val="48"/>
    </w:rPr>
  </w:style>
  <w:style w:type="character" w:customStyle="1" w:styleId="47">
    <w:name w:val="Subtitle Char"/>
    <w:link w:val="22"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uiPriority w:val="30"/>
    <w:rPr>
      <w:i/>
    </w:rPr>
  </w:style>
  <w:style w:type="character" w:customStyle="1" w:styleId="52">
    <w:name w:val="Header Char"/>
    <w:link w:val="19"/>
    <w:uiPriority w:val="99"/>
  </w:style>
  <w:style w:type="character" w:customStyle="1" w:styleId="53">
    <w:name w:val="Footer Char"/>
    <w:link w:val="18"/>
    <w:uiPriority w:val="99"/>
  </w:style>
  <w:style w:type="character" w:customStyle="1" w:styleId="54">
    <w:name w:val="Caption Char"/>
    <w:link w:val="18"/>
    <w:uiPriority w:val="99"/>
  </w:style>
  <w:style w:type="table" w:customStyle="1" w:styleId="55">
    <w:name w:val="Table Grid Light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1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3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4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5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1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2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3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4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5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6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- Accent 1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- Accent 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6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1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3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5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6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1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5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6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List Table 1 Light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1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3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4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5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6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1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2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4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5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6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1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1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2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4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5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6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5 Dark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1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2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3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4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5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6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1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6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1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2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3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4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5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6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ned - Accent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1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2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3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4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5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6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1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3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4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5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6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0">
    <w:name w:val="Footnote Text Char"/>
    <w:link w:val="23"/>
    <w:uiPriority w:val="99"/>
    <w:rPr>
      <w:sz w:val="18"/>
    </w:rPr>
  </w:style>
  <w:style w:type="character" w:customStyle="1" w:styleId="181">
    <w:name w:val="Endnote Text Char"/>
    <w:link w:val="17"/>
    <w:uiPriority w:val="99"/>
    <w:rPr>
      <w:sz w:val="20"/>
    </w:rPr>
  </w:style>
  <w:style w:type="paragraph" w:customStyle="1" w:styleId="182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3">
    <w:name w:val="默认段落字体1"/>
    <w:link w:val="1"/>
    <w:uiPriority w:val="0"/>
  </w:style>
  <w:style w:type="table" w:customStyle="1" w:styleId="184">
    <w:name w:val="普通表格1"/>
    <w:unhideWhenUsed/>
    <w:uiPriority w:val="99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185">
    <w:name w:val="称呼1"/>
    <w:basedOn w:val="1"/>
    <w:next w:val="1"/>
    <w:uiPriority w:val="0"/>
  </w:style>
  <w:style w:type="paragraph" w:customStyle="1" w:styleId="186">
    <w:name w:val="正文文本缩进1"/>
    <w:basedOn w:val="1"/>
    <w:uiPriority w:val="0"/>
    <w:pPr>
      <w:spacing w:line="600" w:lineRule="exact"/>
      <w:ind w:firstLine="600"/>
    </w:pPr>
    <w:rPr>
      <w:rFonts w:ascii="宋体" w:hAnsi="宋体" w:eastAsia="宋体"/>
      <w:iCs/>
      <w:color w:val="000000"/>
      <w:sz w:val="30"/>
      <w:szCs w:val="30"/>
      <w:lang w:val="zh-CN"/>
    </w:rPr>
  </w:style>
  <w:style w:type="paragraph" w:customStyle="1" w:styleId="187">
    <w:name w:val="页脚1"/>
    <w:basedOn w:val="1"/>
    <w:link w:val="188"/>
    <w:uiPriority w:val="0"/>
    <w:pPr>
      <w:tabs>
        <w:tab w:val="center" w:pos="4153"/>
        <w:tab w:val="right" w:pos="8306"/>
      </w:tabs>
      <w:jc w:val="left"/>
    </w:pPr>
    <w:rPr>
      <w:rFonts w:eastAsia="仿宋_GB2312"/>
      <w:sz w:val="18"/>
      <w:szCs w:val="18"/>
    </w:rPr>
  </w:style>
  <w:style w:type="character" w:customStyle="1" w:styleId="188">
    <w:name w:val="页脚 Char"/>
    <w:basedOn w:val="183"/>
    <w:link w:val="187"/>
    <w:uiPriority w:val="0"/>
    <w:rPr>
      <w:rFonts w:eastAsia="仿宋_GB2312"/>
      <w:sz w:val="18"/>
      <w:szCs w:val="18"/>
    </w:rPr>
  </w:style>
  <w:style w:type="paragraph" w:customStyle="1" w:styleId="189">
    <w:name w:val="页眉1"/>
    <w:basedOn w:val="1"/>
    <w:link w:val="190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rFonts w:eastAsia="仿宋_GB2312"/>
      <w:sz w:val="18"/>
      <w:szCs w:val="18"/>
    </w:rPr>
  </w:style>
  <w:style w:type="character" w:customStyle="1" w:styleId="190">
    <w:name w:val="页眉 Char"/>
    <w:basedOn w:val="183"/>
    <w:link w:val="189"/>
    <w:uiPriority w:val="0"/>
    <w:rPr>
      <w:rFonts w:eastAsia="仿宋_GB2312"/>
      <w:sz w:val="18"/>
      <w:szCs w:val="18"/>
    </w:rPr>
  </w:style>
  <w:style w:type="character" w:customStyle="1" w:styleId="191">
    <w:name w:val="强调1"/>
    <w:basedOn w:val="183"/>
    <w:link w:val="1"/>
    <w:qFormat/>
    <w:uiPriority w:val="20"/>
    <w:rPr>
      <w:i/>
    </w:rPr>
  </w:style>
  <w:style w:type="paragraph" w:customStyle="1" w:styleId="192">
    <w:name w:val="列表段落1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Company>微软</Company>
  <TotalTime>4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2019-12-16T07:05:00Z</dcterms:created>
  <dc:creator>微软</dc:creator>
  <cp:lastModifiedBy>叶贤蔚</cp:lastModifiedBy>
  <dcterms:modified xsi:type="dcterms:W3CDTF">2025-01-08T04:12:44Z</dcterms:modified>
  <dc:title>福建省未成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7411DE01D499478F9FC436F44970CB0D</vt:lpwstr>
  </property>
</Properties>
</file>