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ind w:firstLine="2200" w:firstLineChars="500"/>
        <w:jc w:val="both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福建省未成年犯管教所</w:t>
      </w:r>
    </w:p>
    <w:p>
      <w:pPr>
        <w:snapToGrid w:val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6"/>
        <w:spacing w:line="430" w:lineRule="exact"/>
        <w:ind w:left="640" w:right="160" w:firstLine="0" w:firstLineChars="0"/>
        <w:jc w:val="right"/>
        <w:rPr>
          <w:rFonts w:hint="eastAsia" w:ascii="Times New Roman" w:hAnsi="Times New Roman"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/>
          <w:szCs w:val="32"/>
          <w:lang w:val="en-US" w:eastAsia="zh-CN"/>
        </w:rPr>
        <w:t>24</w:t>
      </w:r>
      <w:r>
        <w:rPr>
          <w:rFonts w:hint="eastAsia" w:eastAsia="楷体_GB2312" w:cs="楷体_GB2312"/>
          <w:szCs w:val="32"/>
        </w:rPr>
        <w:t>〕闽</w:t>
      </w:r>
      <w:r>
        <w:rPr>
          <w:rFonts w:hint="eastAsia" w:eastAsia="楷体_GB2312" w:cs="楷体_GB2312"/>
          <w:szCs w:val="32"/>
          <w:highlight w:val="none"/>
          <w:lang w:val="en-US" w:eastAsia="zh-CN"/>
        </w:rPr>
        <w:t>狱</w:t>
      </w:r>
      <w:r>
        <w:rPr>
          <w:rFonts w:hint="eastAsia" w:eastAsia="楷体_GB2312" w:cs="楷体_GB2312"/>
          <w:szCs w:val="32"/>
          <w:highlight w:val="none"/>
        </w:rPr>
        <w:t>未</w:t>
      </w:r>
      <w:r>
        <w:rPr>
          <w:rFonts w:hint="eastAsia" w:eastAsia="楷体_GB2312" w:cs="楷体_GB2312"/>
          <w:szCs w:val="32"/>
        </w:rPr>
        <w:t>减字第</w:t>
      </w:r>
      <w:r>
        <w:rPr>
          <w:rFonts w:hint="eastAsia" w:eastAsia="楷体_GB2312"/>
          <w:szCs w:val="32"/>
          <w:lang w:val="en-US" w:eastAsia="zh-CN"/>
        </w:rPr>
        <w:t>302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ind w:left="0" w:right="0" w:rightChars="0" w:firstLine="562" w:firstLineChars="200"/>
        <w:textAlignment w:val="auto"/>
        <w:rPr>
          <w:rFonts w:ascii="仿宋_GB2312"/>
          <w:b/>
          <w:bCs/>
          <w:sz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罪犯</w:t>
      </w:r>
      <w:r>
        <w:rPr>
          <w:rFonts w:hint="eastAsia" w:ascii="仿宋_GB2312" w:hAnsi="仿宋_GB2312" w:cs="仿宋_GB2312"/>
          <w:szCs w:val="32"/>
          <w:lang w:val="en-US" w:eastAsia="zh-CN"/>
        </w:rPr>
        <w:t>方钦辉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fldChar w:fldCharType="begin"/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instrText xml:space="preserve"> AUTOTEXTLIST  \* MERGEFORMAT </w:instrTex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fldChar w:fldCharType="separate"/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fldChar w:fldCharType="end"/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，男，19</w:t>
      </w:r>
      <w:r>
        <w:rPr>
          <w:rFonts w:hint="eastAsia" w:ascii="仿宋_GB2312" w:hAnsi="仿宋_GB2312" w:cs="仿宋_GB2312"/>
          <w:szCs w:val="32"/>
          <w:lang w:val="en-US" w:eastAsia="zh-CN"/>
        </w:rPr>
        <w:t>76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年10月</w:t>
      </w:r>
      <w:r>
        <w:rPr>
          <w:rFonts w:hint="eastAsia" w:ascii="仿宋_GB2312" w:hAnsi="仿宋_GB2312" w:cs="仿宋_GB2312"/>
          <w:szCs w:val="32"/>
          <w:lang w:val="en-US" w:eastAsia="zh-CN"/>
        </w:rPr>
        <w:t>22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日出生，汉族，</w:t>
      </w:r>
      <w:r>
        <w:rPr>
          <w:rFonts w:hint="eastAsia" w:ascii="仿宋_GB2312" w:hAnsi="仿宋_GB2312" w:cs="仿宋_GB2312"/>
          <w:szCs w:val="32"/>
          <w:lang w:val="en-US" w:eastAsia="zh-CN"/>
        </w:rPr>
        <w:t>小学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文化，</w:t>
      </w:r>
      <w:r>
        <w:rPr>
          <w:rFonts w:hint="eastAsia" w:ascii="仿宋_GB2312" w:hAnsi="仿宋_GB2312" w:cs="仿宋_GB2312"/>
          <w:szCs w:val="32"/>
          <w:lang w:val="en-US" w:eastAsia="zh-CN"/>
        </w:rPr>
        <w:t>户籍所在地福建省福清市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，捕前系无业。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福建省三明市三元区人民法院于2020年1月23日作出（2019）闽0403刑初145号刑事判决，以被告人方钦辉犯组织卖淫罪，判处有期徒刑十年六个月，并处罚金人民币十万元</w:t>
      </w:r>
      <w:r>
        <w:rPr>
          <w:rFonts w:hint="eastAsia" w:ascii="仿宋_GB2312" w:hAnsi="仿宋_GB2312" w:cs="仿宋_GB2312"/>
          <w:szCs w:val="32"/>
          <w:lang w:val="en-US" w:eastAsia="zh-CN"/>
        </w:rPr>
        <w:t>。被告人方钦辉退出的违法所得人民币20000元，依法由扣押机关予以没收，上缴国库；继续追缴违法所得人民币66305元，上缴国库。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宣判后，被告人不服，提出上诉</w:t>
      </w:r>
      <w:r>
        <w:rPr>
          <w:rFonts w:hint="eastAsia" w:ascii="仿宋_GB2312" w:hAnsi="仿宋_GB2312" w:cs="仿宋_GB2312"/>
          <w:szCs w:val="32"/>
          <w:lang w:val="en-US" w:eastAsia="zh-CN"/>
        </w:rPr>
        <w:t>。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福建省三明市中级人民法院于2020年6月5日作出（2020）闽04刑终157号刑事裁定：驳回上诉，维持原判。刑期自2018年12月19日起至2029年6月18日止。2020年7月20日交付福建省未成年犯管教所执行刑罚。202</w:t>
      </w:r>
      <w:r>
        <w:rPr>
          <w:rFonts w:hint="eastAsia" w:ascii="仿宋_GB2312" w:hAnsi="仿宋_GB2312" w:cs="仿宋_GB231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23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日，</w:t>
      </w:r>
      <w:r>
        <w:rPr>
          <w:rFonts w:hint="eastAsia" w:ascii="仿宋_GB2312" w:hAnsi="仿宋_GB2312" w:cs="仿宋_GB2312"/>
          <w:szCs w:val="32"/>
          <w:lang w:val="en-US" w:eastAsia="zh-CN"/>
        </w:rPr>
        <w:t>福建省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福州市中级人民法院</w:t>
      </w:r>
      <w:r>
        <w:rPr>
          <w:rFonts w:hint="eastAsia" w:ascii="仿宋_GB2312" w:hAnsi="仿宋_GB2312" w:cs="仿宋_GB2312"/>
          <w:szCs w:val="32"/>
          <w:lang w:val="en-US" w:eastAsia="zh-CN"/>
        </w:rPr>
        <w:t>作出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（202</w:t>
      </w:r>
      <w:r>
        <w:rPr>
          <w:rFonts w:hint="eastAsia" w:ascii="仿宋_GB2312" w:hAnsi="仿宋_GB2312" w:cs="仿宋_GB231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）闽01刑更</w:t>
      </w:r>
      <w:r>
        <w:rPr>
          <w:rFonts w:hint="eastAsia" w:ascii="仿宋_GB2312" w:hAnsi="仿宋_GB2312" w:cs="仿宋_GB2312"/>
          <w:szCs w:val="32"/>
          <w:lang w:val="en-US" w:eastAsia="zh-CN"/>
        </w:rPr>
        <w:t>135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号刑事裁定，对其减刑六个月，202</w:t>
      </w:r>
      <w:r>
        <w:rPr>
          <w:rFonts w:hint="eastAsia" w:ascii="仿宋_GB2312" w:hAnsi="仿宋_GB2312" w:cs="仿宋_GB231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月2</w:t>
      </w:r>
      <w:r>
        <w:rPr>
          <w:rFonts w:hint="eastAsia" w:ascii="仿宋_GB2312" w:hAnsi="仿宋_GB2312" w:cs="仿宋_GB231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日送达。现刑期至20</w:t>
      </w:r>
      <w:r>
        <w:rPr>
          <w:rFonts w:hint="eastAsia" w:ascii="仿宋_GB2312" w:hAnsi="仿宋_GB2312" w:cs="仿宋_GB2312"/>
          <w:szCs w:val="32"/>
          <w:lang w:val="en-US" w:eastAsia="zh-CN"/>
        </w:rPr>
        <w:t>28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18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日。属</w:t>
      </w:r>
      <w:r>
        <w:rPr>
          <w:rFonts w:hint="eastAsia" w:ascii="仿宋_GB2312" w:hAnsi="仿宋_GB2312" w:cs="仿宋_GB2312"/>
          <w:szCs w:val="32"/>
          <w:lang w:val="en-US" w:eastAsia="zh-CN"/>
        </w:rPr>
        <w:t>普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管级罪犯。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该犯</w:t>
      </w:r>
      <w:r>
        <w:rPr>
          <w:rFonts w:hint="eastAsia" w:ascii="仿宋_GB2312" w:hAnsi="仿宋_GB2312" w:eastAsia="仿宋_GB2312" w:cs="仿宋_GB2312"/>
          <w:iCs/>
          <w:kern w:val="0"/>
          <w:szCs w:val="32"/>
          <w:lang w:val="zh-CN"/>
        </w:rPr>
        <w:t>自</w:t>
      </w:r>
      <w:r>
        <w:rPr>
          <w:rFonts w:hint="eastAsia" w:ascii="仿宋_GB2312" w:hAnsi="仿宋_GB2312" w:cs="仿宋_GB2312"/>
          <w:iCs/>
          <w:kern w:val="0"/>
          <w:szCs w:val="32"/>
          <w:lang w:val="en-US" w:eastAsia="zh-CN"/>
        </w:rPr>
        <w:t>上次减刑</w:t>
      </w:r>
      <w:r>
        <w:rPr>
          <w:rFonts w:hint="eastAsia" w:ascii="仿宋_GB2312" w:hAnsi="仿宋_GB2312" w:eastAsia="仿宋_GB2312" w:cs="仿宋_GB2312"/>
          <w:iCs/>
          <w:kern w:val="0"/>
          <w:szCs w:val="32"/>
          <w:lang w:val="zh-CN"/>
        </w:rPr>
        <w:t>以来</w:t>
      </w:r>
      <w:r>
        <w:rPr>
          <w:rFonts w:hint="eastAsia" w:ascii="仿宋_GB2312" w:hAnsi="仿宋_GB2312" w:eastAsia="仿宋_GB2312" w:cs="仿宋_GB2312"/>
          <w:szCs w:val="32"/>
        </w:rPr>
        <w:t>确有悔改表现，具体事实如下：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80" w:lineRule="exact"/>
        <w:ind w:firstLine="640"/>
        <w:jc w:val="left"/>
        <w:textAlignment w:val="auto"/>
        <w:rPr>
          <w:rFonts w:hint="eastAsia" w:ascii="仿宋_GB2312" w:hAnsi="仿宋_GB2312" w:eastAsia="仿宋_GB2312" w:cs="仿宋_GB2312"/>
          <w:iCs/>
          <w:kern w:val="2"/>
          <w:szCs w:val="32"/>
        </w:rPr>
      </w:pPr>
      <w:r>
        <w:rPr>
          <w:rFonts w:hint="eastAsia" w:ascii="仿宋_GB2312" w:hAnsi="仿宋_GB2312" w:eastAsia="仿宋_GB2312" w:cs="仿宋_GB2312"/>
          <w:iCs/>
          <w:kern w:val="2"/>
          <w:szCs w:val="32"/>
          <w:lang w:val="zh-CN"/>
        </w:rPr>
        <w:t>1.</w:t>
      </w:r>
      <w:r>
        <w:rPr>
          <w:rFonts w:hint="eastAsia" w:ascii="仿宋_GB2312" w:hAnsi="仿宋_GB2312" w:eastAsia="仿宋_GB2312" w:cs="仿宋_GB2312"/>
          <w:iCs/>
          <w:kern w:val="2"/>
          <w:szCs w:val="32"/>
        </w:rPr>
        <w:t>认罪悔罪：能服从法院判决，自书认罪悔罪书。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80" w:lineRule="exact"/>
        <w:ind w:left="640" w:firstLine="0" w:firstLineChars="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2.遵守监规</w:t>
      </w:r>
      <w:r>
        <w:rPr>
          <w:rFonts w:hint="eastAsia" w:ascii="仿宋_GB2312" w:hAnsi="仿宋_GB2312" w:eastAsia="仿宋_GB2312" w:cs="仿宋_GB2312"/>
          <w:szCs w:val="32"/>
          <w:lang w:val="zh-CN"/>
        </w:rPr>
        <w:t>：</w:t>
      </w:r>
      <w:r>
        <w:rPr>
          <w:rFonts w:hint="eastAsia" w:ascii="仿宋_GB2312" w:hAnsi="仿宋_GB2312" w:eastAsia="仿宋_GB2312" w:cs="仿宋_GB2312"/>
          <w:szCs w:val="32"/>
        </w:rPr>
        <w:t>罪犯存在违规行为，但经民警教育引导后能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80" w:lineRule="exact"/>
        <w:ind w:left="0" w:leftChars="0" w:firstLine="0" w:firstLineChars="0"/>
        <w:jc w:val="left"/>
        <w:textAlignment w:val="auto"/>
        <w:rPr>
          <w:rFonts w:hint="eastAsia" w:ascii="仿宋_GB2312" w:hAnsi="仿宋_GB2312" w:eastAsia="仿宋_GB2312" w:cs="仿宋_GB2312"/>
          <w:szCs w:val="32"/>
          <w:lang w:val="zh-CN"/>
        </w:rPr>
      </w:pPr>
      <w:r>
        <w:rPr>
          <w:rFonts w:hint="eastAsia" w:ascii="仿宋_GB2312" w:hAnsi="仿宋_GB2312" w:eastAsia="仿宋_GB2312" w:cs="仿宋_GB2312"/>
          <w:szCs w:val="32"/>
        </w:rPr>
        <w:t>遵守法律法规及监规纪律、接</w:t>
      </w:r>
      <w:r>
        <w:rPr>
          <w:rFonts w:hint="eastAsia" w:ascii="仿宋_GB2312" w:hAnsi="仿宋_GB2312" w:eastAsia="仿宋_GB2312" w:cs="仿宋_GB2312"/>
          <w:szCs w:val="32"/>
          <w:lang w:val="zh-CN"/>
        </w:rPr>
        <w:t>受教育改造。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80" w:lineRule="exact"/>
        <w:ind w:left="640" w:firstLine="0" w:firstLineChars="0"/>
        <w:jc w:val="left"/>
        <w:textAlignment w:val="auto"/>
        <w:rPr>
          <w:rFonts w:hint="eastAsia" w:ascii="仿宋_GB2312" w:hAnsi="仿宋_GB2312" w:eastAsia="仿宋_GB2312" w:cs="仿宋_GB2312"/>
          <w:szCs w:val="32"/>
          <w:lang w:val="zh-CN"/>
        </w:rPr>
      </w:pPr>
      <w:r>
        <w:rPr>
          <w:rFonts w:hint="eastAsia" w:ascii="仿宋_GB2312" w:hAnsi="仿宋_GB2312" w:eastAsia="仿宋_GB2312" w:cs="仿宋_GB2312"/>
          <w:szCs w:val="32"/>
          <w:lang w:val="zh-CN"/>
        </w:rPr>
        <w:t>3.学习情况：能参加</w:t>
      </w:r>
      <w:r>
        <w:rPr>
          <w:rFonts w:hint="eastAsia" w:ascii="仿宋_GB2312" w:hAnsi="仿宋_GB2312" w:eastAsia="仿宋_GB2312" w:cs="仿宋_GB2312"/>
          <w:szCs w:val="32"/>
        </w:rPr>
        <w:t>思想、文化、职业技术教育</w:t>
      </w:r>
      <w:r>
        <w:rPr>
          <w:rFonts w:hint="eastAsia" w:ascii="仿宋_GB2312" w:hAnsi="仿宋_GB2312" w:eastAsia="仿宋_GB2312" w:cs="仿宋_GB2312"/>
          <w:szCs w:val="32"/>
          <w:lang w:val="zh-CN"/>
        </w:rPr>
        <w:t>。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80" w:lineRule="exact"/>
        <w:ind w:firstLine="640"/>
        <w:jc w:val="left"/>
        <w:textAlignment w:val="auto"/>
        <w:rPr>
          <w:rFonts w:hint="eastAsia" w:ascii="仿宋_GB2312" w:hAnsi="仿宋_GB2312" w:eastAsia="仿宋_GB2312" w:cs="仿宋_GB2312"/>
          <w:szCs w:val="32"/>
          <w:lang w:val="zh-CN"/>
        </w:rPr>
      </w:pPr>
      <w:r>
        <w:rPr>
          <w:rFonts w:hint="eastAsia" w:ascii="仿宋_GB2312" w:hAnsi="仿宋_GB2312" w:eastAsia="仿宋_GB2312" w:cs="仿宋_GB2312"/>
          <w:szCs w:val="32"/>
          <w:lang w:val="zh-CN"/>
        </w:rPr>
        <w:t>4.劳动改造：能参加劳动，努力完成</w:t>
      </w:r>
      <w:r>
        <w:rPr>
          <w:rFonts w:hint="eastAsia" w:ascii="仿宋_GB2312" w:hAnsi="仿宋_GB2312" w:eastAsia="仿宋_GB2312" w:cs="仿宋_GB2312"/>
          <w:szCs w:val="32"/>
        </w:rPr>
        <w:t>劳动</w:t>
      </w:r>
      <w:r>
        <w:rPr>
          <w:rFonts w:hint="eastAsia" w:ascii="仿宋_GB2312" w:hAnsi="仿宋_GB2312" w:eastAsia="仿宋_GB2312" w:cs="仿宋_GB2312"/>
          <w:szCs w:val="32"/>
          <w:lang w:val="zh-CN"/>
        </w:rPr>
        <w:t>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firstLine="640" w:firstLineChars="200"/>
        <w:jc w:val="left"/>
        <w:textAlignment w:val="auto"/>
        <w:rPr>
          <w:rFonts w:hint="eastAsia" w:ascii="仿宋_GB2312" w:hAnsi="仿宋_GB2312" w:cs="仿宋_GB2312"/>
          <w:color w:val="auto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zh-CN" w:eastAsia="zh-CN" w:bidi="ar-SA"/>
        </w:rPr>
        <w:t>5.奖惩情况：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en-US" w:eastAsia="zh-CN" w:bidi="ar-SA"/>
        </w:rPr>
        <w:t>该犯上次评定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表扬剩余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171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分，本轮考核期202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年1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月1日至2024年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月3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日累计获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2512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分，合计获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得2683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分，表扬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次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，物质奖励2次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；间隔期202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24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日至2024年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月3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日，获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2002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分。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考核期内违规2次，累计扣3分，其中2023年8月28 日因违反内务规范，乱倒残汤剩饭（剩饭没有沥干倒进下水道），情节轻微扣 1 分；2024年2月6日因违反内务规范，个人用品摆放不规范扣 2 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kern w:val="3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szCs w:val="32"/>
        </w:rPr>
        <w:t>6.原判财产性判项：罚金人民币</w:t>
      </w:r>
      <w:r>
        <w:rPr>
          <w:rFonts w:hint="eastAsia" w:ascii="仿宋_GB2312" w:hAnsi="仿宋_GB2312" w:cs="仿宋_GB2312"/>
          <w:szCs w:val="32"/>
          <w:lang w:val="en-US" w:eastAsia="zh-CN"/>
        </w:rPr>
        <w:t>100000</w:t>
      </w:r>
      <w:r>
        <w:rPr>
          <w:rFonts w:hint="eastAsia" w:ascii="仿宋_GB2312" w:hAnsi="仿宋_GB2312" w:eastAsia="仿宋_GB2312" w:cs="仿宋_GB2312"/>
          <w:szCs w:val="32"/>
        </w:rPr>
        <w:t>元，继续追缴违法所得人民币</w:t>
      </w:r>
      <w:r>
        <w:rPr>
          <w:rFonts w:hint="eastAsia" w:ascii="仿宋_GB2312" w:hAnsi="仿宋_GB2312" w:cs="仿宋_GB2312"/>
          <w:szCs w:val="32"/>
          <w:lang w:val="en-US" w:eastAsia="zh-CN"/>
        </w:rPr>
        <w:t>66305</w:t>
      </w:r>
      <w:r>
        <w:rPr>
          <w:rFonts w:hint="eastAsia" w:ascii="仿宋_GB2312" w:hAnsi="仿宋_GB2312" w:eastAsia="仿宋_GB2312" w:cs="仿宋_GB2312"/>
          <w:szCs w:val="32"/>
        </w:rPr>
        <w:t>元。该犯已履行人民币166305元，已全部履行完毕；其中本考核期向福建省三明市三元区人民法院缴纳罚金人民币48127.83元。福建省三明市三元区人民法院</w:t>
      </w:r>
      <w:r>
        <w:rPr>
          <w:rFonts w:hint="eastAsia" w:ascii="仿宋_GB2312" w:hAnsi="仿宋_GB2312" w:cs="仿宋_GB2312"/>
          <w:szCs w:val="32"/>
          <w:lang w:eastAsia="zh-CN"/>
        </w:rPr>
        <w:t>出具</w:t>
      </w:r>
      <w:r>
        <w:rPr>
          <w:rFonts w:hint="eastAsia" w:ascii="Calibri" w:hAnsi="Calibri" w:cs="Calibri"/>
          <w:color w:val="auto"/>
          <w:szCs w:val="32"/>
          <w:lang w:val="en-US" w:eastAsia="zh-CN"/>
        </w:rPr>
        <w:t>缴款凭证</w:t>
      </w:r>
      <w:r>
        <w:rPr>
          <w:rFonts w:hint="eastAsia" w:ascii="仿宋_GB2312" w:hAnsi="仿宋_GB2312" w:eastAsia="仿宋_GB2312" w:cs="仿宋_GB2312"/>
          <w:szCs w:val="32"/>
        </w:rPr>
        <w:t>（票号：00246937、0004165829、0001495429、0004166972）并于2024年9月12日出具结案证明</w:t>
      </w:r>
      <w:r>
        <w:rPr>
          <w:rFonts w:hint="eastAsia" w:ascii="仿宋_GB2312" w:hAnsi="仿宋_GB2312" w:cs="仿宋_GB2312"/>
          <w:szCs w:val="32"/>
          <w:lang w:eastAsia="zh-CN"/>
        </w:rPr>
        <w:t>予以证实</w:t>
      </w:r>
      <w:r>
        <w:rPr>
          <w:rFonts w:hint="eastAsia" w:ascii="仿宋_GB2312" w:hAnsi="仿宋_GB2312" w:eastAsia="仿宋_GB2312" w:cs="仿宋_GB231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/>
          <w:szCs w:val="32"/>
        </w:rPr>
        <w:t>本案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于2024年12月20日至2024年12月26日在狱内公示未收到不同意见</w:t>
      </w:r>
      <w:r>
        <w:rPr>
          <w:rFonts w:hint="eastAsia" w:ascii="仿宋_GB2312" w:hAnsi="仿宋_GB2312" w:eastAsia="仿宋_GB2312" w:cs="仿宋_GB231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因此，依照《中华人民共和国刑法》第七十八条、第七十九条《中华人民共和国刑事诉讼法》第二百七十三条第二款、《中华人民共和国监狱法》第二十九条的规定，建议对罪犯</w:t>
      </w:r>
      <w:r>
        <w:rPr>
          <w:rFonts w:hint="eastAsia" w:ascii="仿宋_GB2312" w:hAnsi="仿宋_GB2312" w:cs="仿宋_GB2312"/>
          <w:szCs w:val="32"/>
          <w:lang w:val="en-US" w:eastAsia="zh-CN"/>
        </w:rPr>
        <w:t>方钦辉</w:t>
      </w:r>
      <w:r>
        <w:rPr>
          <w:rFonts w:hint="eastAsia" w:ascii="仿宋_GB2312" w:hAnsi="仿宋_GB2312" w:eastAsia="仿宋_GB2312" w:cs="仿宋_GB2312"/>
          <w:szCs w:val="32"/>
        </w:rPr>
        <w:t>予以减刑</w:t>
      </w:r>
      <w:r>
        <w:rPr>
          <w:rFonts w:hint="eastAsia" w:ascii="仿宋_GB2312" w:hAnsi="仿宋_GB2312" w:cs="仿宋_GB2312"/>
          <w:szCs w:val="32"/>
          <w:lang w:eastAsia="zh-CN"/>
        </w:rPr>
        <w:t>五</w:t>
      </w:r>
      <w:r>
        <w:rPr>
          <w:rFonts w:hint="eastAsia" w:ascii="仿宋_GB2312" w:hAnsi="仿宋_GB2312" w:eastAsia="仿宋_GB2312" w:cs="仿宋_GB2312"/>
          <w:szCs w:val="32"/>
        </w:rPr>
        <w:t>个月。特提请你院审理裁定。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right="-48" w:rightChars="-15" w:firstLine="640" w:firstLineChars="20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>此致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right="-48" w:rightChars="-15" w:firstLine="0" w:firstLineChars="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>福建省</w:t>
      </w:r>
      <w:r>
        <w:rPr>
          <w:rFonts w:hint="eastAsia"/>
          <w:szCs w:val="32"/>
          <w:lang w:eastAsia="zh-CN"/>
        </w:rPr>
        <w:t>福州</w:t>
      </w:r>
      <w:r>
        <w:rPr>
          <w:rFonts w:hint="eastAsia"/>
          <w:szCs w:val="32"/>
        </w:rPr>
        <w:t>市中级人民法院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left="0" w:leftChars="0" w:firstLine="0" w:firstLineChars="0"/>
        <w:jc w:val="left"/>
        <w:textAlignment w:val="auto"/>
        <w:rPr>
          <w:rFonts w:cs="仿宋_GB2312"/>
          <w:szCs w:val="32"/>
        </w:rPr>
      </w:pP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left="640" w:firstLine="0" w:firstLineChars="0"/>
        <w:jc w:val="left"/>
        <w:textAlignment w:val="auto"/>
        <w:rPr>
          <w:rFonts w:cs="仿宋_GB2312"/>
          <w:szCs w:val="32"/>
        </w:rPr>
      </w:pPr>
      <w:r>
        <w:rPr>
          <w:rFonts w:hint="eastAsia" w:cs="仿宋_GB2312"/>
          <w:szCs w:val="32"/>
        </w:rPr>
        <w:t>附件：⒈罪犯</w:t>
      </w:r>
      <w:r>
        <w:rPr>
          <w:rFonts w:hint="eastAsia" w:cs="仿宋_GB2312"/>
          <w:szCs w:val="32"/>
          <w:lang w:val="en-US" w:eastAsia="zh-CN"/>
        </w:rPr>
        <w:t>方钦辉</w:t>
      </w:r>
      <w:r>
        <w:rPr>
          <w:rFonts w:hint="eastAsia" w:cs="仿宋_GB2312"/>
          <w:szCs w:val="32"/>
        </w:rPr>
        <w:t>卷宗</w:t>
      </w:r>
      <w:r>
        <w:rPr>
          <w:rFonts w:hint="eastAsia" w:cs="仿宋_GB2312"/>
          <w:szCs w:val="32"/>
          <w:lang w:eastAsia="zh-CN"/>
        </w:rPr>
        <w:t>贰</w:t>
      </w:r>
      <w:r>
        <w:rPr>
          <w:rFonts w:hint="eastAsia" w:cs="仿宋_GB2312"/>
          <w:szCs w:val="32"/>
        </w:rPr>
        <w:t>册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left="640" w:right="-48" w:rightChars="-15" w:firstLine="960" w:firstLineChars="300"/>
        <w:jc w:val="left"/>
        <w:textAlignment w:val="auto"/>
        <w:rPr>
          <w:rFonts w:cs="仿宋_GB2312"/>
          <w:szCs w:val="32"/>
        </w:rPr>
      </w:pPr>
      <w:r>
        <w:rPr>
          <w:rFonts w:hint="eastAsia" w:cs="仿宋_GB2312"/>
          <w:szCs w:val="32"/>
        </w:rPr>
        <w:t>⒉减刑建议书</w:t>
      </w:r>
      <w:r>
        <w:rPr>
          <w:rFonts w:hint="eastAsia" w:cs="仿宋_GB2312"/>
          <w:szCs w:val="32"/>
          <w:lang w:eastAsia="zh-CN"/>
        </w:rPr>
        <w:t>肆</w:t>
      </w:r>
      <w:r>
        <w:rPr>
          <w:rFonts w:hint="eastAsia" w:cs="仿宋_GB2312"/>
          <w:szCs w:val="32"/>
        </w:rPr>
        <w:t>份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10" w:lineRule="exact"/>
        <w:ind w:right="1280" w:rightChars="400"/>
        <w:jc w:val="both"/>
        <w:textAlignment w:val="auto"/>
        <w:rPr>
          <w:rFonts w:hint="eastAsia"/>
          <w:szCs w:val="32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right="1280" w:rightChars="400" w:firstLine="4480" w:firstLineChars="140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>福建省未成年犯管教所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right="1280" w:rightChars="40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 xml:space="preserve">                  </w:t>
      </w:r>
      <w:r>
        <w:rPr>
          <w:rFonts w:hint="eastAsia"/>
          <w:szCs w:val="32"/>
          <w:lang w:val="en-US" w:eastAsia="zh-CN"/>
        </w:rPr>
        <w:t xml:space="preserve">              2025</w:t>
      </w:r>
      <w:r>
        <w:rPr>
          <w:rFonts w:hint="eastAsia"/>
          <w:szCs w:val="32"/>
        </w:rPr>
        <w:t>年</w:t>
      </w:r>
      <w:r>
        <w:rPr>
          <w:rFonts w:hint="eastAsia"/>
          <w:szCs w:val="32"/>
          <w:lang w:val="en-US" w:eastAsia="zh-CN"/>
        </w:rPr>
        <w:t>1</w:t>
      </w:r>
      <w:r>
        <w:rPr>
          <w:rFonts w:hint="eastAsia"/>
          <w:szCs w:val="32"/>
        </w:rPr>
        <w:t>月</w:t>
      </w:r>
      <w:r>
        <w:rPr>
          <w:rFonts w:hint="eastAsia"/>
          <w:szCs w:val="32"/>
          <w:lang w:val="en-US" w:eastAsia="zh-CN"/>
        </w:rPr>
        <w:t>6</w:t>
      </w:r>
      <w:r>
        <w:rPr>
          <w:rFonts w:hint="eastAsia"/>
          <w:szCs w:val="32"/>
        </w:rPr>
        <w:t>日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10" w:lineRule="exact"/>
        <w:ind w:right="1280" w:rightChars="400"/>
        <w:jc w:val="left"/>
        <w:textAlignment w:val="auto"/>
        <w:rPr>
          <w:rFonts w:hint="eastAsia" w:ascii="仿宋_GB2312" w:hAnsi="仿宋_GB2312" w:cs="仿宋_GB2312"/>
          <w:b/>
          <w:bCs/>
          <w:szCs w:val="32"/>
        </w:rPr>
      </w:pPr>
    </w:p>
    <w:sectPr>
      <w:pgSz w:w="11906" w:h="16838"/>
      <w:pgMar w:top="1871" w:right="1304" w:bottom="1871" w:left="1587" w:header="851" w:footer="992" w:gutter="0"/>
      <w:cols w:space="0" w:num="1"/>
      <w:rtlGutter w:val="0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rsids>
    <w:rsidRoot w:val="00DC397F"/>
    <w:rsid w:val="00297A05"/>
    <w:rsid w:val="004A3A94"/>
    <w:rsid w:val="005E768D"/>
    <w:rsid w:val="00804641"/>
    <w:rsid w:val="008B117C"/>
    <w:rsid w:val="00A6077B"/>
    <w:rsid w:val="00C04F41"/>
    <w:rsid w:val="00C3536F"/>
    <w:rsid w:val="00DC397F"/>
    <w:rsid w:val="00E261E3"/>
    <w:rsid w:val="011B0B5F"/>
    <w:rsid w:val="01667BEF"/>
    <w:rsid w:val="02E624D0"/>
    <w:rsid w:val="04392ECE"/>
    <w:rsid w:val="0715212E"/>
    <w:rsid w:val="07886BEA"/>
    <w:rsid w:val="07AF2BA5"/>
    <w:rsid w:val="08B1411A"/>
    <w:rsid w:val="0A964B9A"/>
    <w:rsid w:val="0AED6E43"/>
    <w:rsid w:val="0B1F629B"/>
    <w:rsid w:val="0CB446AA"/>
    <w:rsid w:val="0DA568C9"/>
    <w:rsid w:val="11512B9A"/>
    <w:rsid w:val="14242783"/>
    <w:rsid w:val="15FC5020"/>
    <w:rsid w:val="18255CB3"/>
    <w:rsid w:val="183D4B34"/>
    <w:rsid w:val="1AE10AC1"/>
    <w:rsid w:val="1BE90A69"/>
    <w:rsid w:val="1C1A58AA"/>
    <w:rsid w:val="1C1B332C"/>
    <w:rsid w:val="1E5C52FC"/>
    <w:rsid w:val="1EFE1A2E"/>
    <w:rsid w:val="22E307CC"/>
    <w:rsid w:val="25A35725"/>
    <w:rsid w:val="26587275"/>
    <w:rsid w:val="2B0A5828"/>
    <w:rsid w:val="2B3111E7"/>
    <w:rsid w:val="2BD716F9"/>
    <w:rsid w:val="2C447A9D"/>
    <w:rsid w:val="2CE26733"/>
    <w:rsid w:val="2D9F264C"/>
    <w:rsid w:val="2DA93C51"/>
    <w:rsid w:val="2DE20BEF"/>
    <w:rsid w:val="2F2D4C04"/>
    <w:rsid w:val="2F621FD4"/>
    <w:rsid w:val="2FF41DA0"/>
    <w:rsid w:val="320A1F29"/>
    <w:rsid w:val="32B25BB9"/>
    <w:rsid w:val="33D545F2"/>
    <w:rsid w:val="34EE5144"/>
    <w:rsid w:val="350C7DD4"/>
    <w:rsid w:val="35305D06"/>
    <w:rsid w:val="37653E47"/>
    <w:rsid w:val="3846049B"/>
    <w:rsid w:val="38463F61"/>
    <w:rsid w:val="3B482BC5"/>
    <w:rsid w:val="3B6E3BF1"/>
    <w:rsid w:val="3C186532"/>
    <w:rsid w:val="3DE441B2"/>
    <w:rsid w:val="3F944630"/>
    <w:rsid w:val="3FF47C2F"/>
    <w:rsid w:val="40455EDB"/>
    <w:rsid w:val="408B74C2"/>
    <w:rsid w:val="4126298A"/>
    <w:rsid w:val="45452CB5"/>
    <w:rsid w:val="45673866"/>
    <w:rsid w:val="45B470A1"/>
    <w:rsid w:val="45EC6BD9"/>
    <w:rsid w:val="47BC323F"/>
    <w:rsid w:val="4900337D"/>
    <w:rsid w:val="4A6D7FCE"/>
    <w:rsid w:val="4ACA0943"/>
    <w:rsid w:val="4EFB601C"/>
    <w:rsid w:val="4FCC3EF9"/>
    <w:rsid w:val="50E627CF"/>
    <w:rsid w:val="53E2523B"/>
    <w:rsid w:val="56301675"/>
    <w:rsid w:val="56CE4BB4"/>
    <w:rsid w:val="574915C7"/>
    <w:rsid w:val="583062AE"/>
    <w:rsid w:val="59A1088D"/>
    <w:rsid w:val="5AC359B7"/>
    <w:rsid w:val="5B9F6B31"/>
    <w:rsid w:val="5CC01232"/>
    <w:rsid w:val="5CD937EB"/>
    <w:rsid w:val="5D1E7481"/>
    <w:rsid w:val="5F24000B"/>
    <w:rsid w:val="5FAD4A84"/>
    <w:rsid w:val="6105633A"/>
    <w:rsid w:val="61891F0D"/>
    <w:rsid w:val="619C47D1"/>
    <w:rsid w:val="627938FB"/>
    <w:rsid w:val="62DF2E4C"/>
    <w:rsid w:val="64167308"/>
    <w:rsid w:val="64A61C63"/>
    <w:rsid w:val="64B67545"/>
    <w:rsid w:val="6514404A"/>
    <w:rsid w:val="656D7262"/>
    <w:rsid w:val="68324FB1"/>
    <w:rsid w:val="687619CD"/>
    <w:rsid w:val="68985DC6"/>
    <w:rsid w:val="692630DE"/>
    <w:rsid w:val="69B077C9"/>
    <w:rsid w:val="6CE8573C"/>
    <w:rsid w:val="6D3D72C4"/>
    <w:rsid w:val="6EA622B4"/>
    <w:rsid w:val="715E0EB6"/>
    <w:rsid w:val="75236FC9"/>
    <w:rsid w:val="78404F59"/>
    <w:rsid w:val="79910B09"/>
    <w:rsid w:val="7A5709BB"/>
    <w:rsid w:val="7E227B7D"/>
    <w:rsid w:val="7E7C79FE"/>
    <w:rsid w:val="7EDC02B0"/>
    <w:rsid w:val="7FE71A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240" w:lineRule="auto"/>
      <w:jc w:val="both"/>
    </w:pPr>
    <w:rPr>
      <w:rFonts w:ascii="Times New Roman" w:hAnsi="Times New Roman" w:eastAsia="仿宋_GB2312" w:cs="Times New Roman"/>
      <w:kern w:val="32"/>
      <w:sz w:val="32"/>
      <w:szCs w:val="20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5"/>
    <w:qFormat/>
    <w:uiPriority w:val="99"/>
  </w:style>
  <w:style w:type="character" w:customStyle="1" w:styleId="5">
    <w:name w:val="称呼 Char"/>
    <w:basedOn w:val="4"/>
    <w:link w:val="2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  <w:style w:type="paragraph" w:customStyle="1" w:styleId="6">
    <w:name w:val="列表段落1"/>
    <w:basedOn w:val="1"/>
    <w:qFormat/>
    <w:uiPriority w:val="99"/>
    <w:pPr>
      <w:ind w:firstLine="420" w:firstLineChars="200"/>
    </w:pPr>
  </w:style>
  <w:style w:type="paragraph" w:styleId="7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1</Pages>
  <Words>367</Words>
  <Characters>2097</Characters>
  <Lines>1</Lines>
  <Paragraphs>1</Paragraphs>
  <TotalTime>0</TotalTime>
  <ScaleCrop>false</ScaleCrop>
  <LinksUpToDate>false</LinksUpToDate>
  <CharactersWithSpaces>2460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2023-12-20T01:44:00Z</dcterms:created>
  <dc:creator>杨敏</dc:creator>
  <cp:lastModifiedBy>叶贤蔚</cp:lastModifiedBy>
  <cp:lastPrinted>2024-11-08T06:37:00Z</cp:lastPrinted>
  <dcterms:modified xsi:type="dcterms:W3CDTF">2025-01-08T04:28:09Z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EC55D6C23C164C8382BD637F224426D0</vt:lpwstr>
  </property>
</Properties>
</file>