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6"/>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21</w:t>
      </w:r>
      <w:r>
        <w:rPr>
          <w:rFonts w:hint="eastAsia" w:eastAsia="楷体_GB2312" w:cs="楷体_GB2312"/>
          <w:szCs w:val="32"/>
        </w:rPr>
        <w:t>号</w:t>
      </w:r>
    </w:p>
    <w:p>
      <w:pPr>
        <w:pStyle w:val="6"/>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szCs w:val="32"/>
        </w:rPr>
      </w:pPr>
      <w:r>
        <w:rPr>
          <w:rFonts w:hint="eastAsia" w:ascii="仿宋_GB2312"/>
          <w:szCs w:val="32"/>
        </w:rPr>
        <w:t>罪犯</w:t>
      </w:r>
      <w:r>
        <w:rPr>
          <w:rFonts w:hint="eastAsia" w:ascii="仿宋_GB2312"/>
          <w:szCs w:val="32"/>
          <w:lang w:val="en-US" w:eastAsia="zh-CN"/>
        </w:rPr>
        <w:t>郑德伙</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ascii="仿宋_GB2312"/>
          <w:szCs w:val="32"/>
          <w:lang w:val="en-US" w:eastAsia="zh-CN"/>
        </w:rPr>
        <w:t>1958</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20</w:t>
      </w:r>
      <w:r>
        <w:rPr>
          <w:rFonts w:hint="eastAsia" w:ascii="仿宋_GB2312"/>
          <w:szCs w:val="32"/>
        </w:rPr>
        <w:t>日出生，汉族，</w:t>
      </w:r>
      <w:r>
        <w:rPr>
          <w:rFonts w:hint="eastAsia" w:ascii="仿宋_GB2312"/>
          <w:szCs w:val="32"/>
          <w:lang w:val="en-US" w:eastAsia="zh-CN"/>
        </w:rPr>
        <w:t>小学</w:t>
      </w:r>
      <w:r>
        <w:rPr>
          <w:rFonts w:hint="eastAsia" w:ascii="仿宋_GB2312"/>
          <w:szCs w:val="32"/>
        </w:rPr>
        <w:t>文化，户籍所在地福建省</w:t>
      </w:r>
      <w:r>
        <w:rPr>
          <w:rFonts w:hint="eastAsia" w:ascii="仿宋_GB2312"/>
          <w:szCs w:val="32"/>
          <w:lang w:val="en-US" w:eastAsia="zh-CN"/>
        </w:rPr>
        <w:t>连江县</w:t>
      </w:r>
      <w:bookmarkStart w:id="0" w:name="_GoBack"/>
      <w:bookmarkEnd w:id="0"/>
      <w:r>
        <w:rPr>
          <w:rFonts w:hint="eastAsia" w:ascii="仿宋_GB2312"/>
          <w:szCs w:val="32"/>
        </w:rPr>
        <w:t>，捕前系</w:t>
      </w:r>
      <w:r>
        <w:rPr>
          <w:rFonts w:hint="eastAsia" w:ascii="仿宋_GB2312"/>
          <w:szCs w:val="32"/>
          <w:lang w:val="en-US" w:eastAsia="zh-CN"/>
        </w:rPr>
        <w:t>无固定职业</w:t>
      </w:r>
      <w:r>
        <w:rPr>
          <w:rFonts w:hint="eastAsia" w:ascii="仿宋_GB231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s="仿宋_GB2312"/>
          <w:szCs w:val="32"/>
        </w:rPr>
      </w:pPr>
      <w:r>
        <w:rPr>
          <w:rFonts w:hint="eastAsia" w:ascii="仿宋_GB2312"/>
          <w:szCs w:val="32"/>
          <w:lang w:val="en-US" w:eastAsia="zh-CN"/>
        </w:rPr>
        <w:t>福建</w:t>
      </w:r>
      <w:r>
        <w:rPr>
          <w:rFonts w:hint="eastAsia" w:ascii="仿宋_GB2312"/>
          <w:szCs w:val="32"/>
        </w:rPr>
        <w:t>省</w:t>
      </w:r>
      <w:r>
        <w:rPr>
          <w:rFonts w:hint="eastAsia" w:ascii="仿宋_GB2312"/>
          <w:szCs w:val="32"/>
          <w:lang w:val="en-US" w:eastAsia="zh-CN"/>
        </w:rPr>
        <w:t>福州市长乐区</w:t>
      </w:r>
      <w:r>
        <w:rPr>
          <w:rFonts w:hint="eastAsia" w:ascii="仿宋_GB2312"/>
          <w:szCs w:val="32"/>
        </w:rPr>
        <w:t>人民法院于</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5</w:t>
      </w:r>
      <w:r>
        <w:rPr>
          <w:rFonts w:hint="eastAsia" w:ascii="仿宋_GB2312"/>
          <w:szCs w:val="32"/>
        </w:rPr>
        <w:t>月</w:t>
      </w:r>
      <w:r>
        <w:rPr>
          <w:rFonts w:hint="eastAsia" w:ascii="仿宋_GB2312"/>
          <w:szCs w:val="32"/>
          <w:lang w:val="en-US" w:eastAsia="zh-CN"/>
        </w:rPr>
        <w:t>23</w:t>
      </w:r>
      <w:r>
        <w:rPr>
          <w:rFonts w:hint="eastAsia" w:ascii="仿宋_GB2312"/>
          <w:szCs w:val="32"/>
        </w:rPr>
        <w:t>日作出（</w:t>
      </w:r>
      <w:r>
        <w:rPr>
          <w:rFonts w:hint="eastAsia" w:ascii="仿宋_GB2312"/>
          <w:szCs w:val="32"/>
          <w:lang w:val="en-US" w:eastAsia="zh-CN"/>
        </w:rPr>
        <w:t>2022</w:t>
      </w:r>
      <w:r>
        <w:rPr>
          <w:rFonts w:hint="eastAsia" w:ascii="仿宋_GB2312"/>
          <w:szCs w:val="32"/>
        </w:rPr>
        <w:t>）</w:t>
      </w:r>
      <w:r>
        <w:rPr>
          <w:rFonts w:hint="eastAsia" w:ascii="仿宋_GB2312"/>
          <w:szCs w:val="32"/>
          <w:lang w:val="en-US" w:eastAsia="zh-CN"/>
        </w:rPr>
        <w:t>闽0112刑初104</w:t>
      </w:r>
      <w:r>
        <w:rPr>
          <w:rFonts w:hint="eastAsia" w:ascii="仿宋_GB2312"/>
          <w:szCs w:val="32"/>
        </w:rPr>
        <w:t>号刑事判决，以被告人</w:t>
      </w:r>
      <w:r>
        <w:rPr>
          <w:rFonts w:hint="eastAsia" w:ascii="仿宋_GB2312"/>
          <w:szCs w:val="32"/>
          <w:lang w:val="en-US" w:eastAsia="zh-CN"/>
        </w:rPr>
        <w:t>郑德伙</w:t>
      </w:r>
      <w:r>
        <w:rPr>
          <w:rFonts w:hint="eastAsia" w:ascii="仿宋_GB2312"/>
          <w:szCs w:val="32"/>
        </w:rPr>
        <w:t>犯</w:t>
      </w:r>
      <w:r>
        <w:rPr>
          <w:rFonts w:hint="eastAsia" w:ascii="仿宋_GB2312"/>
          <w:szCs w:val="32"/>
          <w:lang w:val="en-US" w:eastAsia="zh-CN"/>
        </w:rPr>
        <w:t>对有影响力的人行贿</w:t>
      </w:r>
      <w:r>
        <w:rPr>
          <w:rFonts w:hint="eastAsia" w:ascii="仿宋_GB2312"/>
          <w:szCs w:val="32"/>
        </w:rPr>
        <w:t>罪，判处有期徒刑</w:t>
      </w:r>
      <w:r>
        <w:rPr>
          <w:rFonts w:hint="eastAsia" w:ascii="仿宋_GB2312"/>
          <w:szCs w:val="32"/>
          <w:lang w:val="en-US" w:eastAsia="zh-CN"/>
        </w:rPr>
        <w:t>六</w:t>
      </w:r>
      <w:r>
        <w:rPr>
          <w:rFonts w:hint="eastAsia" w:ascii="仿宋_GB2312"/>
          <w:szCs w:val="32"/>
        </w:rPr>
        <w:t>年，</w:t>
      </w:r>
      <w:r>
        <w:rPr>
          <w:rFonts w:hint="eastAsia" w:ascii="仿宋_GB2312"/>
          <w:szCs w:val="32"/>
          <w:lang w:val="en-US" w:eastAsia="zh-CN"/>
        </w:rPr>
        <w:t>并处</w:t>
      </w:r>
      <w:r>
        <w:rPr>
          <w:rFonts w:hint="eastAsia" w:ascii="仿宋_GB2312"/>
          <w:szCs w:val="32"/>
        </w:rPr>
        <w:t>罚金人民币</w:t>
      </w:r>
      <w:r>
        <w:rPr>
          <w:rFonts w:hint="eastAsia" w:ascii="仿宋_GB2312"/>
          <w:szCs w:val="32"/>
          <w:lang w:val="en-US" w:eastAsia="zh-CN"/>
        </w:rPr>
        <w:t>二百万元。继续追缴被告人郑德伙的违法所得人民币110万元，予以没收，上缴国库</w:t>
      </w:r>
      <w:r>
        <w:rPr>
          <w:rFonts w:hint="eastAsia" w:ascii="仿宋_GB2312"/>
          <w:szCs w:val="32"/>
        </w:rPr>
        <w:t>。刑期自</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13</w:t>
      </w:r>
      <w:r>
        <w:rPr>
          <w:rFonts w:hint="eastAsia" w:ascii="仿宋_GB2312"/>
          <w:szCs w:val="32"/>
        </w:rPr>
        <w:t>日起至</w:t>
      </w:r>
      <w:r>
        <w:rPr>
          <w:rFonts w:hint="eastAsia" w:ascii="仿宋_GB2312"/>
          <w:szCs w:val="32"/>
          <w:lang w:val="en-US" w:eastAsia="zh-CN"/>
        </w:rPr>
        <w:t>2027</w:t>
      </w:r>
      <w:r>
        <w:rPr>
          <w:rFonts w:hint="eastAsia" w:ascii="仿宋_GB2312"/>
          <w:szCs w:val="32"/>
        </w:rPr>
        <w:t>年</w:t>
      </w:r>
      <w:r>
        <w:rPr>
          <w:rFonts w:hint="eastAsia" w:ascii="仿宋_GB2312"/>
          <w:szCs w:val="32"/>
          <w:lang w:val="en-US" w:eastAsia="zh-CN"/>
        </w:rPr>
        <w:t>11</w:t>
      </w:r>
      <w:r>
        <w:rPr>
          <w:rFonts w:hint="eastAsia" w:ascii="仿宋_GB2312"/>
          <w:szCs w:val="32"/>
        </w:rPr>
        <w:t>月</w:t>
      </w:r>
      <w:r>
        <w:rPr>
          <w:rFonts w:hint="eastAsia" w:ascii="仿宋_GB2312"/>
          <w:szCs w:val="32"/>
          <w:lang w:val="en-US" w:eastAsia="zh-CN"/>
        </w:rPr>
        <w:t>26</w:t>
      </w:r>
      <w:r>
        <w:rPr>
          <w:rFonts w:hint="eastAsia" w:ascii="仿宋_GB2312"/>
          <w:szCs w:val="32"/>
        </w:rPr>
        <w:t>日止。</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17</w:t>
      </w:r>
      <w:r>
        <w:rPr>
          <w:rFonts w:hint="eastAsia" w:ascii="仿宋_GB2312"/>
          <w:szCs w:val="32"/>
        </w:rPr>
        <w:t>日交付福建省未成年犯管教所执行刑罚。属</w:t>
      </w:r>
      <w:r>
        <w:rPr>
          <w:rFonts w:hint="eastAsia" w:ascii="仿宋_GB2312"/>
          <w:szCs w:val="32"/>
          <w:lang w:val="en-US" w:eastAsia="zh-CN"/>
        </w:rPr>
        <w:t>普管</w:t>
      </w:r>
      <w:r>
        <w:rPr>
          <w:rFonts w:hint="eastAsia" w:ascii="仿宋_GB2312"/>
          <w:szCs w:val="32"/>
        </w:rPr>
        <w:t>级罪犯。</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szCs w:val="32"/>
        </w:rPr>
        <w:t>罪犯存在违规行为，但经民警教育引导后能遵守法律法规及监规纪律、接</w:t>
      </w:r>
      <w:r>
        <w:rPr>
          <w:rFonts w:hint="eastAsia" w:ascii="仿宋_GB2312" w:hAnsi="仿宋_GB2312" w:cs="仿宋_GB2312"/>
          <w:szCs w:val="32"/>
          <w:lang w:val="zh-CN"/>
        </w:rPr>
        <w:t>受教育改造</w:t>
      </w:r>
      <w:r>
        <w:rPr>
          <w:rFonts w:hint="eastAsia" w:ascii="仿宋_GB2312" w:hAnsi="仿宋" w:cs="宋体"/>
          <w:szCs w:val="32"/>
          <w:lang w:val="zh-CN"/>
        </w:rPr>
        <w:t>。</w:t>
      </w:r>
    </w:p>
    <w:p>
      <w:pPr>
        <w:pStyle w:val="6"/>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textAlignment w:val="auto"/>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6"/>
        <w:keepNext w:val="0"/>
        <w:keepLines w:val="0"/>
        <w:pageBreakBefore w:val="0"/>
        <w:widowControl w:val="0"/>
        <w:kinsoku/>
        <w:wordWrap/>
        <w:overflowPunct/>
        <w:topLinePunct w:val="0"/>
        <w:autoSpaceDE w:val="0"/>
        <w:autoSpaceDN w:val="0"/>
        <w:bidi w:val="0"/>
        <w:adjustRightInd w:val="0"/>
        <w:snapToGrid/>
        <w:spacing w:line="500" w:lineRule="exact"/>
        <w:ind w:firstLine="640"/>
        <w:textAlignment w:val="auto"/>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6"/>
        <w:keepNext w:val="0"/>
        <w:keepLines w:val="0"/>
        <w:pageBreakBefore w:val="0"/>
        <w:widowControl w:val="0"/>
        <w:kinsoku/>
        <w:wordWrap/>
        <w:overflowPunct/>
        <w:topLinePunct w:val="0"/>
        <w:bidi w:val="0"/>
        <w:snapToGrid/>
        <w:spacing w:line="500" w:lineRule="exact"/>
        <w:ind w:firstLine="640"/>
        <w:textAlignment w:val="auto"/>
        <w:rPr>
          <w:rFonts w:hint="eastAsia" w:ascii="仿宋_GB2312" w:hAnsi="仿宋" w:cs="宋体"/>
          <w:szCs w:val="32"/>
          <w:lang w:val="zh-CN"/>
        </w:rPr>
      </w:pPr>
      <w:r>
        <w:rPr>
          <w:rFonts w:hint="eastAsia" w:cs="宋体"/>
          <w:szCs w:val="32"/>
          <w:lang w:val="zh-CN"/>
        </w:rPr>
        <w:t>5</w:t>
      </w:r>
      <w:r>
        <w:rPr>
          <w:rFonts w:hint="eastAsia" w:ascii="仿宋_GB2312" w:hAnsi="仿宋" w:cs="宋体"/>
          <w:szCs w:val="32"/>
          <w:lang w:val="zh-CN"/>
        </w:rPr>
        <w:t>.奖惩情况：该犯考核期2022年6月17日至2024年11月30日累计获2869分，表扬2次，</w:t>
      </w:r>
      <w:r>
        <w:rPr>
          <w:rFonts w:hint="eastAsia" w:ascii="仿宋_GB2312" w:hAnsi="仿宋" w:cs="宋体"/>
          <w:szCs w:val="32"/>
          <w:lang w:val="en-US" w:eastAsia="zh-CN"/>
        </w:rPr>
        <w:t>物质奖励2次</w:t>
      </w:r>
      <w:r>
        <w:rPr>
          <w:rFonts w:hint="eastAsia" w:ascii="仿宋_GB2312" w:hAnsi="仿宋" w:cs="宋体"/>
          <w:szCs w:val="32"/>
          <w:lang w:val="zh-CN"/>
        </w:rPr>
        <w:t>。考核期内违规2次，累计扣5分，其中2023年12月31日因路遇民警时不按规范要求报告、避让，情节轻微扣2分；2024年3月15日因违反岗位职责，作为安全员罪犯，午间巡逻履职不到位，情节轻微扣3分。</w:t>
      </w:r>
    </w:p>
    <w:p>
      <w:pPr>
        <w:pStyle w:val="6"/>
        <w:keepNext w:val="0"/>
        <w:keepLines w:val="0"/>
        <w:pageBreakBefore w:val="0"/>
        <w:widowControl w:val="0"/>
        <w:kinsoku/>
        <w:wordWrap/>
        <w:overflowPunct/>
        <w:topLinePunct w:val="0"/>
        <w:bidi w:val="0"/>
        <w:snapToGrid/>
        <w:spacing w:line="500" w:lineRule="exact"/>
        <w:ind w:firstLine="640"/>
        <w:textAlignment w:val="auto"/>
        <w:rPr>
          <w:rFonts w:hint="eastAsia" w:ascii="仿宋_GB2312"/>
          <w:szCs w:val="32"/>
        </w:rPr>
      </w:pPr>
      <w:r>
        <w:rPr>
          <w:rFonts w:hint="eastAsia" w:cs="宋体"/>
          <w:szCs w:val="32"/>
          <w:lang w:val="zh-CN"/>
        </w:rPr>
        <w:t>6.</w:t>
      </w:r>
      <w:r>
        <w:rPr>
          <w:rFonts w:hint="eastAsia" w:ascii="仿宋_GB2312"/>
          <w:szCs w:val="32"/>
        </w:rPr>
        <w:t>原判财产性判项：罚金人民币200万元，继续追缴违法所得人民币110万元。该犯已全部履行完毕,福建省福州市长乐区人民法院出具缴款凭证及履行债务证明书予以证实。</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2</w:t>
      </w:r>
      <w:r>
        <w:rPr>
          <w:rFonts w:hint="eastAsia" w:ascii="仿宋_GB2312"/>
          <w:szCs w:val="32"/>
        </w:rPr>
        <w:t>月</w:t>
      </w:r>
      <w:r>
        <w:rPr>
          <w:rFonts w:hint="eastAsia" w:ascii="仿宋_GB2312"/>
          <w:szCs w:val="32"/>
          <w:lang w:val="en-US" w:eastAsia="zh-CN"/>
        </w:rPr>
        <w:t>26</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3</w:t>
      </w:r>
      <w:r>
        <w:rPr>
          <w:rFonts w:hint="eastAsia" w:ascii="仿宋_GB2312"/>
          <w:szCs w:val="32"/>
        </w:rPr>
        <w:t>月</w:t>
      </w:r>
      <w:r>
        <w:rPr>
          <w:rFonts w:hint="eastAsia" w:ascii="仿宋_GB2312"/>
          <w:szCs w:val="32"/>
          <w:lang w:val="en-US" w:eastAsia="zh-CN"/>
        </w:rPr>
        <w:t>4</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500" w:lineRule="exact"/>
        <w:ind w:firstLine="640" w:firstLineChars="200"/>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郑德伙</w:t>
      </w:r>
      <w:r>
        <w:rPr>
          <w:rFonts w:hint="eastAsia" w:ascii="仿宋_GB2312" w:hAnsi="仿宋_GB2312" w:cs="仿宋_GB2312"/>
          <w:szCs w:val="32"/>
        </w:rPr>
        <w:t>予以减刑</w:t>
      </w:r>
      <w:r>
        <w:rPr>
          <w:rFonts w:hint="eastAsia" w:ascii="仿宋_GB2312" w:hAnsi="仿宋_GB2312" w:cs="仿宋_GB2312"/>
          <w:szCs w:val="32"/>
          <w:lang w:eastAsia="zh-CN"/>
        </w:rPr>
        <w:t>五</w:t>
      </w:r>
      <w:r>
        <w:rPr>
          <w:rFonts w:hint="eastAsia" w:ascii="仿宋_GB2312" w:hAnsi="仿宋_GB2312" w:cs="仿宋_GB2312"/>
          <w:szCs w:val="32"/>
        </w:rPr>
        <w:t>个月。特提请你院审理裁定。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textAlignment w:val="auto"/>
        <w:rPr>
          <w:szCs w:val="32"/>
        </w:rPr>
      </w:pPr>
      <w:r>
        <w:rPr>
          <w:rFonts w:hint="eastAsia"/>
          <w:szCs w:val="32"/>
        </w:rPr>
        <w:t>此致</w:t>
      </w:r>
    </w:p>
    <w:p>
      <w:pPr>
        <w:pStyle w:val="6"/>
        <w:keepNext w:val="0"/>
        <w:keepLines w:val="0"/>
        <w:pageBreakBefore w:val="0"/>
        <w:widowControl w:val="0"/>
        <w:kinsoku/>
        <w:wordWrap/>
        <w:overflowPunct/>
        <w:topLinePunct w:val="0"/>
        <w:bidi w:val="0"/>
        <w:snapToGrid/>
        <w:spacing w:line="500" w:lineRule="exact"/>
        <w:ind w:right="-48" w:rightChars="-15" w:firstLine="0" w:firstLineChars="0"/>
        <w:textAlignment w:val="auto"/>
        <w:rPr>
          <w:szCs w:val="32"/>
        </w:rPr>
      </w:pPr>
      <w:r>
        <w:rPr>
          <w:rFonts w:hint="eastAsia"/>
          <w:szCs w:val="32"/>
        </w:rPr>
        <w:t>福建省</w:t>
      </w:r>
      <w:r>
        <w:rPr>
          <w:rFonts w:hint="eastAsia"/>
          <w:szCs w:val="32"/>
          <w:lang w:val="en-US" w:eastAsia="zh-CN"/>
        </w:rPr>
        <w:t>福州</w:t>
      </w:r>
      <w:r>
        <w:rPr>
          <w:rFonts w:hint="eastAsia"/>
          <w:szCs w:val="32"/>
        </w:rPr>
        <w:t>市中级人民法院</w:t>
      </w:r>
    </w:p>
    <w:p>
      <w:pPr>
        <w:pStyle w:val="6"/>
        <w:keepNext w:val="0"/>
        <w:keepLines w:val="0"/>
        <w:pageBreakBefore w:val="0"/>
        <w:widowControl w:val="0"/>
        <w:kinsoku/>
        <w:wordWrap/>
        <w:overflowPunct/>
        <w:topLinePunct w:val="0"/>
        <w:bidi w:val="0"/>
        <w:snapToGrid/>
        <w:spacing w:line="500" w:lineRule="exact"/>
        <w:ind w:left="640" w:firstLine="0" w:firstLineChars="0"/>
        <w:textAlignment w:val="auto"/>
        <w:rPr>
          <w:rFonts w:cs="仿宋_GB2312"/>
          <w:szCs w:val="32"/>
        </w:rPr>
      </w:pPr>
    </w:p>
    <w:p>
      <w:pPr>
        <w:pStyle w:val="6"/>
        <w:keepNext w:val="0"/>
        <w:keepLines w:val="0"/>
        <w:pageBreakBefore w:val="0"/>
        <w:widowControl w:val="0"/>
        <w:kinsoku/>
        <w:wordWrap/>
        <w:overflowPunct/>
        <w:topLinePunct w:val="0"/>
        <w:bidi w:val="0"/>
        <w:snapToGrid/>
        <w:spacing w:line="500" w:lineRule="exact"/>
        <w:ind w:left="640" w:firstLine="0" w:firstLineChars="0"/>
        <w:textAlignment w:val="auto"/>
        <w:rPr>
          <w:rFonts w:cs="仿宋_GB2312"/>
          <w:szCs w:val="32"/>
        </w:rPr>
      </w:pPr>
      <w:r>
        <w:rPr>
          <w:rFonts w:hint="eastAsia" w:cs="仿宋_GB2312"/>
          <w:szCs w:val="32"/>
        </w:rPr>
        <w:t>附件：⒈罪犯</w:t>
      </w:r>
      <w:r>
        <w:rPr>
          <w:rFonts w:hint="eastAsia" w:cs="仿宋_GB2312"/>
          <w:szCs w:val="32"/>
          <w:lang w:val="en-US" w:eastAsia="zh-CN"/>
        </w:rPr>
        <w:t>郑德伙</w:t>
      </w:r>
      <w:r>
        <w:rPr>
          <w:rFonts w:hint="eastAsia" w:cs="仿宋_GB2312"/>
          <w:szCs w:val="32"/>
        </w:rPr>
        <w:t>卷宗贰册</w:t>
      </w:r>
    </w:p>
    <w:p>
      <w:pPr>
        <w:pStyle w:val="6"/>
        <w:keepNext w:val="0"/>
        <w:keepLines w:val="0"/>
        <w:pageBreakBefore w:val="0"/>
        <w:widowControl w:val="0"/>
        <w:kinsoku/>
        <w:wordWrap/>
        <w:overflowPunct/>
        <w:topLinePunct w:val="0"/>
        <w:bidi w:val="0"/>
        <w:snapToGrid/>
        <w:spacing w:line="500" w:lineRule="exact"/>
        <w:ind w:left="640" w:right="-48" w:rightChars="-15" w:firstLine="960" w:firstLineChars="300"/>
        <w:textAlignment w:val="auto"/>
        <w:rPr>
          <w:rFonts w:cs="仿宋_GB2312"/>
          <w:szCs w:val="32"/>
        </w:rPr>
      </w:pPr>
      <w:r>
        <w:rPr>
          <w:rFonts w:hint="eastAsia" w:cs="仿宋_GB2312"/>
          <w:szCs w:val="32"/>
        </w:rPr>
        <w:t>⒉减刑建议书肆份</w:t>
      </w:r>
    </w:p>
    <w:p>
      <w:pPr>
        <w:pStyle w:val="2"/>
        <w:spacing w:line="430" w:lineRule="exact"/>
        <w:ind w:left="640" w:right="-48" w:rightChars="-15"/>
        <w:rPr>
          <w:szCs w:val="32"/>
        </w:rPr>
      </w:pPr>
    </w:p>
    <w:p>
      <w:pPr>
        <w:pStyle w:val="2"/>
        <w:keepNext w:val="0"/>
        <w:keepLines w:val="0"/>
        <w:pageBreakBefore w:val="0"/>
        <w:widowControl w:val="0"/>
        <w:kinsoku/>
        <w:wordWrap/>
        <w:overflowPunct/>
        <w:topLinePunct w:val="0"/>
        <w:bidi w:val="0"/>
        <w:snapToGrid/>
        <w:spacing w:line="500" w:lineRule="exact"/>
        <w:ind w:right="1280" w:rightChars="400" w:firstLine="4480" w:firstLineChars="1400"/>
        <w:jc w:val="left"/>
        <w:textAlignment w:val="auto"/>
        <w:rPr>
          <w:szCs w:val="32"/>
        </w:rPr>
      </w:pPr>
      <w:r>
        <w:rPr>
          <w:rFonts w:hint="eastAsia"/>
          <w:szCs w:val="32"/>
        </w:rPr>
        <w:t>福建省未成年犯管教所</w:t>
      </w:r>
    </w:p>
    <w:p>
      <w:pPr>
        <w:pStyle w:val="2"/>
        <w:keepNext w:val="0"/>
        <w:keepLines w:val="0"/>
        <w:pageBreakBefore w:val="0"/>
        <w:widowControl w:val="0"/>
        <w:kinsoku/>
        <w:wordWrap/>
        <w:overflowPunct/>
        <w:topLinePunct w:val="0"/>
        <w:bidi w:val="0"/>
        <w:snapToGrid/>
        <w:spacing w:line="500" w:lineRule="exact"/>
        <w:ind w:right="1280" w:rightChars="400"/>
        <w:jc w:val="left"/>
        <w:textAlignment w:val="auto"/>
        <w:rPr>
          <w:szCs w:val="32"/>
        </w:rPr>
      </w:pPr>
      <w:r>
        <w:rPr>
          <w:rFonts w:hint="eastAsia"/>
          <w:szCs w:val="32"/>
        </w:rPr>
        <w:t xml:space="preserve">                  </w:t>
      </w:r>
      <w:r>
        <w:rPr>
          <w:rFonts w:hint="eastAsia"/>
          <w:szCs w:val="32"/>
          <w:lang w:val="en-US" w:eastAsia="zh-CN"/>
        </w:rPr>
        <w:t xml:space="preserve">              2025</w:t>
      </w:r>
      <w:r>
        <w:rPr>
          <w:rFonts w:hint="eastAsia"/>
          <w:szCs w:val="32"/>
        </w:rPr>
        <w:t>年</w:t>
      </w:r>
      <w:r>
        <w:rPr>
          <w:rFonts w:hint="eastAsia"/>
          <w:szCs w:val="32"/>
          <w:lang w:val="en-US" w:eastAsia="zh-CN"/>
        </w:rPr>
        <w:t>3</w:t>
      </w:r>
      <w:r>
        <w:rPr>
          <w:rFonts w:hint="eastAsia"/>
          <w:szCs w:val="32"/>
        </w:rPr>
        <w:t>月</w:t>
      </w:r>
      <w:r>
        <w:rPr>
          <w:rFonts w:hint="eastAsia"/>
          <w:szCs w:val="32"/>
          <w:lang w:val="en-US" w:eastAsia="zh-CN"/>
        </w:rPr>
        <w:t>5</w:t>
      </w:r>
      <w:r>
        <w:rPr>
          <w:rFonts w:hint="eastAsia"/>
          <w:szCs w:val="32"/>
        </w:rPr>
        <w:t>日</w:t>
      </w:r>
    </w:p>
    <w:p>
      <w:pPr>
        <w:pStyle w:val="2"/>
        <w:spacing w:line="430" w:lineRule="exact"/>
        <w:ind w:right="1280" w:rightChars="400"/>
        <w:jc w:val="center"/>
      </w:pPr>
    </w:p>
    <w:sectPr>
      <w:pgSz w:w="11906" w:h="16838"/>
      <w:pgMar w:top="1871" w:right="1304" w:bottom="1871" w:left="1587" w:header="851" w:footer="992" w:gutter="0"/>
      <w:cols w:space="0" w:num="1"/>
      <w:rtlGutter w:val="0"/>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7F"/>
    <w:rsid w:val="00297A05"/>
    <w:rsid w:val="004A3A94"/>
    <w:rsid w:val="005E768D"/>
    <w:rsid w:val="00804641"/>
    <w:rsid w:val="00A6077B"/>
    <w:rsid w:val="00C3536F"/>
    <w:rsid w:val="00DC397F"/>
    <w:rsid w:val="00E261E3"/>
    <w:rsid w:val="064321EB"/>
    <w:rsid w:val="0FD71511"/>
    <w:rsid w:val="106D0DE6"/>
    <w:rsid w:val="11B77FB3"/>
    <w:rsid w:val="1B7A5CA4"/>
    <w:rsid w:val="1DEE0287"/>
    <w:rsid w:val="270C03E2"/>
    <w:rsid w:val="365735AC"/>
    <w:rsid w:val="3B2B23D6"/>
    <w:rsid w:val="4ED40525"/>
    <w:rsid w:val="539465BB"/>
    <w:rsid w:val="5A275D3F"/>
    <w:rsid w:val="5C033BFB"/>
    <w:rsid w:val="63057341"/>
    <w:rsid w:val="67695568"/>
    <w:rsid w:val="6E295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5"/>
    <w:qFormat/>
    <w:uiPriority w:val="99"/>
  </w:style>
  <w:style w:type="character" w:customStyle="1" w:styleId="5">
    <w:name w:val="称呼 Char"/>
    <w:basedOn w:val="4"/>
    <w:link w:val="2"/>
    <w:qFormat/>
    <w:uiPriority w:val="99"/>
    <w:rPr>
      <w:rFonts w:ascii="Times New Roman" w:hAnsi="Times New Roman" w:eastAsia="仿宋_GB2312" w:cs="Times New Roman"/>
      <w:kern w:val="32"/>
      <w:sz w:val="32"/>
      <w:szCs w:val="20"/>
    </w:rPr>
  </w:style>
  <w:style w:type="paragraph" w:customStyle="1" w:styleId="6">
    <w:name w:val="列表段落1"/>
    <w:basedOn w:val="1"/>
    <w:qFormat/>
    <w:uiPriority w:val="99"/>
    <w:pPr>
      <w:ind w:firstLine="420" w:firstLineChars="200"/>
    </w:p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871</Words>
  <Characters>1032</Characters>
  <Lines>17</Lines>
  <Paragraphs>4</Paragraphs>
  <TotalTime>0</TotalTime>
  <ScaleCrop>false</ScaleCrop>
  <LinksUpToDate>false</LinksUpToDate>
  <CharactersWithSpaces>1062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2025-03-09T02:13:51Z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80E9020F47144A868E3ED09AB41A4DBF</vt:lpwstr>
  </property>
</Properties>
</file>