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430" w:lineRule="exact"/>
        <w:ind w:firstLine="418" w:firstLineChars="95"/>
        <w:jc w:val="center"/>
        <w:rPr>
          <w:rFonts w:ascii="方正小标宋简体" w:hAnsi="方正小标宋简体" w:eastAsia="方正小标宋简体" w:cs="方正小标宋简体"/>
          <w:sz w:val="44"/>
          <w:szCs w:val="44"/>
        </w:rPr>
      </w:pPr>
    </w:p>
    <w:p>
      <w:pPr>
        <w:pStyle w:val="8"/>
        <w:ind w:firstLine="418" w:firstLineChars="95"/>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  提请减刑建议书</w:t>
      </w:r>
    </w:p>
    <w:p>
      <w:pPr>
        <w:pStyle w:val="8"/>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szCs w:val="32"/>
        </w:rPr>
        <w:t>2</w:t>
      </w:r>
      <w:r>
        <w:rPr>
          <w:rFonts w:hint="eastAsia"/>
          <w:szCs w:val="32"/>
        </w:rPr>
        <w:t>5</w:t>
      </w:r>
      <w:r>
        <w:rPr>
          <w:rFonts w:hint="eastAsia" w:eastAsia="楷体_GB2312" w:cs="楷体_GB2312"/>
          <w:szCs w:val="32"/>
        </w:rPr>
        <w:t>〕闽狱未减字第</w:t>
      </w:r>
      <w:r>
        <w:rPr>
          <w:rFonts w:hint="eastAsia" w:eastAsia="楷体_GB2312"/>
          <w:szCs w:val="32"/>
          <w:lang w:val="en-US" w:eastAsia="zh-CN"/>
        </w:rPr>
        <w:t>86</w:t>
      </w:r>
      <w:r>
        <w:rPr>
          <w:rFonts w:hint="eastAsia" w:eastAsia="楷体_GB2312" w:cs="楷体_GB2312"/>
          <w:szCs w:val="32"/>
        </w:rPr>
        <w:t>号</w:t>
      </w:r>
    </w:p>
    <w:p>
      <w:pPr>
        <w:pStyle w:val="8"/>
        <w:spacing w:line="430" w:lineRule="exact"/>
        <w:ind w:left="640" w:right="-48" w:rightChars="-15" w:firstLine="0" w:firstLineChars="0"/>
        <w:rPr>
          <w:rFonts w:ascii="仿宋_GB2312"/>
          <w:b/>
          <w:bCs/>
          <w:sz w:val="28"/>
        </w:rPr>
      </w:pPr>
    </w:p>
    <w:p>
      <w:pPr>
        <w:spacing w:line="430" w:lineRule="exact"/>
        <w:ind w:firstLine="640" w:firstLineChars="200"/>
        <w:rPr>
          <w:rFonts w:ascii="仿宋_GB2312"/>
          <w:szCs w:val="32"/>
        </w:rPr>
      </w:pPr>
      <w:r>
        <w:rPr>
          <w:rFonts w:hint="eastAsia" w:ascii="仿宋_GB2312"/>
          <w:szCs w:val="32"/>
        </w:rPr>
        <w:t>罪犯龚利源</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，男，2001年8月24日出生，汉族，高中文化，住福建省宁德市蕉城区</w:t>
      </w:r>
      <w:bookmarkStart w:id="0" w:name="_GoBack"/>
      <w:bookmarkEnd w:id="0"/>
      <w:r>
        <w:rPr>
          <w:rFonts w:hint="eastAsia" w:ascii="仿宋_GB2312"/>
          <w:szCs w:val="32"/>
        </w:rPr>
        <w:t>，捕前系务工人员。</w:t>
      </w:r>
    </w:p>
    <w:p>
      <w:pPr>
        <w:spacing w:line="430" w:lineRule="exact"/>
        <w:ind w:firstLine="640" w:firstLineChars="200"/>
        <w:rPr>
          <w:rFonts w:ascii="仿宋_GB2312"/>
          <w:szCs w:val="32"/>
        </w:rPr>
      </w:pPr>
      <w:r>
        <w:rPr>
          <w:rFonts w:hint="eastAsia" w:ascii="仿宋_GB2312"/>
          <w:szCs w:val="32"/>
        </w:rPr>
        <w:t>福建省宁德市蕉城区人民法院于2023年10月26日作出(2023)闽0902刑初461号刑事判决，以被告人龚利源犯帮助信息网络犯罪活动罪，判处有期徒刑二年，并处罚金人民币10000元，刑期自自2023年9月25日至2025年9月16日止。2023年11月24日交付福建省未成年犯管教所执行刑罚。属普管级罪犯。</w:t>
      </w:r>
    </w:p>
    <w:p>
      <w:pPr>
        <w:spacing w:line="43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8"/>
        <w:autoSpaceDE w:val="0"/>
        <w:autoSpaceDN w:val="0"/>
        <w:adjustRightInd w:val="0"/>
        <w:spacing w:line="430" w:lineRule="exact"/>
        <w:ind w:firstLine="640"/>
        <w:rPr>
          <w:rFonts w:ascii="仿宋_GB2312" w:hAnsi="仿宋"/>
          <w:iCs/>
          <w:kern w:val="2"/>
          <w:szCs w:val="32"/>
        </w:rPr>
      </w:pPr>
      <w:r>
        <w:rPr>
          <w:rFonts w:hint="eastAsia"/>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8"/>
        <w:autoSpaceDE w:val="0"/>
        <w:autoSpaceDN w:val="0"/>
        <w:adjustRightInd w:val="0"/>
        <w:spacing w:line="430" w:lineRule="exact"/>
        <w:ind w:firstLine="640"/>
        <w:rPr>
          <w:rFonts w:ascii="仿宋_GB2312" w:hAnsi="仿宋" w:cs="宋体"/>
          <w:szCs w:val="32"/>
          <w:lang w:val="zh-CN"/>
        </w:rPr>
      </w:pPr>
      <w:r>
        <w:rPr>
          <w:rFonts w:hint="eastAsia"/>
          <w:szCs w:val="32"/>
        </w:rPr>
        <w:t>2</w:t>
      </w:r>
      <w:r>
        <w:rPr>
          <w:rFonts w:hint="eastAsia" w:ascii="仿宋_GB2312" w:hAnsi="仿宋"/>
          <w:szCs w:val="32"/>
        </w:rPr>
        <w:t>.遵守监规</w:t>
      </w:r>
      <w:r>
        <w:rPr>
          <w:rFonts w:hint="eastAsia" w:ascii="仿宋_GB2312" w:hAnsi="仿宋" w:cs="宋体"/>
          <w:szCs w:val="32"/>
          <w:lang w:val="zh-CN"/>
        </w:rPr>
        <w:t>：</w:t>
      </w:r>
      <w:r>
        <w:rPr>
          <w:rFonts w:hint="eastAsia" w:ascii="仿宋_GB2312" w:hAnsi="仿宋_GB2312" w:cs="仿宋_GB2312"/>
          <w:szCs w:val="32"/>
        </w:rPr>
        <w:t>罪犯存在违规行为，但经民警教育引导后能遵守法律法规及监规纪律、接</w:t>
      </w:r>
      <w:r>
        <w:rPr>
          <w:rFonts w:hint="eastAsia" w:ascii="仿宋_GB2312" w:hAnsi="仿宋_GB2312" w:cs="仿宋_GB2312"/>
          <w:szCs w:val="32"/>
          <w:lang w:val="zh-CN"/>
        </w:rPr>
        <w:t>受教育改造</w:t>
      </w:r>
      <w:r>
        <w:rPr>
          <w:rFonts w:hint="eastAsia" w:ascii="仿宋_GB2312" w:hAnsi="仿宋" w:cs="宋体"/>
          <w:szCs w:val="32"/>
          <w:lang w:val="zh-CN"/>
        </w:rPr>
        <w:t>。</w:t>
      </w:r>
    </w:p>
    <w:p>
      <w:pPr>
        <w:pStyle w:val="8"/>
        <w:autoSpaceDE w:val="0"/>
        <w:autoSpaceDN w:val="0"/>
        <w:adjustRightInd w:val="0"/>
        <w:spacing w:line="430" w:lineRule="exact"/>
        <w:ind w:left="640" w:firstLine="0" w:firstLineChars="0"/>
        <w:rPr>
          <w:rFonts w:ascii="仿宋_GB2312" w:hAnsi="仿宋" w:cs="宋体"/>
          <w:szCs w:val="32"/>
          <w:lang w:val="zh-CN"/>
        </w:rPr>
      </w:pPr>
      <w:r>
        <w:rPr>
          <w:rFonts w:hint="eastAsia"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8"/>
        <w:autoSpaceDE w:val="0"/>
        <w:autoSpaceDN w:val="0"/>
        <w:adjustRightInd w:val="0"/>
        <w:spacing w:line="430" w:lineRule="exact"/>
        <w:ind w:firstLine="640"/>
        <w:rPr>
          <w:rFonts w:ascii="仿宋_GB2312" w:hAnsi="仿宋" w:cs="宋体"/>
          <w:szCs w:val="32"/>
          <w:lang w:val="zh-CN"/>
        </w:rPr>
      </w:pPr>
      <w:r>
        <w:rPr>
          <w:rFonts w:hint="eastAsia" w:cs="宋体"/>
          <w:szCs w:val="32"/>
          <w:lang w:val="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8"/>
        <w:spacing w:line="430" w:lineRule="exact"/>
        <w:ind w:firstLine="640"/>
        <w:rPr>
          <w:rFonts w:ascii="仿宋_GB2312"/>
          <w:szCs w:val="32"/>
        </w:rPr>
      </w:pPr>
      <w:r>
        <w:rPr>
          <w:rFonts w:hint="eastAsia" w:cs="宋体"/>
          <w:szCs w:val="32"/>
          <w:lang w:val="zh-CN"/>
        </w:rPr>
        <w:t>5</w:t>
      </w:r>
      <w:r>
        <w:rPr>
          <w:rFonts w:hint="eastAsia" w:ascii="仿宋_GB2312" w:hAnsi="仿宋" w:cs="宋体"/>
          <w:szCs w:val="32"/>
          <w:lang w:val="zh-CN"/>
        </w:rPr>
        <w:t>.奖惩情况：</w:t>
      </w:r>
      <w:r>
        <w:rPr>
          <w:rFonts w:hint="eastAsia" w:ascii="仿宋_GB2312" w:hAnsi="仿宋_GB2312" w:cs="仿宋_GB2312"/>
          <w:bCs/>
          <w:szCs w:val="32"/>
        </w:rPr>
        <w:t>该犯考核期自2023年11月24日起至2025年1月31日累计获1225.7分，物质奖励1次；违规3次，累计扣7分，其中2024年4月26日因违反互监组管理规定的，发现互监组丁泉鑫违规行为未制止扣1分；2024年5月28日因违反工艺规范管理，非机械故障等原因产品不合格（上内领未对中）扣3分；2024年8月21日因违反着装规范，转借标识物（私自将应急组马甲借于他人）扣3分。</w:t>
      </w:r>
    </w:p>
    <w:p>
      <w:pPr>
        <w:spacing w:line="430" w:lineRule="exact"/>
        <w:ind w:firstLine="640" w:firstLineChars="200"/>
        <w:rPr>
          <w:rFonts w:ascii="仿宋_GB2312" w:cs="仿宋_GB2312"/>
          <w:szCs w:val="32"/>
        </w:rPr>
      </w:pPr>
      <w:r>
        <w:rPr>
          <w:rFonts w:hint="eastAsia"/>
          <w:szCs w:val="32"/>
        </w:rPr>
        <w:t>6</w:t>
      </w:r>
      <w:r>
        <w:rPr>
          <w:rFonts w:hint="eastAsia" w:ascii="仿宋_GB2312" w:hAnsi="仿宋" w:cs="宋体"/>
          <w:szCs w:val="32"/>
          <w:lang w:val="zh-CN"/>
        </w:rPr>
        <w:t>.</w:t>
      </w:r>
      <w:r>
        <w:rPr>
          <w:rFonts w:hint="eastAsia"/>
          <w:szCs w:val="32"/>
        </w:rPr>
        <w:t>原判财产性判项：罚金人民币10000元，其他财产性判项人民币10000元。该犯在判决前退出违法所得人民币10000元，本考核期向福建省宁德市蕉城区人民法院缴纳罚金人民币10000元，其财产性判项已全部履行完毕。福建省宁德市蕉城区人民法院所出具的电子票据以及法院关于财产性判项执行情况复函予以证实。</w:t>
      </w:r>
    </w:p>
    <w:p>
      <w:pPr>
        <w:spacing w:line="430" w:lineRule="exact"/>
        <w:ind w:firstLine="640" w:firstLineChars="200"/>
        <w:rPr>
          <w:szCs w:val="32"/>
        </w:rPr>
      </w:pPr>
      <w:r>
        <w:rPr>
          <w:rFonts w:hint="eastAsia" w:ascii="仿宋_GB2312"/>
          <w:szCs w:val="32"/>
        </w:rPr>
        <w:t>本案于</w:t>
      </w:r>
      <w:r>
        <w:rPr>
          <w:rFonts w:hint="eastAsia"/>
          <w:szCs w:val="32"/>
          <w:lang w:val="en-US" w:eastAsia="zh-CN"/>
        </w:rPr>
        <w:t>2025</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24</w:t>
      </w:r>
      <w:r>
        <w:rPr>
          <w:rFonts w:hint="eastAsia" w:ascii="仿宋_GB2312"/>
          <w:szCs w:val="32"/>
        </w:rPr>
        <w:t>日至</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29</w:t>
      </w:r>
      <w:r>
        <w:rPr>
          <w:rFonts w:hint="eastAsia" w:ascii="仿宋_GB2312"/>
          <w:szCs w:val="32"/>
        </w:rPr>
        <w:t>日在狱内公示未收到不同意见。</w:t>
      </w:r>
    </w:p>
    <w:p>
      <w:pPr>
        <w:spacing w:line="430" w:lineRule="exact"/>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《中华人民共和国刑法》第七十八条、第七十九条《中华人民共和国刑事诉讼法》第二百七十三条第二款、《中华人民共和国监狱法》第二十九条的规定，建议对罪犯龚利源予以减刑</w:t>
      </w:r>
      <w:r>
        <w:rPr>
          <w:rFonts w:hint="eastAsia" w:ascii="仿宋_GB2312" w:hAnsi="仿宋_GB2312" w:cs="仿宋_GB2312"/>
          <w:szCs w:val="32"/>
          <w:lang w:val="en-US" w:eastAsia="zh-CN"/>
        </w:rPr>
        <w:t>二</w:t>
      </w:r>
      <w:r>
        <w:rPr>
          <w:rFonts w:hint="eastAsia" w:ascii="仿宋_GB2312" w:hAnsi="仿宋_GB2312" w:cs="仿宋_GB2312"/>
          <w:szCs w:val="32"/>
        </w:rPr>
        <w:t>个月。特提请你院审理裁定。</w:t>
      </w:r>
    </w:p>
    <w:p>
      <w:pPr>
        <w:pStyle w:val="2"/>
        <w:spacing w:line="430" w:lineRule="exact"/>
        <w:ind w:right="-48" w:rightChars="-15" w:firstLine="640" w:firstLineChars="200"/>
        <w:rPr>
          <w:szCs w:val="32"/>
        </w:rPr>
      </w:pPr>
      <w:r>
        <w:rPr>
          <w:rFonts w:hint="eastAsia"/>
          <w:szCs w:val="32"/>
        </w:rPr>
        <w:t>此致</w:t>
      </w:r>
    </w:p>
    <w:p>
      <w:pPr>
        <w:pStyle w:val="8"/>
        <w:spacing w:line="430" w:lineRule="exact"/>
        <w:ind w:left="640" w:firstLine="0" w:firstLineChars="0"/>
        <w:rPr>
          <w:szCs w:val="32"/>
        </w:rPr>
      </w:pPr>
      <w:r>
        <w:rPr>
          <w:rFonts w:hint="eastAsia"/>
          <w:szCs w:val="32"/>
        </w:rPr>
        <w:t>福建省福州市中级人民法院</w:t>
      </w:r>
    </w:p>
    <w:p>
      <w:pPr>
        <w:pStyle w:val="8"/>
        <w:spacing w:line="430" w:lineRule="exact"/>
        <w:ind w:left="640" w:firstLine="0" w:firstLineChars="0"/>
        <w:rPr>
          <w:rFonts w:cs="仿宋_GB2312"/>
          <w:szCs w:val="32"/>
        </w:rPr>
      </w:pPr>
      <w:r>
        <w:rPr>
          <w:rFonts w:hint="eastAsia" w:cs="仿宋_GB2312"/>
          <w:szCs w:val="32"/>
        </w:rPr>
        <w:t>附件：⒈罪犯</w:t>
      </w:r>
      <w:r>
        <w:rPr>
          <w:rFonts w:hint="eastAsia" w:ascii="仿宋_GB2312" w:hAnsi="仿宋_GB2312" w:cs="仿宋_GB2312"/>
          <w:szCs w:val="32"/>
        </w:rPr>
        <w:t>龚利源</w:t>
      </w:r>
      <w:r>
        <w:rPr>
          <w:rFonts w:hint="eastAsia" w:cs="仿宋_GB2312"/>
          <w:szCs w:val="32"/>
        </w:rPr>
        <w:t>卷宗贰册</w:t>
      </w:r>
    </w:p>
    <w:p>
      <w:pPr>
        <w:pStyle w:val="8"/>
        <w:spacing w:line="430" w:lineRule="exact"/>
        <w:ind w:left="640" w:right="-48" w:rightChars="-15" w:firstLine="960" w:firstLineChars="300"/>
        <w:rPr>
          <w:rFonts w:cs="仿宋_GB2312"/>
          <w:szCs w:val="32"/>
        </w:rPr>
      </w:pPr>
      <w:r>
        <w:rPr>
          <w:rFonts w:hint="eastAsia" w:cs="仿宋_GB2312"/>
          <w:szCs w:val="32"/>
        </w:rPr>
        <w:t>⒉减刑建议书肆份</w:t>
      </w:r>
    </w:p>
    <w:p>
      <w:pPr>
        <w:pStyle w:val="2"/>
        <w:spacing w:line="430" w:lineRule="exact"/>
        <w:ind w:left="640" w:right="-48" w:rightChars="-15"/>
        <w:rPr>
          <w:szCs w:val="32"/>
        </w:rPr>
      </w:pPr>
    </w:p>
    <w:p/>
    <w:p>
      <w:pPr>
        <w:pStyle w:val="2"/>
        <w:spacing w:line="430" w:lineRule="exact"/>
        <w:ind w:right="1280" w:rightChars="400"/>
        <w:jc w:val="right"/>
        <w:rPr>
          <w:szCs w:val="32"/>
        </w:rPr>
      </w:pPr>
      <w:r>
        <w:rPr>
          <w:rFonts w:hint="eastAsia"/>
          <w:szCs w:val="32"/>
        </w:rPr>
        <w:t>福建省未成年犯管教所</w:t>
      </w:r>
    </w:p>
    <w:p>
      <w:pPr>
        <w:pStyle w:val="2"/>
        <w:spacing w:line="430" w:lineRule="exact"/>
        <w:ind w:right="1280" w:rightChars="400"/>
        <w:jc w:val="center"/>
        <w:rPr>
          <w:szCs w:val="32"/>
        </w:rPr>
      </w:pPr>
      <w:r>
        <w:rPr>
          <w:rFonts w:hint="eastAsia"/>
          <w:szCs w:val="32"/>
          <w:lang w:val="en-US" w:eastAsia="zh-CN"/>
        </w:rPr>
        <w:t xml:space="preserve">                        2025</w:t>
      </w:r>
      <w:r>
        <w:rPr>
          <w:rFonts w:hint="eastAsia"/>
          <w:szCs w:val="32"/>
        </w:rPr>
        <w:t>年</w:t>
      </w:r>
      <w:r>
        <w:rPr>
          <w:rFonts w:hint="eastAsia"/>
          <w:szCs w:val="32"/>
          <w:lang w:val="en-US" w:eastAsia="zh-CN"/>
        </w:rPr>
        <w:t>4</w:t>
      </w:r>
      <w:r>
        <w:rPr>
          <w:rFonts w:hint="eastAsia"/>
          <w:szCs w:val="32"/>
        </w:rPr>
        <w:t>月</w:t>
      </w:r>
      <w:r>
        <w:rPr>
          <w:rFonts w:hint="eastAsia"/>
          <w:szCs w:val="32"/>
          <w:lang w:val="en-US" w:eastAsia="zh-CN"/>
        </w:rPr>
        <w:t>30</w:t>
      </w:r>
      <w:r>
        <w:rPr>
          <w:rFonts w:hint="eastAsia"/>
          <w:szCs w:val="32"/>
        </w:rPr>
        <w:t>日</w:t>
      </w:r>
    </w:p>
    <w:p>
      <w:pPr>
        <w:ind w:firstLine="643" w:firstLineChars="200"/>
        <w:jc w:val="left"/>
        <w:rPr>
          <w:rFonts w:ascii="仿宋_GB2312" w:hAnsi="仿宋_GB2312" w:cs="仿宋_GB2312"/>
          <w:b/>
          <w:bCs/>
          <w:szCs w:val="32"/>
        </w:rPr>
      </w:pPr>
    </w:p>
    <w:p>
      <w:pPr>
        <w:ind w:firstLine="643" w:firstLineChars="200"/>
        <w:jc w:val="left"/>
        <w:rPr>
          <w:rFonts w:ascii="仿宋_GB2312" w:hAnsi="仿宋_GB2312" w:cs="仿宋_GB2312"/>
          <w:b/>
          <w:bCs/>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VhYzA4ZGU2MmQzNDNhYWEyOTBhYTA3MjRlYTMyYzIifQ=="/>
  </w:docVars>
  <w:rsids>
    <w:rsidRoot w:val="00DC397F"/>
    <w:rsid w:val="00000E65"/>
    <w:rsid w:val="001740F1"/>
    <w:rsid w:val="00297A05"/>
    <w:rsid w:val="003D7D10"/>
    <w:rsid w:val="004A3A94"/>
    <w:rsid w:val="005E768D"/>
    <w:rsid w:val="007D65FF"/>
    <w:rsid w:val="00804641"/>
    <w:rsid w:val="00903D4D"/>
    <w:rsid w:val="00A248A4"/>
    <w:rsid w:val="00A6077B"/>
    <w:rsid w:val="00AB0F34"/>
    <w:rsid w:val="00B24C7C"/>
    <w:rsid w:val="00C3536F"/>
    <w:rsid w:val="00DC397F"/>
    <w:rsid w:val="00E261E3"/>
    <w:rsid w:val="0C0832FF"/>
    <w:rsid w:val="0C61751D"/>
    <w:rsid w:val="125C3EC1"/>
    <w:rsid w:val="18F32582"/>
    <w:rsid w:val="1BDA6FC8"/>
    <w:rsid w:val="1E812245"/>
    <w:rsid w:val="3A323076"/>
    <w:rsid w:val="3FDF4D76"/>
    <w:rsid w:val="406542A3"/>
    <w:rsid w:val="479B7645"/>
    <w:rsid w:val="4DA715B0"/>
    <w:rsid w:val="52605F8C"/>
    <w:rsid w:val="52FE6761"/>
    <w:rsid w:val="646A2947"/>
    <w:rsid w:val="6DD1539E"/>
    <w:rsid w:val="7B6534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7"/>
    <w:qFormat/>
    <w:uiPriority w:val="99"/>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称呼 Char"/>
    <w:basedOn w:val="6"/>
    <w:link w:val="2"/>
    <w:qFormat/>
    <w:uiPriority w:val="99"/>
    <w:rPr>
      <w:rFonts w:ascii="Times New Roman" w:hAnsi="Times New Roman" w:eastAsia="仿宋_GB2312" w:cs="Times New Roman"/>
      <w:kern w:val="32"/>
      <w:sz w:val="32"/>
      <w:szCs w:val="20"/>
    </w:rPr>
  </w:style>
  <w:style w:type="paragraph" w:customStyle="1" w:styleId="8">
    <w:name w:val="列表段落1"/>
    <w:basedOn w:val="1"/>
    <w:qFormat/>
    <w:uiPriority w:val="99"/>
    <w:pPr>
      <w:ind w:firstLine="420" w:firstLineChars="200"/>
    </w:pPr>
  </w:style>
  <w:style w:type="paragraph" w:styleId="9">
    <w:name w:val="List Paragraph"/>
    <w:basedOn w:val="1"/>
    <w:qFormat/>
    <w:uiPriority w:val="34"/>
    <w:pPr>
      <w:ind w:firstLine="420" w:firstLineChars="200"/>
    </w:pPr>
  </w:style>
  <w:style w:type="character" w:customStyle="1" w:styleId="10">
    <w:name w:val="页眉 Char"/>
    <w:basedOn w:val="6"/>
    <w:link w:val="4"/>
    <w:semiHidden/>
    <w:qFormat/>
    <w:uiPriority w:val="99"/>
    <w:rPr>
      <w:rFonts w:ascii="Times New Roman" w:hAnsi="Times New Roman" w:eastAsia="仿宋_GB2312" w:cs="Times New Roman"/>
      <w:kern w:val="32"/>
      <w:sz w:val="18"/>
      <w:szCs w:val="18"/>
    </w:rPr>
  </w:style>
  <w:style w:type="character" w:customStyle="1" w:styleId="11">
    <w:name w:val="页脚 Char"/>
    <w:basedOn w:val="6"/>
    <w:link w:val="3"/>
    <w:semiHidden/>
    <w:qFormat/>
    <w:uiPriority w:val="99"/>
    <w:rPr>
      <w:rFonts w:ascii="Times New Roman" w:hAnsi="Times New Roman" w:eastAsia="仿宋_GB2312" w:cs="Times New Roman"/>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160</Words>
  <Characters>912</Characters>
  <Lines>7</Lines>
  <Paragraphs>2</Paragraphs>
  <TotalTime>0</TotalTime>
  <ScaleCrop>false</ScaleCrop>
  <LinksUpToDate>false</LinksUpToDate>
  <CharactersWithSpaces>1070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2023-12-20T01:44:00Z</dcterms:created>
  <dc:creator>杨敏</dc:creator>
  <cp:lastModifiedBy>叶贤蔚</cp:lastModifiedBy>
  <cp:lastPrinted>2025-03-02T01:06:00Z</cp:lastPrinted>
  <dcterms:modified xsi:type="dcterms:W3CDTF">2025-05-05T12:25:40Z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259C38AA1422435991316E435654DA8C_12</vt:lpwstr>
  </property>
</Properties>
</file>