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7"/>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90</w:t>
      </w:r>
      <w:r>
        <w:rPr>
          <w:rFonts w:hint="eastAsia" w:eastAsia="楷体_GB2312" w:cs="楷体_GB2312"/>
          <w:szCs w:val="32"/>
        </w:rPr>
        <w:t>号</w:t>
      </w:r>
    </w:p>
    <w:p>
      <w:pPr>
        <w:pStyle w:val="7"/>
        <w:keepNext w:val="0"/>
        <w:keepLines w:val="0"/>
        <w:pageBreakBefore w:val="0"/>
        <w:widowControl w:val="0"/>
        <w:kinsoku/>
        <w:wordWrap/>
        <w:overflowPunct/>
        <w:topLinePunct w:val="0"/>
        <w:autoSpaceDE/>
        <w:autoSpaceDN/>
        <w:bidi w:val="0"/>
        <w:adjustRightInd/>
        <w:snapToGrid/>
        <w:spacing w:line="430" w:lineRule="exact"/>
        <w:ind w:left="641" w:right="-48" w:rightChars="-15" w:firstLine="0" w:firstLineChars="0"/>
        <w:textAlignment w:val="auto"/>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罪犯庄志奇，男，1977年2月9日出生，汉族，小学文化，</w:t>
      </w:r>
      <w:r>
        <w:rPr>
          <w:rFonts w:hint="eastAsia" w:ascii="仿宋_GB2312" w:hAnsi="仿宋_GB2312" w:cs="仿宋_GB2312"/>
          <w:szCs w:val="32"/>
          <w:lang w:val="en-US" w:eastAsia="zh-CN"/>
        </w:rPr>
        <w:t>户籍</w:t>
      </w:r>
      <w:r>
        <w:rPr>
          <w:rFonts w:hint="eastAsia" w:ascii="仿宋_GB2312" w:hAnsi="仿宋_GB2312" w:eastAsia="仿宋_GB2312" w:cs="仿宋_GB2312"/>
          <w:szCs w:val="32"/>
          <w:lang w:val="en-US" w:eastAsia="zh-CN"/>
        </w:rPr>
        <w:t>地福建省平潭县</w:t>
      </w:r>
      <w:bookmarkStart w:id="0" w:name="_GoBack"/>
      <w:bookmarkEnd w:id="0"/>
      <w:r>
        <w:rPr>
          <w:rFonts w:hint="eastAsia" w:ascii="仿宋_GB2312" w:hAnsi="仿宋_GB2312" w:eastAsia="仿宋_GB2312" w:cs="仿宋_GB2312"/>
          <w:szCs w:val="32"/>
          <w:lang w:val="en-US" w:eastAsia="zh-CN"/>
        </w:rPr>
        <w:t>，捕前系无业。</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福建省平潭县人民法院于2019年9月10日作出（2019)闽0128刑初7号刑事判决，以被告人庄志奇犯贩卖毒品罪，判处有期</w:t>
      </w:r>
      <w:r>
        <w:rPr>
          <w:rFonts w:hint="eastAsia" w:ascii="仿宋_GB2312" w:hAnsi="仿宋_GB2312" w:cs="仿宋_GB2312"/>
          <w:szCs w:val="32"/>
          <w:lang w:val="en-US" w:eastAsia="zh-CN"/>
        </w:rPr>
        <w:t>徒刑</w:t>
      </w:r>
      <w:r>
        <w:rPr>
          <w:rFonts w:hint="eastAsia" w:ascii="仿宋_GB2312" w:hAnsi="仿宋_GB2312" w:eastAsia="仿宋_GB2312" w:cs="仿宋_GB2312"/>
          <w:szCs w:val="32"/>
          <w:lang w:val="en-US" w:eastAsia="zh-CN"/>
        </w:rPr>
        <w:t>十五年，并处没收个人财产人民币三万元。宣判后，被告人不服，提出上诉。福建省福州市中级人民法院于2019年12月27日作出（2019)闽01刑终1407号刑事判决：撤销被告人庄志奇犯贩卖毒品罪，判处有期</w:t>
      </w:r>
      <w:r>
        <w:rPr>
          <w:rFonts w:hint="eastAsia" w:ascii="仿宋_GB2312" w:hAnsi="仿宋_GB2312" w:cs="仿宋_GB2312"/>
          <w:szCs w:val="32"/>
          <w:lang w:val="en-US" w:eastAsia="zh-CN"/>
        </w:rPr>
        <w:t>徒刑</w:t>
      </w:r>
      <w:r>
        <w:rPr>
          <w:rFonts w:hint="eastAsia" w:ascii="仿宋_GB2312" w:hAnsi="仿宋_GB2312" w:eastAsia="仿宋_GB2312" w:cs="仿宋_GB2312"/>
          <w:szCs w:val="32"/>
          <w:lang w:val="en-US" w:eastAsia="zh-CN"/>
        </w:rPr>
        <w:t>十五年，并处没收个人财产人民币三万元的判决</w:t>
      </w:r>
      <w:r>
        <w:rPr>
          <w:rFonts w:hint="eastAsia" w:ascii="仿宋_GB2312" w:hAnsi="仿宋_GB2312" w:cs="仿宋_GB2312"/>
          <w:szCs w:val="32"/>
          <w:lang w:val="en-US" w:eastAsia="zh-CN"/>
        </w:rPr>
        <w:t>；以</w:t>
      </w:r>
      <w:r>
        <w:rPr>
          <w:rFonts w:hint="eastAsia" w:ascii="仿宋_GB2312" w:hAnsi="仿宋_GB2312" w:eastAsia="仿宋_GB2312" w:cs="仿宋_GB2312"/>
          <w:szCs w:val="32"/>
          <w:lang w:val="en-US" w:eastAsia="zh-CN"/>
        </w:rPr>
        <w:t>上诉人庄志奇犯贩卖毒品罪，判处有期</w:t>
      </w:r>
      <w:r>
        <w:rPr>
          <w:rFonts w:hint="eastAsia" w:ascii="仿宋_GB2312" w:hAnsi="仿宋_GB2312" w:cs="仿宋_GB2312"/>
          <w:szCs w:val="32"/>
          <w:lang w:val="en-US" w:eastAsia="zh-CN"/>
        </w:rPr>
        <w:t>徒刑</w:t>
      </w:r>
      <w:r>
        <w:rPr>
          <w:rFonts w:hint="eastAsia" w:ascii="仿宋_GB2312" w:hAnsi="仿宋_GB2312" w:eastAsia="仿宋_GB2312" w:cs="仿宋_GB2312"/>
          <w:szCs w:val="32"/>
          <w:lang w:val="en-US" w:eastAsia="zh-CN"/>
        </w:rPr>
        <w:t>十一年，并处罚金人民币二万元。刑期自2018年5月2日起至2029年5月1日止</w:t>
      </w:r>
      <w:r>
        <w:rPr>
          <w:rFonts w:hint="eastAsia" w:ascii="仿宋_GB2312" w:hAnsi="仿宋_GB2312" w:cs="仿宋_GB2312"/>
          <w:szCs w:val="32"/>
          <w:lang w:val="en-US" w:eastAsia="zh-CN"/>
        </w:rPr>
        <w:t>。</w:t>
      </w:r>
      <w:r>
        <w:rPr>
          <w:rFonts w:hint="eastAsia" w:ascii="仿宋_GB2312" w:hAnsi="仿宋_GB2312" w:eastAsia="仿宋_GB2312" w:cs="仿宋_GB2312"/>
          <w:szCs w:val="32"/>
          <w:lang w:val="en-US" w:eastAsia="zh-CN"/>
        </w:rPr>
        <w:t>2020年1月10日交付福建省未成年犯管教所执行刑罚。</w:t>
      </w:r>
      <w:r>
        <w:rPr>
          <w:rFonts w:hint="eastAsia" w:ascii="仿宋_GB2312" w:hAnsi="仿宋_GB2312" w:cs="仿宋_GB2312"/>
          <w:szCs w:val="32"/>
          <w:lang w:val="en-US" w:eastAsia="zh-CN"/>
        </w:rPr>
        <w:t>2022年9月28日，福建省福州市中级人民法院作出</w:t>
      </w:r>
      <w:r>
        <w:rPr>
          <w:rFonts w:hint="eastAsia" w:ascii="仿宋_GB2312" w:hAnsi="仿宋_GB2312" w:eastAsia="仿宋_GB2312" w:cs="仿宋_GB2312"/>
          <w:szCs w:val="32"/>
          <w:lang w:val="en-US" w:eastAsia="zh-CN"/>
        </w:rPr>
        <w:t>（2022）闽01刑更</w:t>
      </w:r>
      <w:r>
        <w:rPr>
          <w:rFonts w:hint="eastAsia" w:ascii="仿宋_GB2312" w:hAnsi="仿宋_GB2312" w:cs="仿宋_GB2312"/>
          <w:szCs w:val="32"/>
          <w:lang w:val="en-US" w:eastAsia="zh-CN"/>
        </w:rPr>
        <w:t>3128</w:t>
      </w:r>
      <w:r>
        <w:rPr>
          <w:rFonts w:hint="eastAsia" w:ascii="仿宋_GB2312" w:hAnsi="仿宋_GB2312" w:eastAsia="仿宋_GB2312" w:cs="仿宋_GB2312"/>
          <w:szCs w:val="32"/>
          <w:lang w:val="en-US" w:eastAsia="zh-CN"/>
        </w:rPr>
        <w:t>号刑事裁定，对其减刑</w:t>
      </w:r>
      <w:r>
        <w:rPr>
          <w:rFonts w:hint="eastAsia" w:ascii="仿宋_GB2312" w:hAnsi="仿宋_GB2312" w:cs="仿宋_GB2312"/>
          <w:szCs w:val="32"/>
          <w:lang w:val="en-US" w:eastAsia="zh-CN"/>
        </w:rPr>
        <w:t>七</w:t>
      </w:r>
      <w:r>
        <w:rPr>
          <w:rFonts w:hint="eastAsia" w:ascii="仿宋_GB2312" w:hAnsi="仿宋_GB2312" w:eastAsia="仿宋_GB2312" w:cs="仿宋_GB2312"/>
          <w:szCs w:val="32"/>
          <w:lang w:val="en-US" w:eastAsia="zh-CN"/>
        </w:rPr>
        <w:t>个月，2022年10月4日送达。现刑期至2028年10月</w:t>
      </w:r>
      <w:r>
        <w:rPr>
          <w:rFonts w:hint="eastAsia" w:ascii="仿宋_GB2312" w:hAnsi="仿宋_GB2312" w:cs="仿宋_GB2312"/>
          <w:szCs w:val="32"/>
          <w:lang w:val="en-US" w:eastAsia="zh-CN"/>
        </w:rPr>
        <w:t>1</w:t>
      </w:r>
      <w:r>
        <w:rPr>
          <w:rFonts w:hint="eastAsia" w:ascii="仿宋_GB2312" w:hAnsi="仿宋_GB2312" w:eastAsia="仿宋_GB2312" w:cs="仿宋_GB2312"/>
          <w:szCs w:val="32"/>
          <w:lang w:val="en-US" w:eastAsia="zh-CN"/>
        </w:rPr>
        <w:t>日。属普管级罪犯。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w:t>
      </w:r>
      <w:r>
        <w:rPr>
          <w:rFonts w:hint="eastAsia" w:ascii="仿宋_GB2312" w:hAnsi="仿宋_GB2312" w:eastAsia="仿宋_GB2312" w:cs="仿宋_GB2312"/>
          <w:iCs/>
          <w:kern w:val="0"/>
          <w:szCs w:val="32"/>
          <w:lang w:val="zh-CN"/>
        </w:rPr>
        <w:t>自</w:t>
      </w:r>
      <w:r>
        <w:rPr>
          <w:rFonts w:hint="eastAsia" w:ascii="仿宋_GB2312" w:hAnsi="仿宋_GB2312" w:cs="仿宋_GB2312"/>
          <w:iCs/>
          <w:kern w:val="0"/>
          <w:szCs w:val="32"/>
          <w:lang w:val="en-US" w:eastAsia="zh-CN"/>
        </w:rPr>
        <w:t>上次减刑</w:t>
      </w:r>
      <w:r>
        <w:rPr>
          <w:rFonts w:hint="eastAsia" w:ascii="仿宋_GB2312" w:hAnsi="仿宋_GB2312" w:eastAsia="仿宋_GB2312" w:cs="仿宋_GB2312"/>
          <w:iCs/>
          <w:kern w:val="0"/>
          <w:szCs w:val="32"/>
          <w:lang w:val="zh-CN"/>
        </w:rPr>
        <w:t>以来</w:t>
      </w:r>
      <w:r>
        <w:rPr>
          <w:rFonts w:hint="eastAsia" w:ascii="仿宋_GB2312" w:hAnsi="仿宋_GB2312" w:eastAsia="仿宋_GB2312" w:cs="仿宋_GB2312"/>
          <w:szCs w:val="32"/>
        </w:rPr>
        <w:t>确有悔改表现，具体事实如下：</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lang w:val="zh-CN"/>
        </w:rPr>
        <w:t>1.</w:t>
      </w:r>
      <w:r>
        <w:rPr>
          <w:rFonts w:hint="eastAsia" w:ascii="仿宋_GB2312" w:hAnsi="仿宋_GB2312" w:eastAsia="仿宋_GB2312" w:cs="仿宋_GB2312"/>
          <w:iCs/>
          <w:kern w:val="2"/>
          <w:szCs w:val="32"/>
        </w:rPr>
        <w:t>认罪悔罪：能服从法院判决，自书认罪悔罪书。</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2.遵守监规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罪犯存在违规行为，但经民警教育引导后能</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left="0" w:leftChars="0" w:firstLine="0" w:firstLineChars="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遵守法律法规及监规纪律、接</w:t>
      </w:r>
      <w:r>
        <w:rPr>
          <w:rFonts w:hint="eastAsia" w:ascii="仿宋_GB2312" w:hAnsi="仿宋_GB2312" w:eastAsia="仿宋_GB2312" w:cs="仿宋_GB2312"/>
          <w:szCs w:val="32"/>
          <w:lang w:val="zh-CN"/>
        </w:rPr>
        <w:t>受教育改造。</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3.学习情况：能参加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4.劳动改造：能参加劳动，努力完成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szCs w:val="32"/>
          <w:lang w:val="zh-CN"/>
        </w:rPr>
        <w:t>5.奖惩情况：</w:t>
      </w:r>
      <w:r>
        <w:rPr>
          <w:rFonts w:hint="eastAsia" w:ascii="仿宋_GB2312" w:hAnsi="仿宋_GB2312" w:eastAsia="仿宋_GB2312" w:cs="仿宋_GB2312"/>
          <w:color w:val="auto"/>
          <w:szCs w:val="32"/>
          <w:lang w:val="en-US" w:eastAsia="zh-CN"/>
        </w:rPr>
        <w:t>该犯上次评定表扬剩余285分，本轮考核期2022年6月1日至2025年1月31日累计获3397分，合计获得3682分，表扬4次</w:t>
      </w:r>
      <w:r>
        <w:rPr>
          <w:rFonts w:hint="eastAsia" w:ascii="仿宋_GB2312" w:hAnsi="仿宋_GB2312" w:cs="仿宋_GB2312"/>
          <w:color w:val="auto"/>
          <w:szCs w:val="32"/>
          <w:lang w:val="en-US" w:eastAsia="zh-CN"/>
        </w:rPr>
        <w:t>，物质奖励1次</w:t>
      </w:r>
      <w:r>
        <w:rPr>
          <w:rFonts w:hint="eastAsia" w:ascii="仿宋_GB2312" w:hAnsi="仿宋_GB2312" w:eastAsia="仿宋_GB2312" w:cs="仿宋_GB2312"/>
          <w:color w:val="auto"/>
          <w:szCs w:val="32"/>
          <w:lang w:val="en-US" w:eastAsia="zh-CN"/>
        </w:rPr>
        <w:t>；间隔期2022年10月4日至2025年1月31日，获2865分。考核期内违规1次，扣3分，其中2023年3月31日因未巡检到位造成批量产品质量问题扣3分。</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cs="仿宋_GB2312"/>
          <w:color w:val="auto"/>
          <w:szCs w:val="32"/>
          <w:lang w:val="en-US" w:eastAsia="zh-CN"/>
        </w:rPr>
        <w:t>6.</w:t>
      </w:r>
      <w:r>
        <w:rPr>
          <w:rFonts w:hint="eastAsia" w:ascii="仿宋_GB2312" w:hAnsi="仿宋_GB2312" w:eastAsia="仿宋_GB2312" w:cs="仿宋_GB2312"/>
          <w:szCs w:val="32"/>
          <w:lang w:val="en-US" w:eastAsia="zh-CN"/>
        </w:rPr>
        <w:t>原判财产性判项：罚金人民币20000元。该犯已履行人民币20000元，其中上次提请减刑考核期内已向福建省平潭县人民法院缴纳罚金人民币20000元。福建省平潭县人民法院出具缴款凭证予以证实。</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仿宋_GB2312"/>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29</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庄志奇</w:t>
      </w:r>
      <w:r>
        <w:rPr>
          <w:rFonts w:hint="eastAsia" w:ascii="仿宋_GB2312" w:hAnsi="仿宋_GB2312" w:eastAsia="仿宋_GB2312" w:cs="仿宋_GB2312"/>
          <w:szCs w:val="32"/>
        </w:rPr>
        <w:t>予以减刑</w:t>
      </w:r>
      <w:r>
        <w:rPr>
          <w:rFonts w:hint="eastAsia" w:ascii="仿宋_GB2312" w:hAnsi="仿宋_GB2312" w:cs="仿宋_GB2312"/>
          <w:szCs w:val="32"/>
          <w:lang w:eastAsia="zh-CN"/>
        </w:rPr>
        <w:t>七</w:t>
      </w:r>
      <w:r>
        <w:rPr>
          <w:rFonts w:hint="eastAsia" w:ascii="仿宋_GB2312" w:hAnsi="仿宋_GB2312" w:eastAsia="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jc w:val="left"/>
        <w:textAlignment w:val="auto"/>
        <w:rPr>
          <w:szCs w:val="32"/>
        </w:rPr>
      </w:pPr>
      <w:r>
        <w:rPr>
          <w:rFonts w:hint="eastAsia"/>
          <w:szCs w:val="32"/>
        </w:rPr>
        <w:t>此致</w:t>
      </w:r>
    </w:p>
    <w:p>
      <w:pPr>
        <w:pStyle w:val="7"/>
        <w:keepNext w:val="0"/>
        <w:keepLines w:val="0"/>
        <w:pageBreakBefore w:val="0"/>
        <w:widowControl w:val="0"/>
        <w:kinsoku/>
        <w:wordWrap/>
        <w:overflowPunct/>
        <w:topLinePunct w:val="0"/>
        <w:bidi w:val="0"/>
        <w:snapToGrid/>
        <w:spacing w:line="500" w:lineRule="exact"/>
        <w:ind w:right="-48" w:rightChars="-15" w:firstLine="0" w:firstLineChars="0"/>
        <w:jc w:val="left"/>
        <w:textAlignment w:val="auto"/>
        <w:rPr>
          <w:szCs w:val="32"/>
        </w:rPr>
      </w:pPr>
      <w:r>
        <w:rPr>
          <w:rFonts w:hint="eastAsia"/>
          <w:szCs w:val="32"/>
        </w:rPr>
        <w:t>福建省</w:t>
      </w:r>
      <w:r>
        <w:rPr>
          <w:rFonts w:hint="eastAsia"/>
          <w:szCs w:val="32"/>
          <w:lang w:eastAsia="zh-CN"/>
        </w:rPr>
        <w:t>福州</w:t>
      </w:r>
      <w:r>
        <w:rPr>
          <w:rFonts w:hint="eastAsia"/>
          <w:szCs w:val="32"/>
        </w:rPr>
        <w:t>市中级人民法院</w:t>
      </w:r>
    </w:p>
    <w:p>
      <w:pPr>
        <w:pStyle w:val="7"/>
        <w:keepNext w:val="0"/>
        <w:keepLines w:val="0"/>
        <w:pageBreakBefore w:val="0"/>
        <w:widowControl w:val="0"/>
        <w:kinsoku/>
        <w:wordWrap/>
        <w:overflowPunct/>
        <w:topLinePunct w:val="0"/>
        <w:bidi w:val="0"/>
        <w:snapToGrid/>
        <w:spacing w:line="500" w:lineRule="exact"/>
        <w:ind w:left="0" w:leftChars="0" w:firstLine="0" w:firstLineChars="0"/>
        <w:jc w:val="left"/>
        <w:textAlignment w:val="auto"/>
        <w:rPr>
          <w:rFonts w:cs="仿宋_GB2312"/>
          <w:szCs w:val="32"/>
        </w:rPr>
      </w:pPr>
    </w:p>
    <w:p>
      <w:pPr>
        <w:pStyle w:val="7"/>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cs="仿宋_GB2312"/>
          <w:szCs w:val="32"/>
        </w:rPr>
      </w:pPr>
      <w:r>
        <w:rPr>
          <w:rFonts w:hint="eastAsia" w:cs="仿宋_GB2312"/>
          <w:szCs w:val="32"/>
        </w:rPr>
        <w:t>附件：⒈罪犯</w:t>
      </w:r>
      <w:r>
        <w:rPr>
          <w:rFonts w:hint="eastAsia" w:cs="仿宋_GB2312"/>
          <w:szCs w:val="32"/>
          <w:lang w:val="en-US" w:eastAsia="zh-CN"/>
        </w:rPr>
        <w:t>庄志奇</w:t>
      </w:r>
      <w:r>
        <w:rPr>
          <w:rFonts w:hint="eastAsia" w:cs="仿宋_GB2312"/>
          <w:szCs w:val="32"/>
        </w:rPr>
        <w:t>卷宗</w:t>
      </w:r>
      <w:r>
        <w:rPr>
          <w:rFonts w:hint="eastAsia" w:cs="仿宋_GB2312"/>
          <w:szCs w:val="32"/>
          <w:lang w:eastAsia="zh-CN"/>
        </w:rPr>
        <w:t>贰</w:t>
      </w:r>
      <w:r>
        <w:rPr>
          <w:rFonts w:hint="eastAsia" w:cs="仿宋_GB2312"/>
          <w:szCs w:val="32"/>
        </w:rPr>
        <w:t>册</w:t>
      </w:r>
    </w:p>
    <w:p>
      <w:pPr>
        <w:pStyle w:val="7"/>
        <w:keepNext w:val="0"/>
        <w:keepLines w:val="0"/>
        <w:pageBreakBefore w:val="0"/>
        <w:widowControl w:val="0"/>
        <w:kinsoku/>
        <w:wordWrap/>
        <w:overflowPunct/>
        <w:topLinePunct w:val="0"/>
        <w:bidi w:val="0"/>
        <w:snapToGrid/>
        <w:spacing w:line="500" w:lineRule="exact"/>
        <w:ind w:left="640" w:right="-48" w:rightChars="-15" w:firstLine="960" w:firstLineChars="300"/>
        <w:jc w:val="left"/>
        <w:textAlignment w:val="auto"/>
        <w:rPr>
          <w:rFonts w:cs="仿宋_GB2312"/>
          <w:szCs w:val="32"/>
        </w:rPr>
      </w:pPr>
      <w:r>
        <w:rPr>
          <w:rFonts w:hint="eastAsia" w:cs="仿宋_GB2312"/>
          <w:szCs w:val="32"/>
        </w:rPr>
        <w:t>⒉减刑建议书</w:t>
      </w:r>
      <w:r>
        <w:rPr>
          <w:rFonts w:hint="eastAsia" w:cs="仿宋_GB2312"/>
          <w:szCs w:val="32"/>
          <w:lang w:eastAsia="zh-CN"/>
        </w:rPr>
        <w:t>肆</w:t>
      </w:r>
      <w:r>
        <w:rPr>
          <w:rFonts w:hint="eastAsia" w:cs="仿宋_GB2312"/>
          <w:szCs w:val="32"/>
        </w:rPr>
        <w:t>份</w:t>
      </w:r>
    </w:p>
    <w:p>
      <w:pPr>
        <w:pStyle w:val="2"/>
        <w:keepNext w:val="0"/>
        <w:keepLines w:val="0"/>
        <w:pageBreakBefore w:val="0"/>
        <w:widowControl w:val="0"/>
        <w:kinsoku/>
        <w:wordWrap/>
        <w:overflowPunct/>
        <w:topLinePunct w:val="0"/>
        <w:bidi w:val="0"/>
        <w:snapToGrid/>
        <w:spacing w:line="500" w:lineRule="exact"/>
        <w:ind w:left="640" w:right="-48" w:rightChars="-15"/>
        <w:jc w:val="left"/>
        <w:textAlignment w:val="auto"/>
        <w:rPr>
          <w:szCs w:val="32"/>
        </w:rPr>
      </w:pPr>
    </w:p>
    <w:p>
      <w:pPr>
        <w:pStyle w:val="2"/>
        <w:keepNext w:val="0"/>
        <w:keepLines w:val="0"/>
        <w:pageBreakBefore w:val="0"/>
        <w:widowControl w:val="0"/>
        <w:kinsoku/>
        <w:wordWrap/>
        <w:overflowPunct/>
        <w:topLinePunct w:val="0"/>
        <w:autoSpaceDE/>
        <w:autoSpaceDN/>
        <w:bidi w:val="0"/>
        <w:adjustRightInd/>
        <w:snapToGrid/>
        <w:spacing w:line="50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autoSpaceDE/>
        <w:autoSpaceDN/>
        <w:bidi w:val="0"/>
        <w:adjustRightInd/>
        <w:snapToGrid/>
        <w:spacing w:line="500" w:lineRule="exact"/>
        <w:ind w:right="1280" w:rightChars="400"/>
        <w:jc w:val="left"/>
        <w:textAlignment w:val="auto"/>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30</w:t>
      </w:r>
      <w:r>
        <w:rPr>
          <w:rFonts w:hint="eastAsia"/>
          <w:szCs w:val="32"/>
        </w:rPr>
        <w:t>日</w:t>
      </w:r>
    </w:p>
    <w:p>
      <w:pPr>
        <w:pStyle w:val="2"/>
        <w:keepNext w:val="0"/>
        <w:keepLines w:val="0"/>
        <w:pageBreakBefore w:val="0"/>
        <w:widowControl w:val="0"/>
        <w:kinsoku/>
        <w:wordWrap/>
        <w:overflowPunct/>
        <w:topLinePunct w:val="0"/>
        <w:bidi w:val="0"/>
        <w:snapToGrid/>
        <w:spacing w:line="500" w:lineRule="exact"/>
        <w:ind w:right="1280" w:rightChars="400"/>
        <w:jc w:val="left"/>
        <w:textAlignment w:val="auto"/>
        <w:rPr>
          <w:rFonts w:hint="eastAsia" w:ascii="仿宋_GB2312" w:hAnsi="仿宋_GB2312" w:cs="仿宋_GB2312"/>
          <w:b/>
          <w:bCs/>
          <w:szCs w:val="32"/>
        </w:rPr>
      </w:pPr>
    </w:p>
    <w:sectPr>
      <w:pgSz w:w="11906" w:h="16838"/>
      <w:pgMar w:top="1871" w:right="1304" w:bottom="1871"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397F"/>
    <w:rsid w:val="00297A05"/>
    <w:rsid w:val="004A3A94"/>
    <w:rsid w:val="005E768D"/>
    <w:rsid w:val="00804641"/>
    <w:rsid w:val="008B117C"/>
    <w:rsid w:val="00A6077B"/>
    <w:rsid w:val="00C04F41"/>
    <w:rsid w:val="00C3536F"/>
    <w:rsid w:val="00DC397F"/>
    <w:rsid w:val="00E261E3"/>
    <w:rsid w:val="011B0B5F"/>
    <w:rsid w:val="01667BEF"/>
    <w:rsid w:val="02E624D0"/>
    <w:rsid w:val="04392ECE"/>
    <w:rsid w:val="0715212E"/>
    <w:rsid w:val="07886BEA"/>
    <w:rsid w:val="07AF2BA5"/>
    <w:rsid w:val="08B1411A"/>
    <w:rsid w:val="0AED6E43"/>
    <w:rsid w:val="0B1F629B"/>
    <w:rsid w:val="0CB446AA"/>
    <w:rsid w:val="0DA568C9"/>
    <w:rsid w:val="11512B9A"/>
    <w:rsid w:val="119D2CC0"/>
    <w:rsid w:val="14242783"/>
    <w:rsid w:val="14671628"/>
    <w:rsid w:val="148474D7"/>
    <w:rsid w:val="15FC5020"/>
    <w:rsid w:val="18255CB3"/>
    <w:rsid w:val="183D4B34"/>
    <w:rsid w:val="1BE90A69"/>
    <w:rsid w:val="1C1A58AA"/>
    <w:rsid w:val="1C1B332C"/>
    <w:rsid w:val="1D311B3F"/>
    <w:rsid w:val="1E5C52FC"/>
    <w:rsid w:val="1EFE1A2E"/>
    <w:rsid w:val="229B6EB0"/>
    <w:rsid w:val="22E307CC"/>
    <w:rsid w:val="239E3E69"/>
    <w:rsid w:val="24155B23"/>
    <w:rsid w:val="25A35725"/>
    <w:rsid w:val="26587275"/>
    <w:rsid w:val="2A7E434B"/>
    <w:rsid w:val="2B0A5828"/>
    <w:rsid w:val="2BD716F9"/>
    <w:rsid w:val="2C447A9D"/>
    <w:rsid w:val="2CE26733"/>
    <w:rsid w:val="2D9F264C"/>
    <w:rsid w:val="2DA93C51"/>
    <w:rsid w:val="2DE20BEF"/>
    <w:rsid w:val="2F2D4C04"/>
    <w:rsid w:val="2FF41DA0"/>
    <w:rsid w:val="320A1F29"/>
    <w:rsid w:val="32B25BB9"/>
    <w:rsid w:val="33D545F2"/>
    <w:rsid w:val="34EE5144"/>
    <w:rsid w:val="350C7DD4"/>
    <w:rsid w:val="35305D06"/>
    <w:rsid w:val="37653E47"/>
    <w:rsid w:val="3846049B"/>
    <w:rsid w:val="38463F61"/>
    <w:rsid w:val="3B482BC5"/>
    <w:rsid w:val="3B6E3BF1"/>
    <w:rsid w:val="3C186532"/>
    <w:rsid w:val="3DE441B2"/>
    <w:rsid w:val="3DF33EA7"/>
    <w:rsid w:val="3F283EFA"/>
    <w:rsid w:val="3F944630"/>
    <w:rsid w:val="3FF47C2F"/>
    <w:rsid w:val="40455EDB"/>
    <w:rsid w:val="408B74C2"/>
    <w:rsid w:val="4126298A"/>
    <w:rsid w:val="43461B9A"/>
    <w:rsid w:val="45452CB5"/>
    <w:rsid w:val="45673866"/>
    <w:rsid w:val="45B470A1"/>
    <w:rsid w:val="45EC6BD9"/>
    <w:rsid w:val="47BC323F"/>
    <w:rsid w:val="4900337D"/>
    <w:rsid w:val="4A6D7FCE"/>
    <w:rsid w:val="4ACA0943"/>
    <w:rsid w:val="4EFB601C"/>
    <w:rsid w:val="4FCC3EF9"/>
    <w:rsid w:val="50E627CF"/>
    <w:rsid w:val="53E2523B"/>
    <w:rsid w:val="551F387C"/>
    <w:rsid w:val="56301675"/>
    <w:rsid w:val="56CE4BB4"/>
    <w:rsid w:val="574915C7"/>
    <w:rsid w:val="583062AE"/>
    <w:rsid w:val="590B2300"/>
    <w:rsid w:val="59A1088D"/>
    <w:rsid w:val="5AC359B7"/>
    <w:rsid w:val="5B9F6B31"/>
    <w:rsid w:val="5CC01232"/>
    <w:rsid w:val="5CD937EB"/>
    <w:rsid w:val="5D1E7481"/>
    <w:rsid w:val="5FAD4A84"/>
    <w:rsid w:val="6105633A"/>
    <w:rsid w:val="61891F0D"/>
    <w:rsid w:val="619C47D1"/>
    <w:rsid w:val="627938FB"/>
    <w:rsid w:val="62DF2E4C"/>
    <w:rsid w:val="64167308"/>
    <w:rsid w:val="644C2008"/>
    <w:rsid w:val="6514404A"/>
    <w:rsid w:val="656D7262"/>
    <w:rsid w:val="67045F3D"/>
    <w:rsid w:val="687619CD"/>
    <w:rsid w:val="692630DE"/>
    <w:rsid w:val="69B077C9"/>
    <w:rsid w:val="6A680E68"/>
    <w:rsid w:val="6CE8573C"/>
    <w:rsid w:val="6D3D72C4"/>
    <w:rsid w:val="6EA622B4"/>
    <w:rsid w:val="6EB10616"/>
    <w:rsid w:val="715E0EB6"/>
    <w:rsid w:val="75236FC9"/>
    <w:rsid w:val="77792481"/>
    <w:rsid w:val="780E2D0B"/>
    <w:rsid w:val="782507D9"/>
    <w:rsid w:val="78404F59"/>
    <w:rsid w:val="79910B09"/>
    <w:rsid w:val="7A5709BB"/>
    <w:rsid w:val="7C5028D5"/>
    <w:rsid w:val="7DB547BF"/>
    <w:rsid w:val="7E227B7D"/>
    <w:rsid w:val="7E7C79FE"/>
    <w:rsid w:val="7EDC02B0"/>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6"/>
    <w:qFormat/>
    <w:uiPriority w:val="99"/>
  </w:style>
  <w:style w:type="character" w:styleId="5">
    <w:name w:val="Emphasis"/>
    <w:basedOn w:val="4"/>
    <w:qFormat/>
    <w:uiPriority w:val="20"/>
    <w:rPr>
      <w:i/>
    </w:rPr>
  </w:style>
  <w:style w:type="character" w:customStyle="1" w:styleId="6">
    <w:name w:val="称呼 Char"/>
    <w:basedOn w:val="4"/>
    <w:link w:val="2"/>
    <w:qFormat/>
    <w:uiPriority w:val="99"/>
    <w:rPr>
      <w:rFonts w:ascii="Times New Roman" w:hAnsi="Times New Roman" w:eastAsia="仿宋_GB2312" w:cs="Times New Roman"/>
      <w:kern w:val="32"/>
      <w:sz w:val="32"/>
      <w:szCs w:val="20"/>
    </w:rPr>
  </w:style>
  <w:style w:type="paragraph" w:customStyle="1" w:styleId="7">
    <w:name w:val="列表段落1"/>
    <w:basedOn w:val="1"/>
    <w:qFormat/>
    <w:uiPriority w:val="99"/>
    <w:pPr>
      <w:ind w:firstLine="420" w:firstLineChars="200"/>
    </w:p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367</Words>
  <Characters>2097</Characters>
  <Lines>17</Lines>
  <Paragraphs>4</Paragraphs>
  <TotalTime>14</TotalTime>
  <ScaleCrop>false</ScaleCrop>
  <LinksUpToDate>false</LinksUpToDate>
  <CharactersWithSpaces>2460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cp:lastPrinted>2025-03-04T08:02:00Z</cp:lastPrinted>
  <dcterms:modified xsi:type="dcterms:W3CDTF">2025-05-05T12:28:01Z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EC55D6C23C164C8382BD637F224426D0</vt:lpwstr>
  </property>
</Properties>
</file>