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ind w:left="0" w:right="0" w:firstLine="418"/>
        <w:jc w:val="center"/>
      </w:pPr>
      <w:r>
        <w:rPr>
          <w:rFonts w:ascii="方正小标宋简体" w:hAnsi="方正小标宋简体" w:eastAsia="方正小标宋简体" w:cs="方正小标宋简体"/>
          <w:color w:val="000000"/>
          <w:sz w:val="44"/>
          <w:szCs w:val="44"/>
        </w:rPr>
        <w:t>福建省未成年犯管教所</w:t>
      </w:r>
    </w:p>
    <w:p>
      <w:pPr>
        <w:pStyle w:val="185"/>
        <w:keepNext w:val="0"/>
        <w:keepLines w:val="0"/>
        <w:widowControl w:val="0"/>
        <w:suppressLineNumbers w:val="0"/>
        <w:pBdr>
          <w:between w:val="none" w:color="000000" w:sz="0" w:space="0"/>
        </w:pBdr>
        <w:spacing w:before="0" w:beforeAutospacing="0" w:after="0" w:afterAutospacing="0"/>
        <w:jc w:val="center"/>
      </w:pPr>
      <w:r>
        <w:rPr>
          <w:rFonts w:ascii="方正小标宋简体" w:hAnsi="方正小标宋简体" w:eastAsia="方正小标宋简体" w:cs="方正小标宋简体"/>
          <w:color w:val="000000"/>
          <w:sz w:val="44"/>
          <w:szCs w:val="44"/>
        </w:rPr>
        <w:t>  提请减刑建议书</w:t>
      </w:r>
    </w:p>
    <w:p>
      <w:pPr>
        <w:pStyle w:val="186"/>
        <w:spacing w:line="430" w:lineRule="exact"/>
        <w:ind w:left="640" w:right="160" w:firstLine="0" w:firstLineChars="0"/>
        <w:jc w:val="righ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〕闽狱未减字第</w:t>
      </w:r>
      <w:r>
        <w:rPr>
          <w:rFonts w:hint="eastAsia" w:ascii="楷体_GB2312" w:hAnsi="楷体_GB2312" w:eastAsia="楷体_GB2312" w:cs="楷体_GB2312"/>
          <w:sz w:val="32"/>
          <w:szCs w:val="32"/>
          <w:lang w:val="en-US" w:eastAsia="zh-CN"/>
        </w:rPr>
        <w:t>99</w:t>
      </w:r>
      <w:r>
        <w:rPr>
          <w:rFonts w:hint="eastAsia" w:ascii="楷体_GB2312" w:hAnsi="楷体_GB2312" w:eastAsia="楷体_GB2312" w:cs="楷体_GB2312"/>
          <w:sz w:val="32"/>
          <w:szCs w:val="32"/>
        </w:rPr>
        <w:t>号</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ascii="仿宋_GB2312" w:hAnsi="onlyofficeDefaultFont" w:eastAsia="仿宋_GB2312" w:cs="仿宋_GB2312"/>
          <w:color w:val="000000"/>
          <w:sz w:val="32"/>
          <w:szCs w:val="32"/>
        </w:rPr>
      </w:pPr>
      <w:r>
        <w:rPr>
          <w:rFonts w:ascii="仿宋_GB2312" w:hAnsi="onlyofficeDefaultFont" w:eastAsia="仿宋_GB2312" w:cs="仿宋_GB2312"/>
          <w:color w:val="000000"/>
          <w:sz w:val="32"/>
          <w:szCs w:val="32"/>
        </w:rPr>
        <w:t> </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罪犯</w:t>
      </w:r>
      <w:r>
        <w:rPr>
          <w:rFonts w:hint="eastAsia" w:ascii="仿宋_GB2312" w:hAnsi="仿宋_GB2312" w:eastAsia="仿宋_GB2312" w:cs="仿宋_GB2312"/>
          <w:color w:val="000000"/>
          <w:sz w:val="32"/>
          <w:szCs w:val="32"/>
          <w:lang w:eastAsia="zh-CN"/>
        </w:rPr>
        <w:t>黄金降</w:t>
      </w:r>
      <w:r>
        <w:rPr>
          <w:rFonts w:hint="eastAsia" w:ascii="仿宋_GB2312" w:hAnsi="仿宋_GB2312" w:eastAsia="仿宋_GB2312" w:cs="仿宋_GB2312"/>
          <w:color w:val="000000"/>
          <w:sz w:val="32"/>
          <w:szCs w:val="32"/>
        </w:rPr>
        <w:t>，男，</w:t>
      </w:r>
      <w:r>
        <w:rPr>
          <w:rFonts w:hint="eastAsia" w:ascii="仿宋_GB2312" w:hAnsi="仿宋_GB2312" w:eastAsia="仿宋_GB2312" w:cs="仿宋_GB2312"/>
          <w:color w:val="000000"/>
          <w:sz w:val="32"/>
          <w:szCs w:val="32"/>
          <w:lang w:val="en-US" w:eastAsia="zh-CN"/>
        </w:rPr>
        <w:t>1975年5月23日</w:t>
      </w:r>
      <w:r>
        <w:rPr>
          <w:rFonts w:hint="eastAsia" w:ascii="仿宋_GB2312" w:hAnsi="仿宋_GB2312" w:eastAsia="仿宋_GB2312" w:cs="仿宋_GB2312"/>
          <w:color w:val="000000"/>
          <w:sz w:val="32"/>
          <w:szCs w:val="32"/>
        </w:rPr>
        <w:t>出生，汉</w:t>
      </w:r>
      <w:r>
        <w:rPr>
          <w:rFonts w:hint="eastAsia" w:ascii="仿宋_GB2312" w:hAnsi="仿宋_GB2312" w:eastAsia="仿宋_GB2312" w:cs="仿宋_GB2312"/>
          <w:color w:val="000000"/>
          <w:sz w:val="32"/>
          <w:szCs w:val="32"/>
          <w:lang w:eastAsia="zh-CN"/>
        </w:rPr>
        <w:t>族，小学文化，住所地福建省仙游县</w:t>
      </w:r>
      <w:bookmarkStart w:id="0" w:name="_GoBack"/>
      <w:bookmarkEnd w:id="0"/>
      <w:r>
        <w:rPr>
          <w:rFonts w:hint="eastAsia" w:ascii="仿宋_GB2312" w:hAnsi="仿宋_GB2312" w:eastAsia="仿宋_GB2312" w:cs="仿宋_GB2312"/>
          <w:color w:val="000000"/>
          <w:sz w:val="32"/>
          <w:szCs w:val="32"/>
          <w:lang w:eastAsia="zh-CN"/>
        </w:rPr>
        <w:t>，捕前系工人。</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福建省</w:t>
      </w:r>
      <w:r>
        <w:rPr>
          <w:rFonts w:hint="eastAsia" w:ascii="仿宋_GB2312" w:hAnsi="仿宋_GB2312" w:eastAsia="仿宋_GB2312" w:cs="仿宋_GB2312"/>
          <w:color w:val="000000"/>
          <w:sz w:val="32"/>
          <w:szCs w:val="32"/>
          <w:lang w:eastAsia="zh-CN"/>
        </w:rPr>
        <w:t>仙游县</w:t>
      </w:r>
      <w:r>
        <w:rPr>
          <w:rFonts w:hint="eastAsia" w:ascii="仿宋_GB2312" w:hAnsi="仿宋_GB2312" w:eastAsia="仿宋_GB2312" w:cs="仿宋_GB2312"/>
          <w:color w:val="000000"/>
          <w:sz w:val="32"/>
          <w:szCs w:val="32"/>
        </w:rPr>
        <w:t>人民法院于</w:t>
      </w:r>
      <w:r>
        <w:rPr>
          <w:rFonts w:hint="eastAsia" w:ascii="仿宋_GB2312" w:hAnsi="仿宋_GB2312" w:eastAsia="仿宋_GB2312" w:cs="仿宋_GB2312"/>
          <w:color w:val="000000"/>
          <w:sz w:val="32"/>
          <w:szCs w:val="32"/>
          <w:lang w:eastAsia="zh-CN"/>
        </w:rPr>
        <w:t>2020年</w:t>
      </w: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lang w:eastAsia="zh-CN"/>
        </w:rPr>
        <w:t>月</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lang w:eastAsia="zh-CN"/>
        </w:rPr>
        <w:t>日作出(2020)闽0322刑初186号刑事判决，以被告人黄金降犯销售伪劣产品罪，判处有期徒刑七年，</w:t>
      </w:r>
      <w:r>
        <w:rPr>
          <w:rFonts w:hint="eastAsia" w:ascii="仿宋_GB2312" w:hAnsi="仿宋_GB2312" w:eastAsia="仿宋_GB2312" w:cs="仿宋_GB2312"/>
          <w:color w:val="000000"/>
          <w:sz w:val="32"/>
          <w:szCs w:val="32"/>
        </w:rPr>
        <w:t>并处罚金人民币</w:t>
      </w:r>
      <w:r>
        <w:rPr>
          <w:rFonts w:hint="eastAsia" w:ascii="仿宋_GB2312" w:hAnsi="仿宋_GB2312" w:eastAsia="仿宋_GB2312" w:cs="仿宋_GB2312"/>
          <w:color w:val="000000"/>
          <w:sz w:val="32"/>
          <w:szCs w:val="32"/>
          <w:lang w:eastAsia="zh-CN"/>
        </w:rPr>
        <w:t>六十万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eastAsia="zh-CN"/>
        </w:rPr>
        <w:t>。宣判后，该犯不服，提起上诉。福建省莆田市中级人民法院于</w:t>
      </w:r>
      <w:r>
        <w:rPr>
          <w:rFonts w:hint="eastAsia" w:ascii="仿宋_GB2312" w:hAnsi="仿宋_GB2312" w:eastAsia="仿宋_GB2312" w:cs="仿宋_GB2312"/>
          <w:color w:val="000000"/>
          <w:sz w:val="32"/>
          <w:szCs w:val="32"/>
          <w:lang w:val="en-US" w:eastAsia="zh-CN"/>
        </w:rPr>
        <w:t>2021年4月20日作出(2021)闽03刑终96号刑事裁定，驳回上诉，维持原判。</w:t>
      </w:r>
      <w:r>
        <w:rPr>
          <w:rFonts w:hint="eastAsia" w:ascii="仿宋_GB2312" w:hAnsi="仿宋_GB2312" w:eastAsia="仿宋_GB2312" w:cs="仿宋_GB2312"/>
          <w:color w:val="000000"/>
          <w:sz w:val="32"/>
          <w:szCs w:val="32"/>
        </w:rPr>
        <w:t>刑期自20</w:t>
      </w:r>
      <w:r>
        <w:rPr>
          <w:rFonts w:hint="eastAsia" w:ascii="仿宋_GB2312" w:hAnsi="仿宋_GB2312" w:eastAsia="仿宋_GB2312" w:cs="仿宋_GB2312"/>
          <w:color w:val="000000"/>
          <w:sz w:val="32"/>
          <w:szCs w:val="32"/>
          <w:lang w:val="en-US" w:eastAsia="zh-CN"/>
        </w:rPr>
        <w:t>19</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日起至2026年</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日止</w:t>
      </w:r>
      <w:r>
        <w:rPr>
          <w:rFonts w:hint="eastAsia" w:ascii="仿宋_GB2312" w:hAnsi="仿宋_GB2312" w:eastAsia="仿宋_GB2312" w:cs="仿宋_GB2312"/>
          <w:color w:val="000000"/>
          <w:sz w:val="32"/>
          <w:szCs w:val="32"/>
          <w:lang w:val="en-US" w:eastAsia="zh-CN"/>
        </w:rPr>
        <w:t>。2021年5月19日交付福建省未成年犯管教所执行刑罚。2023年5月26日，福州市中级人民法院以（2023）闽01刑更2027号刑事裁定书，对其减去有期徒刑六个月。于2023年5月26日送达。现刑期至2026年1月3日止。属普管级罪犯。</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该犯自减刑以来确有悔改表现，具体事实如下：</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1.认罪悔罪：能服从法院判决，自书认罪悔罪书。</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2.遵守监规：能遵守法律法规及监规纪律，接受教育改造。</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3.学习情况：能参加思想、文化、职业技术教育。</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4.劳动改造：能参加劳动，努力完成劳动任务。</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5.奖惩情况：该犯上次评定表扬剩余</w:t>
      </w:r>
      <w:r>
        <w:rPr>
          <w:rFonts w:hint="eastAsia" w:ascii="仿宋_GB2312" w:hAnsi="仿宋_GB2312" w:eastAsia="仿宋_GB2312" w:cs="仿宋_GB2312"/>
          <w:color w:val="000000"/>
          <w:sz w:val="32"/>
          <w:szCs w:val="32"/>
          <w:lang w:val="en-US" w:eastAsia="zh-CN"/>
        </w:rPr>
        <w:t>222.5</w:t>
      </w:r>
      <w:r>
        <w:rPr>
          <w:rFonts w:hint="eastAsia" w:ascii="仿宋_GB2312" w:hAnsi="仿宋_GB2312" w:eastAsia="仿宋_GB2312" w:cs="仿宋_GB2312"/>
          <w:color w:val="000000"/>
          <w:sz w:val="32"/>
          <w:szCs w:val="32"/>
        </w:rPr>
        <w:t>分，本轮考核期2023年</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月1日至202</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月3</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日累计获</w:t>
      </w:r>
      <w:r>
        <w:rPr>
          <w:rFonts w:hint="eastAsia" w:ascii="仿宋_GB2312" w:hAnsi="仿宋_GB2312" w:eastAsia="仿宋_GB2312" w:cs="仿宋_GB2312"/>
          <w:color w:val="000000"/>
          <w:sz w:val="32"/>
          <w:szCs w:val="32"/>
          <w:lang w:val="en-US" w:eastAsia="zh-CN"/>
        </w:rPr>
        <w:t>2658.8</w:t>
      </w:r>
      <w:r>
        <w:rPr>
          <w:rFonts w:hint="eastAsia" w:ascii="仿宋_GB2312" w:hAnsi="仿宋_GB2312" w:eastAsia="仿宋_GB2312" w:cs="仿宋_GB2312"/>
          <w:color w:val="000000"/>
          <w:sz w:val="32"/>
          <w:szCs w:val="32"/>
        </w:rPr>
        <w:t>分，合计获得</w:t>
      </w:r>
      <w:r>
        <w:rPr>
          <w:rFonts w:hint="eastAsia" w:ascii="仿宋_GB2312" w:hAnsi="仿宋_GB2312" w:eastAsia="仿宋_GB2312" w:cs="仿宋_GB2312"/>
          <w:color w:val="000000"/>
          <w:sz w:val="32"/>
          <w:szCs w:val="32"/>
          <w:lang w:val="en-US" w:eastAsia="zh-CN"/>
        </w:rPr>
        <w:t>2881.3</w:t>
      </w:r>
      <w:r>
        <w:rPr>
          <w:rFonts w:hint="eastAsia" w:ascii="仿宋_GB2312" w:hAnsi="仿宋_GB2312" w:eastAsia="仿宋_GB2312" w:cs="仿宋_GB2312"/>
          <w:color w:val="000000"/>
          <w:sz w:val="32"/>
          <w:szCs w:val="32"/>
        </w:rPr>
        <w:t>分，表扬</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次，间隔期2023年</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26</w:t>
      </w:r>
      <w:r>
        <w:rPr>
          <w:rFonts w:hint="eastAsia" w:ascii="仿宋_GB2312" w:hAnsi="仿宋_GB2312" w:eastAsia="仿宋_GB2312" w:cs="仿宋_GB2312"/>
          <w:color w:val="000000"/>
          <w:sz w:val="32"/>
          <w:szCs w:val="32"/>
        </w:rPr>
        <w:t>日至202</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年1月3</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日累计获</w:t>
      </w:r>
      <w:r>
        <w:rPr>
          <w:rFonts w:hint="eastAsia" w:ascii="仿宋_GB2312" w:hAnsi="仿宋_GB2312" w:eastAsia="仿宋_GB2312" w:cs="仿宋_GB2312"/>
          <w:color w:val="000000"/>
          <w:sz w:val="32"/>
          <w:szCs w:val="32"/>
          <w:lang w:val="en-US" w:eastAsia="zh-CN"/>
        </w:rPr>
        <w:t>2252.8</w:t>
      </w:r>
      <w:r>
        <w:rPr>
          <w:rFonts w:hint="eastAsia" w:ascii="仿宋_GB2312" w:hAnsi="仿宋_GB2312" w:eastAsia="仿宋_GB2312" w:cs="仿宋_GB2312"/>
          <w:color w:val="000000"/>
          <w:sz w:val="32"/>
          <w:szCs w:val="32"/>
        </w:rPr>
        <w:t>分；无违规扣分。</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6.原判财产性判项：</w:t>
      </w:r>
      <w:r>
        <w:rPr>
          <w:rFonts w:hint="eastAsia" w:ascii="仿宋_GB2312" w:hAnsi="仿宋_GB2312" w:eastAsia="仿宋_GB2312" w:cs="仿宋_GB2312"/>
          <w:color w:val="000000"/>
          <w:sz w:val="32"/>
          <w:szCs w:val="32"/>
          <w:lang w:val="en-US" w:eastAsia="zh-CN"/>
        </w:rPr>
        <w:t>罚金人民币600000元，该犯已全部履行完毕</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其中上次提请减刑考核期内已向福建省仙游县人民法院缴纳罚金人民币600000元，福建省仙游县人民法院出具结案证明予以证实。</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本案于2025年4月24日至2025年4月29日在</w:t>
      </w:r>
      <w:r>
        <w:rPr>
          <w:rFonts w:hint="eastAsia" w:ascii="仿宋_GB2312" w:hAnsi="仿宋_GB2312" w:eastAsia="仿宋_GB2312" w:cs="仿宋_GB2312"/>
          <w:color w:val="000000"/>
          <w:sz w:val="32"/>
          <w:szCs w:val="32"/>
        </w:rPr>
        <w:t>狱内公示未收到不同意见。</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因此，依照《中华人民共和国刑法》第七十八条、第七十九条《中华人民共和国刑事诉讼法》第二百七十三条第二款、《中华人民共和国监狱法》第二十九条的规定，建议对罪犯</w:t>
      </w:r>
      <w:r>
        <w:rPr>
          <w:rFonts w:hint="eastAsia" w:ascii="仿宋_GB2312" w:hAnsi="仿宋_GB2312" w:eastAsia="仿宋_GB2312" w:cs="仿宋_GB2312"/>
          <w:color w:val="000000"/>
          <w:sz w:val="32"/>
          <w:szCs w:val="32"/>
          <w:lang w:eastAsia="zh-CN"/>
        </w:rPr>
        <w:t>黄金降</w:t>
      </w:r>
      <w:r>
        <w:rPr>
          <w:rFonts w:hint="eastAsia" w:ascii="仿宋_GB2312" w:hAnsi="仿宋_GB2312" w:eastAsia="仿宋_GB2312" w:cs="仿宋_GB2312"/>
          <w:color w:val="000000"/>
          <w:sz w:val="32"/>
          <w:szCs w:val="32"/>
        </w:rPr>
        <w:t>予以减刑</w:t>
      </w:r>
      <w:r>
        <w:rPr>
          <w:rFonts w:hint="eastAsia" w:ascii="仿宋_GB2312" w:hAnsi="仿宋_GB2312" w:eastAsia="仿宋_GB2312" w:cs="仿宋_GB2312"/>
          <w:color w:val="000000"/>
          <w:sz w:val="32"/>
          <w:szCs w:val="32"/>
          <w:lang w:eastAsia="zh-CN"/>
        </w:rPr>
        <w:t>七个</w:t>
      </w:r>
      <w:r>
        <w:rPr>
          <w:rFonts w:hint="eastAsia" w:ascii="仿宋_GB2312" w:hAnsi="仿宋_GB2312" w:eastAsia="仿宋_GB2312" w:cs="仿宋_GB2312"/>
          <w:color w:val="000000"/>
          <w:sz w:val="32"/>
          <w:szCs w:val="32"/>
        </w:rPr>
        <w:t>月。特提请你院审理裁定。</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此致</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福建省福州市中级人民法院</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 </w:t>
      </w: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left="0"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附件：⒈罪犯</w:t>
      </w:r>
      <w:r>
        <w:rPr>
          <w:rFonts w:hint="eastAsia" w:ascii="仿宋_GB2312" w:hAnsi="仿宋_GB2312" w:eastAsia="仿宋_GB2312" w:cs="仿宋_GB2312"/>
          <w:color w:val="000000"/>
          <w:sz w:val="32"/>
          <w:szCs w:val="32"/>
          <w:lang w:eastAsia="zh-CN"/>
        </w:rPr>
        <w:t>黄金降</w:t>
      </w:r>
      <w:r>
        <w:rPr>
          <w:rFonts w:hint="eastAsia" w:ascii="仿宋_GB2312" w:hAnsi="仿宋_GB2312" w:eastAsia="仿宋_GB2312" w:cs="仿宋_GB2312"/>
          <w:color w:val="000000"/>
          <w:sz w:val="32"/>
          <w:szCs w:val="32"/>
        </w:rPr>
        <w:t>卷宗</w:t>
      </w:r>
      <w:r>
        <w:rPr>
          <w:rFonts w:hint="eastAsia" w:ascii="仿宋_GB2312" w:hAnsi="仿宋_GB2312" w:eastAsia="仿宋_GB2312" w:cs="仿宋_GB2312"/>
          <w:color w:val="000000"/>
          <w:sz w:val="32"/>
          <w:szCs w:val="32"/>
          <w:lang w:val="en-US" w:eastAsia="zh-CN"/>
        </w:rPr>
        <w:t>贰</w:t>
      </w:r>
      <w:r>
        <w:rPr>
          <w:rFonts w:hint="eastAsia" w:ascii="仿宋_GB2312" w:hAnsi="仿宋_GB2312" w:eastAsia="仿宋_GB2312" w:cs="仿宋_GB2312"/>
          <w:color w:val="000000"/>
          <w:sz w:val="32"/>
          <w:szCs w:val="32"/>
        </w:rPr>
        <w:t>册</w:t>
      </w:r>
    </w:p>
    <w:p>
      <w:pPr>
        <w:pStyle w:val="185"/>
        <w:keepNext w:val="0"/>
        <w:keepLines w:val="0"/>
        <w:widowControl w:val="0"/>
        <w:suppressLineNumbers w:val="0"/>
        <w:pBdr>
          <w:between w:val="none" w:color="000000" w:sz="0" w:space="0"/>
        </w:pBdr>
        <w:spacing w:before="0" w:beforeAutospacing="0" w:after="0" w:afterAutospacing="0" w:line="0" w:lineRule="atLeast"/>
        <w:ind w:left="0" w:firstLine="16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⒉减刑建议书</w:t>
      </w:r>
      <w:r>
        <w:rPr>
          <w:rFonts w:hint="eastAsia" w:ascii="仿宋_GB2312" w:hAnsi="仿宋_GB2312" w:eastAsia="仿宋_GB2312" w:cs="仿宋_GB2312"/>
          <w:color w:val="000000"/>
          <w:sz w:val="32"/>
          <w:szCs w:val="32"/>
          <w:lang w:val="en-US" w:eastAsia="zh-CN"/>
        </w:rPr>
        <w:t>肆</w:t>
      </w:r>
      <w:r>
        <w:rPr>
          <w:rFonts w:hint="eastAsia" w:ascii="仿宋_GB2312" w:hAnsi="仿宋_GB2312" w:eastAsia="仿宋_GB2312" w:cs="仿宋_GB2312"/>
          <w:color w:val="000000"/>
          <w:sz w:val="32"/>
          <w:szCs w:val="32"/>
        </w:rPr>
        <w:t>份</w:t>
      </w:r>
    </w:p>
    <w:p>
      <w:pPr>
        <w:pStyle w:val="185"/>
        <w:keepNext w:val="0"/>
        <w:keepLines w:val="0"/>
        <w:widowControl w:val="0"/>
        <w:suppressLineNumbers w:val="0"/>
        <w:pBdr>
          <w:between w:val="none" w:color="000000" w:sz="0" w:space="0"/>
        </w:pBdr>
        <w:spacing w:before="0" w:beforeAutospacing="0" w:after="0" w:afterAutospacing="0" w:line="0" w:lineRule="atLeast"/>
        <w:ind w:left="640" w:right="-48"/>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w:t>
      </w:r>
    </w:p>
    <w:p>
      <w:pPr>
        <w:pStyle w:val="185"/>
        <w:keepNext w:val="0"/>
        <w:keepLines w:val="0"/>
        <w:widowControl w:val="0"/>
        <w:suppressLineNumbers w:val="0"/>
        <w:pBdr>
          <w:between w:val="none" w:color="000000" w:sz="0" w:space="0"/>
        </w:pBdr>
        <w:spacing w:before="0" w:beforeAutospacing="0" w:after="0" w:afterAutospacing="0" w:line="0" w:lineRule="atLeast"/>
        <w:ind w:left="640" w:right="-48"/>
        <w:jc w:val="both"/>
        <w:rPr>
          <w:rFonts w:hint="eastAsia" w:ascii="仿宋_GB2312" w:hAnsi="仿宋_GB2312" w:eastAsia="仿宋_GB2312" w:cs="仿宋_GB2312"/>
          <w:color w:val="000000"/>
          <w:sz w:val="32"/>
          <w:szCs w:val="32"/>
        </w:rPr>
      </w:pPr>
    </w:p>
    <w:p>
      <w:pPr>
        <w:pStyle w:val="185"/>
        <w:keepNext w:val="0"/>
        <w:keepLines w:val="0"/>
        <w:widowControl w:val="0"/>
        <w:suppressLineNumbers w:val="0"/>
        <w:pBdr>
          <w:between w:val="none" w:color="000000" w:sz="0" w:space="0"/>
        </w:pBdr>
        <w:spacing w:before="0" w:beforeAutospacing="0" w:after="0" w:afterAutospacing="0" w:line="0" w:lineRule="atLeast"/>
        <w:ind w:left="640" w:right="-48"/>
        <w:jc w:val="both"/>
        <w:rPr>
          <w:rFonts w:hint="eastAsia" w:ascii="仿宋_GB2312" w:hAnsi="仿宋_GB2312" w:eastAsia="仿宋_GB2312" w:cs="仿宋_GB2312"/>
          <w:color w:val="000000"/>
          <w:sz w:val="32"/>
          <w:szCs w:val="32"/>
        </w:rPr>
      </w:pPr>
    </w:p>
    <w:p>
      <w:pPr>
        <w:pStyle w:val="185"/>
        <w:keepNext w:val="0"/>
        <w:keepLines w:val="0"/>
        <w:widowControl w:val="0"/>
        <w:suppressLineNumbers w:val="0"/>
        <w:pBdr>
          <w:top w:val="none" w:color="000000" w:sz="0" w:space="0"/>
          <w:left w:val="none" w:color="000000" w:sz="0" w:space="0"/>
          <w:bottom w:val="none" w:color="000000" w:sz="0" w:space="0"/>
          <w:right w:val="none" w:color="000000" w:sz="0" w:space="0"/>
          <w:between w:val="none" w:color="000000" w:sz="0" w:space="0"/>
        </w:pBdr>
        <w:spacing w:before="0" w:beforeAutospacing="0" w:after="0" w:afterAutospacing="0" w:line="0" w:lineRule="atLeast"/>
        <w:ind w:right="1280"/>
        <w:jc w:val="righ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福建省未成年犯管教所</w:t>
      </w:r>
    </w:p>
    <w:p>
      <w:pPr>
        <w:pStyle w:val="185"/>
        <w:keepNext w:val="0"/>
        <w:keepLines w:val="0"/>
        <w:widowControl w:val="0"/>
        <w:suppressLineNumbers w:val="0"/>
        <w:pBdr>
          <w:between w:val="none" w:color="000000" w:sz="0" w:space="0"/>
        </w:pBdr>
        <w:spacing w:before="0" w:beforeAutospacing="0" w:after="0" w:afterAutospacing="0" w:line="0" w:lineRule="atLeast"/>
        <w:ind w:right="1280"/>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2025</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30</w:t>
      </w:r>
      <w:r>
        <w:rPr>
          <w:rFonts w:hint="eastAsia" w:ascii="仿宋_GB2312" w:hAnsi="仿宋_GB2312" w:eastAsia="仿宋_GB2312" w:cs="仿宋_GB2312"/>
          <w:color w:val="000000"/>
          <w:sz w:val="32"/>
          <w:szCs w:val="32"/>
        </w:rPr>
        <w:t>日</w:t>
      </w:r>
    </w:p>
    <w:p>
      <w:pPr>
        <w:pStyle w:val="185"/>
        <w:keepNext w:val="0"/>
        <w:keepLines w:val="0"/>
        <w:widowControl w:val="0"/>
        <w:suppressLineNumbers w:val="0"/>
        <w:pBdr>
          <w:between w:val="none" w:color="000000" w:sz="0" w:space="0"/>
        </w:pBdr>
        <w:spacing w:before="0" w:beforeAutospacing="0" w:after="0" w:afterAutospacing="0"/>
        <w:ind w:left="0" w:firstLine="643"/>
      </w:pPr>
      <w:r>
        <w:rPr>
          <w:rFonts w:ascii="onlyofficeDefaultFont" w:hAnsi="onlyofficeDefaultFont" w:eastAsia="onlyofficeDefaultFont" w:cs="onlyofficeDefaultFont"/>
          <w:color w:val="000000"/>
          <w:sz w:val="22"/>
          <w:szCs w:val="22"/>
        </w:rPr>
        <w:t> </w:t>
      </w:r>
    </w:p>
    <w:sectPr>
      <w:pgSz w:w="11906" w:h="16838" w:orient="landscape"/>
      <w:pgMar w:top="1440" w:right="1800" w:bottom="1440" w:left="1800" w:header="851" w:footer="992" w:gutter="0"/>
      <w:cols w:space="1701"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onlyofficeDefaultFont">
    <w:altName w:val="Segoe Print"/>
    <w:panose1 w:val="020B06030308040202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3B2BE8"/>
    <w:rsid w:val="537B3FE7"/>
    <w:rsid w:val="59AD7A81"/>
    <w:rsid w:val="60300C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83"/>
    <w:qFormat/>
    <w:uiPriority w:val="0"/>
    <w:pPr>
      <w:widowControl w:val="0"/>
      <w:jc w:val="both"/>
    </w:pPr>
    <w:rPr>
      <w:rFonts w:hint="default" w:ascii="Calibri" w:hAnsi="Calibri" w:eastAsia="宋体" w:cs="Times New Roman"/>
      <w:sz w:val="21"/>
      <w:szCs w:val="24"/>
      <w:lang w:val="en-US" w:eastAsia="zh-CN" w:bidi="ar-SA"/>
    </w:rPr>
  </w:style>
  <w:style w:type="paragraph" w:styleId="2">
    <w:name w:val="heading 1"/>
    <w:basedOn w:val="1"/>
    <w:next w:val="1"/>
    <w:link w:val="35"/>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36"/>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37"/>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38"/>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39"/>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0"/>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1"/>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2"/>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3"/>
    <w:unhideWhenUsed/>
    <w:qFormat/>
    <w:uiPriority w:val="9"/>
    <w:pPr>
      <w:keepNext/>
      <w:keepLines/>
      <w:spacing w:before="320" w:after="200"/>
      <w:outlineLvl w:val="8"/>
    </w:pPr>
    <w:rPr>
      <w:rFonts w:ascii="Arial" w:hAnsi="Arial" w:eastAsia="Arial" w:cs="Arial"/>
      <w:i/>
      <w:iCs/>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annotation text"/>
    <w:basedOn w:val="1"/>
    <w:semiHidden/>
    <w:unhideWhenUsed/>
    <w:qFormat/>
    <w:uiPriority w:val="99"/>
    <w:pPr>
      <w:jc w:val="left"/>
    </w:pPr>
  </w:style>
  <w:style w:type="paragraph" w:styleId="14">
    <w:name w:val="toc 5"/>
    <w:basedOn w:val="1"/>
    <w:next w:val="1"/>
    <w:unhideWhenUsed/>
    <w:qFormat/>
    <w:uiPriority w:val="39"/>
    <w:pPr>
      <w:spacing w:after="57"/>
      <w:ind w:left="1134" w:right="0" w:firstLine="0"/>
    </w:pPr>
  </w:style>
  <w:style w:type="paragraph" w:styleId="15">
    <w:name w:val="toc 3"/>
    <w:basedOn w:val="1"/>
    <w:next w:val="1"/>
    <w:unhideWhenUsed/>
    <w:qFormat/>
    <w:uiPriority w:val="39"/>
    <w:pPr>
      <w:spacing w:after="57"/>
      <w:ind w:left="567" w:right="0" w:firstLine="0"/>
    </w:pPr>
  </w:style>
  <w:style w:type="paragraph" w:styleId="16">
    <w:name w:val="toc 8"/>
    <w:basedOn w:val="1"/>
    <w:next w:val="1"/>
    <w:unhideWhenUsed/>
    <w:uiPriority w:val="39"/>
    <w:pPr>
      <w:spacing w:after="57"/>
      <w:ind w:left="1984" w:right="0" w:firstLine="0"/>
    </w:pPr>
  </w:style>
  <w:style w:type="paragraph" w:styleId="17">
    <w:name w:val="endnote text"/>
    <w:basedOn w:val="1"/>
    <w:link w:val="181"/>
    <w:semiHidden/>
    <w:unhideWhenUsed/>
    <w:qFormat/>
    <w:uiPriority w:val="99"/>
    <w:pPr>
      <w:spacing w:after="0" w:line="240" w:lineRule="auto"/>
    </w:pPr>
    <w:rPr>
      <w:sz w:val="20"/>
    </w:rPr>
  </w:style>
  <w:style w:type="paragraph" w:styleId="18">
    <w:name w:val="footer"/>
    <w:basedOn w:val="1"/>
    <w:link w:val="54"/>
    <w:unhideWhenUsed/>
    <w:qFormat/>
    <w:uiPriority w:val="99"/>
    <w:pPr>
      <w:tabs>
        <w:tab w:val="center" w:pos="7143"/>
        <w:tab w:val="right" w:pos="14287"/>
      </w:tabs>
      <w:spacing w:after="0" w:line="240" w:lineRule="auto"/>
    </w:pPr>
  </w:style>
  <w:style w:type="paragraph" w:styleId="19">
    <w:name w:val="header"/>
    <w:basedOn w:val="1"/>
    <w:link w:val="52"/>
    <w:unhideWhenUsed/>
    <w:qFormat/>
    <w:uiPriority w:val="99"/>
    <w:pPr>
      <w:tabs>
        <w:tab w:val="center" w:pos="7143"/>
        <w:tab w:val="right" w:pos="14287"/>
      </w:tabs>
      <w:spacing w:after="0" w:line="240" w:lineRule="auto"/>
    </w:pPr>
  </w:style>
  <w:style w:type="paragraph" w:styleId="20">
    <w:name w:val="toc 1"/>
    <w:basedOn w:val="1"/>
    <w:next w:val="1"/>
    <w:unhideWhenUsed/>
    <w:qFormat/>
    <w:uiPriority w:val="39"/>
    <w:pPr>
      <w:spacing w:after="57"/>
      <w:ind w:left="0" w:right="0" w:firstLine="0"/>
    </w:pPr>
  </w:style>
  <w:style w:type="paragraph" w:styleId="21">
    <w:name w:val="toc 4"/>
    <w:basedOn w:val="1"/>
    <w:next w:val="1"/>
    <w:unhideWhenUsed/>
    <w:qFormat/>
    <w:uiPriority w:val="39"/>
    <w:pPr>
      <w:spacing w:after="57"/>
      <w:ind w:left="850" w:right="0" w:firstLine="0"/>
    </w:pPr>
  </w:style>
  <w:style w:type="paragraph" w:styleId="22">
    <w:name w:val="Subtitle"/>
    <w:basedOn w:val="1"/>
    <w:next w:val="1"/>
    <w:link w:val="47"/>
    <w:qFormat/>
    <w:uiPriority w:val="11"/>
    <w:pPr>
      <w:spacing w:before="200" w:after="200"/>
    </w:pPr>
    <w:rPr>
      <w:sz w:val="24"/>
      <w:szCs w:val="24"/>
    </w:rPr>
  </w:style>
  <w:style w:type="paragraph" w:styleId="23">
    <w:name w:val="footnote text"/>
    <w:basedOn w:val="1"/>
    <w:link w:val="180"/>
    <w:semiHidden/>
    <w:unhideWhenUsed/>
    <w:qFormat/>
    <w:uiPriority w:val="99"/>
    <w:pPr>
      <w:spacing w:after="40" w:line="240" w:lineRule="auto"/>
    </w:pPr>
    <w:rPr>
      <w:sz w:val="18"/>
    </w:rPr>
  </w:style>
  <w:style w:type="paragraph" w:styleId="24">
    <w:name w:val="toc 6"/>
    <w:basedOn w:val="1"/>
    <w:next w:val="1"/>
    <w:unhideWhenUsed/>
    <w:qFormat/>
    <w:uiPriority w:val="39"/>
    <w:pPr>
      <w:spacing w:after="57"/>
      <w:ind w:left="1417" w:right="0" w:firstLine="0"/>
    </w:pPr>
  </w:style>
  <w:style w:type="paragraph" w:styleId="25">
    <w:name w:val="table of figures"/>
    <w:basedOn w:val="1"/>
    <w:next w:val="1"/>
    <w:unhideWhenUsed/>
    <w:qFormat/>
    <w:uiPriority w:val="99"/>
    <w:pPr>
      <w:spacing w:after="0" w:afterAutospacing="0"/>
    </w:pPr>
  </w:style>
  <w:style w:type="paragraph" w:styleId="26">
    <w:name w:val="toc 2"/>
    <w:basedOn w:val="1"/>
    <w:next w:val="1"/>
    <w:unhideWhenUsed/>
    <w:qFormat/>
    <w:uiPriority w:val="39"/>
    <w:pPr>
      <w:spacing w:after="57"/>
      <w:ind w:left="283" w:right="0" w:firstLine="0"/>
    </w:pPr>
  </w:style>
  <w:style w:type="paragraph" w:styleId="27">
    <w:name w:val="toc 9"/>
    <w:basedOn w:val="1"/>
    <w:next w:val="1"/>
    <w:unhideWhenUsed/>
    <w:qFormat/>
    <w:uiPriority w:val="39"/>
    <w:pPr>
      <w:spacing w:after="57"/>
      <w:ind w:left="2268" w:right="0" w:firstLine="0"/>
    </w:pPr>
  </w:style>
  <w:style w:type="paragraph" w:styleId="28">
    <w:name w:val="Title"/>
    <w:basedOn w:val="1"/>
    <w:next w:val="1"/>
    <w:link w:val="46"/>
    <w:qFormat/>
    <w:uiPriority w:val="10"/>
    <w:pPr>
      <w:spacing w:before="300" w:after="200"/>
      <w:contextualSpacing/>
    </w:pPr>
    <w:rPr>
      <w:sz w:val="48"/>
      <w:szCs w:val="48"/>
    </w:rPr>
  </w:style>
  <w:style w:type="table" w:styleId="30">
    <w:name w:val="Table Grid"/>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2">
    <w:name w:val="endnote reference"/>
    <w:semiHidden/>
    <w:unhideWhenUsed/>
    <w:qFormat/>
    <w:uiPriority w:val="99"/>
    <w:rPr>
      <w:vertAlign w:val="superscript"/>
    </w:rPr>
  </w:style>
  <w:style w:type="character" w:styleId="33">
    <w:name w:val="Hyperlink"/>
    <w:unhideWhenUsed/>
    <w:qFormat/>
    <w:uiPriority w:val="99"/>
    <w:rPr>
      <w:color w:val="0000FF" w:themeColor="hyperlink"/>
      <w:u w:val="single"/>
      <w14:textFill>
        <w14:solidFill>
          <w14:schemeClr w14:val="hlink"/>
        </w14:solidFill>
      </w14:textFill>
    </w:rPr>
  </w:style>
  <w:style w:type="character" w:styleId="34">
    <w:name w:val="footnote reference"/>
    <w:unhideWhenUsed/>
    <w:qFormat/>
    <w:uiPriority w:val="99"/>
    <w:rPr>
      <w:vertAlign w:val="superscript"/>
    </w:rPr>
  </w:style>
  <w:style w:type="character" w:customStyle="1" w:styleId="35">
    <w:name w:val="Heading 1 Char"/>
    <w:link w:val="2"/>
    <w:qFormat/>
    <w:uiPriority w:val="9"/>
    <w:rPr>
      <w:rFonts w:ascii="Arial" w:hAnsi="Arial" w:eastAsia="Arial" w:cs="Arial"/>
      <w:sz w:val="40"/>
      <w:szCs w:val="40"/>
    </w:rPr>
  </w:style>
  <w:style w:type="character" w:customStyle="1" w:styleId="36">
    <w:name w:val="Heading 2 Char"/>
    <w:link w:val="3"/>
    <w:qFormat/>
    <w:uiPriority w:val="9"/>
    <w:rPr>
      <w:rFonts w:ascii="Arial" w:hAnsi="Arial" w:eastAsia="Arial" w:cs="Arial"/>
      <w:sz w:val="34"/>
    </w:rPr>
  </w:style>
  <w:style w:type="character" w:customStyle="1" w:styleId="37">
    <w:name w:val="Heading 3 Char"/>
    <w:link w:val="4"/>
    <w:qFormat/>
    <w:uiPriority w:val="9"/>
    <w:rPr>
      <w:rFonts w:ascii="Arial" w:hAnsi="Arial" w:eastAsia="Arial" w:cs="Arial"/>
      <w:sz w:val="30"/>
      <w:szCs w:val="30"/>
    </w:rPr>
  </w:style>
  <w:style w:type="character" w:customStyle="1" w:styleId="38">
    <w:name w:val="Heading 4 Char"/>
    <w:link w:val="5"/>
    <w:qFormat/>
    <w:uiPriority w:val="9"/>
    <w:rPr>
      <w:rFonts w:ascii="Arial" w:hAnsi="Arial" w:eastAsia="Arial" w:cs="Arial"/>
      <w:b/>
      <w:bCs/>
      <w:sz w:val="26"/>
      <w:szCs w:val="26"/>
    </w:rPr>
  </w:style>
  <w:style w:type="character" w:customStyle="1" w:styleId="39">
    <w:name w:val="Heading 5 Char"/>
    <w:link w:val="6"/>
    <w:qFormat/>
    <w:uiPriority w:val="9"/>
    <w:rPr>
      <w:rFonts w:ascii="Arial" w:hAnsi="Arial" w:eastAsia="Arial" w:cs="Arial"/>
      <w:b/>
      <w:bCs/>
      <w:sz w:val="24"/>
      <w:szCs w:val="24"/>
    </w:rPr>
  </w:style>
  <w:style w:type="character" w:customStyle="1" w:styleId="40">
    <w:name w:val="Heading 6 Char"/>
    <w:link w:val="7"/>
    <w:qFormat/>
    <w:uiPriority w:val="9"/>
    <w:rPr>
      <w:rFonts w:ascii="Arial" w:hAnsi="Arial" w:eastAsia="Arial" w:cs="Arial"/>
      <w:b/>
      <w:bCs/>
      <w:sz w:val="22"/>
      <w:szCs w:val="22"/>
    </w:rPr>
  </w:style>
  <w:style w:type="character" w:customStyle="1" w:styleId="41">
    <w:name w:val="Heading 7 Char"/>
    <w:link w:val="8"/>
    <w:qFormat/>
    <w:uiPriority w:val="9"/>
    <w:rPr>
      <w:rFonts w:ascii="Arial" w:hAnsi="Arial" w:eastAsia="Arial" w:cs="Arial"/>
      <w:b/>
      <w:bCs/>
      <w:i/>
      <w:iCs/>
      <w:sz w:val="22"/>
      <w:szCs w:val="22"/>
    </w:rPr>
  </w:style>
  <w:style w:type="character" w:customStyle="1" w:styleId="42">
    <w:name w:val="Heading 8 Char"/>
    <w:link w:val="9"/>
    <w:qFormat/>
    <w:uiPriority w:val="9"/>
    <w:rPr>
      <w:rFonts w:ascii="Arial" w:hAnsi="Arial" w:eastAsia="Arial" w:cs="Arial"/>
      <w:i/>
      <w:iCs/>
      <w:sz w:val="22"/>
      <w:szCs w:val="22"/>
    </w:rPr>
  </w:style>
  <w:style w:type="character" w:customStyle="1" w:styleId="43">
    <w:name w:val="Heading 9 Char"/>
    <w:link w:val="10"/>
    <w:qFormat/>
    <w:uiPriority w:val="9"/>
    <w:rPr>
      <w:rFonts w:ascii="Arial" w:hAnsi="Arial" w:eastAsia="Arial" w:cs="Arial"/>
      <w:i/>
      <w:iCs/>
      <w:sz w:val="21"/>
      <w:szCs w:val="21"/>
    </w:rPr>
  </w:style>
  <w:style w:type="paragraph" w:styleId="44">
    <w:name w:val="List Paragraph"/>
    <w:basedOn w:val="1"/>
    <w:qFormat/>
    <w:uiPriority w:val="34"/>
    <w:pPr>
      <w:ind w:left="720"/>
      <w:contextualSpacing/>
    </w:pPr>
  </w:style>
  <w:style w:type="paragraph" w:styleId="45">
    <w:name w:val="No Spacing"/>
    <w:qFormat/>
    <w:uiPriority w:val="1"/>
    <w:pPr>
      <w:spacing w:before="0" w:after="0" w:line="240" w:lineRule="auto"/>
    </w:pPr>
    <w:rPr>
      <w:rFonts w:hint="default" w:ascii="Times New Roman" w:hAnsi="Times New Roman" w:eastAsia="宋体" w:cs="Times New Roman"/>
    </w:rPr>
  </w:style>
  <w:style w:type="character" w:customStyle="1" w:styleId="46">
    <w:name w:val="Title Char"/>
    <w:link w:val="28"/>
    <w:qFormat/>
    <w:uiPriority w:val="10"/>
    <w:rPr>
      <w:sz w:val="48"/>
      <w:szCs w:val="48"/>
    </w:rPr>
  </w:style>
  <w:style w:type="character" w:customStyle="1" w:styleId="47">
    <w:name w:val="Subtitle Char"/>
    <w:link w:val="22"/>
    <w:qFormat/>
    <w:uiPriority w:val="11"/>
    <w:rPr>
      <w:sz w:val="24"/>
      <w:szCs w:val="24"/>
    </w:rPr>
  </w:style>
  <w:style w:type="paragraph" w:styleId="48">
    <w:name w:val="Quote"/>
    <w:basedOn w:val="1"/>
    <w:next w:val="1"/>
    <w:link w:val="49"/>
    <w:qFormat/>
    <w:uiPriority w:val="29"/>
    <w:pPr>
      <w:ind w:left="720" w:right="720"/>
    </w:pPr>
    <w:rPr>
      <w:i/>
    </w:rPr>
  </w:style>
  <w:style w:type="character" w:customStyle="1" w:styleId="49">
    <w:name w:val="Quote Char"/>
    <w:link w:val="48"/>
    <w:qFormat/>
    <w:uiPriority w:val="29"/>
    <w:rPr>
      <w:i/>
    </w:rPr>
  </w:style>
  <w:style w:type="paragraph" w:styleId="50">
    <w:name w:val="Intense Quote"/>
    <w:basedOn w:val="1"/>
    <w:next w:val="1"/>
    <w:link w:val="51"/>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1">
    <w:name w:val="Intense Quote Char"/>
    <w:link w:val="50"/>
    <w:qFormat/>
    <w:uiPriority w:val="30"/>
    <w:rPr>
      <w:i/>
    </w:rPr>
  </w:style>
  <w:style w:type="character" w:customStyle="1" w:styleId="52">
    <w:name w:val="Header Char"/>
    <w:link w:val="19"/>
    <w:qFormat/>
    <w:uiPriority w:val="99"/>
  </w:style>
  <w:style w:type="character" w:customStyle="1" w:styleId="53">
    <w:name w:val="Footer Char"/>
    <w:link w:val="18"/>
    <w:qFormat/>
    <w:uiPriority w:val="99"/>
  </w:style>
  <w:style w:type="character" w:customStyle="1" w:styleId="54">
    <w:name w:val="Caption Char"/>
    <w:link w:val="18"/>
    <w:qFormat/>
    <w:uiPriority w:val="99"/>
  </w:style>
  <w:style w:type="table" w:customStyle="1" w:styleId="55">
    <w:name w:val="Table Grid Light"/>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56">
    <w:name w:val="Plain Table 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57">
    <w:name w:val="Plain Table 2"/>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58">
    <w:name w:val="Plain Table 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59">
    <w:name w:val="Plain Table 4"/>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0">
    <w:name w:val="Plain Table 5"/>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1">
    <w:name w:val="Grid Table 1 Light"/>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62">
    <w:name w:val="Grid Table 1 Light - Accent 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63">
    <w:name w:val="Grid Table 1 Light - Accent 2"/>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64">
    <w:name w:val="Grid Table 1 Light - Accent 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65">
    <w:name w:val="Grid Table 1 Light - Accent 4"/>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66">
    <w:name w:val="Grid Table 1 Light - Accent 5"/>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67">
    <w:name w:val="Grid Table 1 Light - Accent 6"/>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68">
    <w:name w:val="Grid Table 2"/>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69">
    <w:name w:val="Grid Table 2 - Accent 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0">
    <w:name w:val="Grid Table 2 - Accent 2"/>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71">
    <w:name w:val="Grid Table 2 - Accent 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72">
    <w:name w:val="Grid Table 2 - Accent 4"/>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73">
    <w:name w:val="Grid Table 2 - Accent 5"/>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74">
    <w:name w:val="Grid Table 2 - Accent 6"/>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75">
    <w:name w:val="Grid Table 3"/>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76">
    <w:name w:val="Grid Table 3 - Accent 1"/>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7">
    <w:name w:val="Grid Table 3 - Accent 2"/>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78">
    <w:name w:val="Grid Table 3 - Accent 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79">
    <w:name w:val="Grid Table 3 - Accent 4"/>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0">
    <w:name w:val="Grid Table 3 - Accent 5"/>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81">
    <w:name w:val="Grid Table 3 - Accent 6"/>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82">
    <w:name w:val="Grid Table 4"/>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83">
    <w:name w:val="Grid Table 4 - Accent 1"/>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84">
    <w:name w:val="Grid Table 4 - Accent 2"/>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85">
    <w:name w:val="Grid Table 4 - Accent 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86">
    <w:name w:val="Grid Table 4 - Accent 4"/>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7">
    <w:name w:val="Grid Table 4 - Accent 5"/>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88">
    <w:name w:val="Grid Table 4 - Accent 6"/>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89">
    <w:name w:val="Grid Table 5 Dark"/>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90">
    <w:name w:val="Grid Table 5 Dark- Accent 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91">
    <w:name w:val="Grid Table 5 Dark - Accent 2"/>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92">
    <w:name w:val="Grid Table 5 Dark - Accent 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93">
    <w:name w:val="Grid Table 5 Dark- Accent 4"/>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94">
    <w:name w:val="Grid Table 5 Dark - Accent 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95">
    <w:name w:val="Grid Table 5 Dark - Accent 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96">
    <w:name w:val="Grid Table 6 Colorful"/>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97">
    <w:name w:val="Grid Table 6 Colorful - Accent 1"/>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98">
    <w:name w:val="Grid Table 6 Colorful - Accent 2"/>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99">
    <w:name w:val="Grid Table 6 Colorful - Accent 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0">
    <w:name w:val="Grid Table 6 Colorful - Accent 4"/>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1">
    <w:name w:val="Grid Table 6 Colorful - Accent 5"/>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2">
    <w:name w:val="Grid Table 6 Colorful - Accent 6"/>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3">
    <w:name w:val="Grid Table 7 Colorful"/>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04">
    <w:name w:val="Grid Table 7 Colorful - Accent 1"/>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05">
    <w:name w:val="Grid Table 7 Colorful - Accent 2"/>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6">
    <w:name w:val="Grid Table 7 Colorful - Accent 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7">
    <w:name w:val="Grid Table 7 Colorful - Accent 4"/>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8">
    <w:name w:val="Grid Table 7 Colorful - Accent 5"/>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9">
    <w:name w:val="Grid Table 7 Colorful - Accent 6"/>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tblStylePr w:type="neCell"/>
    <w:tblStylePr w:type="nwCell"/>
    <w:tblStylePr w:type="seCell"/>
    <w:tblStylePr w:type="swCell"/>
  </w:style>
  <w:style w:type="table" w:customStyle="1" w:styleId="110">
    <w:name w:val="List Table 1 Light"/>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1">
    <w:name w:val="List Table 1 Light - Accent 1"/>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2">
    <w:name w:val="List Table 1 Light - Accent 2"/>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3">
    <w:name w:val="List Table 1 Light - Accent 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4">
    <w:name w:val="List Table 1 Light - Accent 4"/>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15">
    <w:name w:val="List Table 1 Light - Accent 5"/>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16">
    <w:name w:val="List Table 1 Light - Accent 6"/>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17">
    <w:name w:val="List Table 2"/>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8">
    <w:name w:val="List Table 2 - Accent 1"/>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9">
    <w:name w:val="List Table 2 - Accent 2"/>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20">
    <w:name w:val="List Table 2 - Accent 3"/>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21">
    <w:name w:val="List Table 2 - Accent 4"/>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22">
    <w:name w:val="List Table 2 - Accent 5"/>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23">
    <w:name w:val="List Table 2 - Accent 6"/>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24">
    <w:name w:val="List Table 3"/>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25">
    <w:name w:val="List Table 3 - Accent 1"/>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26">
    <w:name w:val="List Table 3 - Accent 2"/>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27">
    <w:name w:val="List Table 3 - Accent 3"/>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28">
    <w:name w:val="List Table 3 - Accent 4"/>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29">
    <w:name w:val="List Table 3 - Accent 5"/>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30">
    <w:name w:val="List Table 3 - Accent 6"/>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31">
    <w:name w:val="List Table 4"/>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32">
    <w:name w:val="List Table 4 - Accent 1"/>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33">
    <w:name w:val="List Table 4 - Accent 2"/>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34">
    <w:name w:val="List Table 4 - Accent 3"/>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35">
    <w:name w:val="List Table 4 - Accent 4"/>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36">
    <w:name w:val="List Table 4 - Accent 5"/>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37">
    <w:name w:val="List Table 4 - Accent 6"/>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38">
    <w:name w:val="List Table 5 Dark"/>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39">
    <w:name w:val="List Table 5 Dark - Accent 1"/>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40">
    <w:name w:val="List Table 5 Dark - Accent 2"/>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41">
    <w:name w:val="List Table 5 Dark - Accent 3"/>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42">
    <w:name w:val="List Table 5 Dark - Accent 4"/>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43">
    <w:name w:val="List Table 5 Dark - Accent 5"/>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44">
    <w:name w:val="List Table 5 Dark - Accent 6"/>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45">
    <w:name w:val="List Table 6 Colorful"/>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46">
    <w:name w:val="List Table 6 Colorful - Accent 1"/>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47">
    <w:name w:val="List Table 6 Colorful - Accent 2"/>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48">
    <w:name w:val="List Table 6 Colorful - Accent 3"/>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49">
    <w:name w:val="List Table 6 Colorful - Accent 4"/>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0">
    <w:name w:val="List Table 6 Colorful - Accent 5"/>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1">
    <w:name w:val="List Table 6 Colorful - Accent 6"/>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2">
    <w:name w:val="List Table 7 Colorful"/>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53">
    <w:name w:val="List Table 7 Colorful - Accent 1"/>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54">
    <w:name w:val="List Table 7 Colorful - Accent 2"/>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5">
    <w:name w:val="List Table 7 Colorful - Accent 3"/>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6">
    <w:name w:val="List Table 7 Colorful - Accent 4"/>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7">
    <w:name w:val="List Table 7 Colorful - Accent 5"/>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8">
    <w:name w:val="List Table 7 Colorful - Accent 6"/>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9">
    <w:name w:val="Lined - Accent"/>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0">
    <w:name w:val="Lined - Accent 1"/>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61">
    <w:name w:val="Lined - Accent 2"/>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62">
    <w:name w:val="Lined - Accent 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63">
    <w:name w:val="Lined - Accent 4"/>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64">
    <w:name w:val="Lined - Accent 5"/>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65">
    <w:name w:val="Lined - Accent 6"/>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66">
    <w:name w:val="Bordered &amp; Lined - Accent"/>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7">
    <w:name w:val="Bordered &amp; Lined - Accent 1"/>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68">
    <w:name w:val="Bordered &amp; Lined - Accent 2"/>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69">
    <w:name w:val="Bordered &amp; Lined - Accent 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70">
    <w:name w:val="Bordered &amp; Lined - Accent 4"/>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71">
    <w:name w:val="Bordered &amp; Lined - Accent 5"/>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72">
    <w:name w:val="Bordered &amp; Lined - Accent 6"/>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73">
    <w:name w:val="Bordered"/>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74">
    <w:name w:val="Bordered - Accent 1"/>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75">
    <w:name w:val="Bordered - Accent 2"/>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76">
    <w:name w:val="Bordered - Accent 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77">
    <w:name w:val="Bordered - Accent 4"/>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78">
    <w:name w:val="Bordered - Accent 5"/>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79">
    <w:name w:val="Bordered - Accent 6"/>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80">
    <w:name w:val="Footnote Text Char"/>
    <w:link w:val="23"/>
    <w:qFormat/>
    <w:uiPriority w:val="99"/>
    <w:rPr>
      <w:sz w:val="18"/>
    </w:rPr>
  </w:style>
  <w:style w:type="character" w:customStyle="1" w:styleId="181">
    <w:name w:val="Endnote Text Char"/>
    <w:link w:val="17"/>
    <w:qFormat/>
    <w:uiPriority w:val="99"/>
    <w:rPr>
      <w:sz w:val="20"/>
    </w:rPr>
  </w:style>
  <w:style w:type="paragraph" w:customStyle="1" w:styleId="182">
    <w:name w:val="TOC Heading"/>
    <w:unhideWhenUsed/>
    <w:qFormat/>
    <w:uiPriority w:val="39"/>
    <w:rPr>
      <w:rFonts w:hint="default" w:ascii="Times New Roman" w:hAnsi="Times New Roman" w:eastAsia="宋体" w:cs="Times New Roman"/>
    </w:rPr>
  </w:style>
  <w:style w:type="character" w:customStyle="1" w:styleId="183">
    <w:name w:val="默认段落字体1"/>
    <w:link w:val="1"/>
    <w:semiHidden/>
    <w:qFormat/>
    <w:uiPriority w:val="0"/>
  </w:style>
  <w:style w:type="table" w:customStyle="1" w:styleId="184">
    <w:name w:val="普通表格1"/>
    <w:semiHidden/>
    <w:qFormat/>
    <w:uiPriority w:val="0"/>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185">
    <w:name w:val="普通(网站)1"/>
    <w:basedOn w:val="1"/>
    <w:qFormat/>
    <w:uiPriority w:val="0"/>
    <w:pPr>
      <w:spacing w:before="100" w:beforeAutospacing="1" w:after="100" w:afterAutospacing="1"/>
      <w:ind w:left="0" w:right="0"/>
      <w:jc w:val="left"/>
    </w:pPr>
    <w:rPr>
      <w:sz w:val="24"/>
      <w:lang w:val="en-US" w:eastAsia="zh-CN" w:bidi="ar"/>
    </w:rPr>
  </w:style>
  <w:style w:type="paragraph" w:customStyle="1" w:styleId="186">
    <w:name w:val="列表段落1"/>
    <w:basedOn w:val="1"/>
    <w:qFormat/>
    <w:uiPriority w:val="99"/>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dc:creator>
  <cp:lastModifiedBy>叶贤蔚</cp:lastModifiedBy>
  <dcterms:modified xsi:type="dcterms:W3CDTF">2025-05-05T12:37:59Z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21F7F13FCED549D19DF37522B5896FD2</vt:lpwstr>
  </property>
</Properties>
</file>