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pacing w:after="0"/>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8"/>
        <w:keepNext w:val="0"/>
        <w:keepLines w:val="0"/>
        <w:pageBreakBefore w:val="0"/>
        <w:widowControl w:val="0"/>
        <w:kinsoku/>
        <w:wordWrap/>
        <w:overflowPunct/>
        <w:topLinePunct w:val="0"/>
        <w:autoSpaceDE/>
        <w:autoSpaceDN/>
        <w:bidi w:val="0"/>
        <w:adjustRightInd/>
        <w:spacing w:after="0" w:line="430" w:lineRule="exact"/>
        <w:ind w:left="640" w:right="160" w:firstLine="0" w:firstLineChars="0"/>
        <w:jc w:val="right"/>
        <w:textAlignment w:val="auto"/>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154</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pStyle w:val="8"/>
        <w:keepNext w:val="0"/>
        <w:keepLines w:val="0"/>
        <w:pageBreakBefore w:val="0"/>
        <w:widowControl w:val="0"/>
        <w:kinsoku/>
        <w:wordWrap/>
        <w:overflowPunct/>
        <w:topLinePunct w:val="0"/>
        <w:autoSpaceDE w:val="0"/>
        <w:autoSpaceDN w:val="0"/>
        <w:bidi w:val="0"/>
        <w:adjustRightInd w:val="0"/>
        <w:snapToGrid/>
        <w:spacing w:line="500" w:lineRule="atLeast"/>
        <w:ind w:firstLine="640"/>
        <w:jc w:val="left"/>
        <w:textAlignment w:val="auto"/>
        <w:rPr>
          <w:rFonts w:hint="default" w:ascii="仿宋_GB2312"/>
          <w:szCs w:val="32"/>
          <w:lang w:val="en-US" w:eastAsia="zh-CN"/>
        </w:rPr>
      </w:pPr>
      <w:r>
        <w:rPr>
          <w:rFonts w:hint="eastAsia" w:ascii="仿宋_GB2312"/>
          <w:szCs w:val="32"/>
          <w:lang w:val="en-US" w:eastAsia="zh-CN"/>
        </w:rPr>
        <w:t>罪犯陈良栋，男，1987年5月10日出生，汉族，初中文化，住福建省福州市长乐区</w:t>
      </w:r>
      <w:bookmarkStart w:id="0" w:name="_GoBack"/>
      <w:bookmarkEnd w:id="0"/>
      <w:r>
        <w:rPr>
          <w:rFonts w:hint="eastAsia" w:ascii="仿宋_GB2312"/>
          <w:szCs w:val="32"/>
          <w:lang w:val="en-US" w:eastAsia="zh-CN"/>
        </w:rPr>
        <w:t>，捕前系无固定职业。</w:t>
      </w:r>
    </w:p>
    <w:p>
      <w:pPr>
        <w:pStyle w:val="8"/>
        <w:keepNext w:val="0"/>
        <w:keepLines w:val="0"/>
        <w:pageBreakBefore w:val="0"/>
        <w:widowControl w:val="0"/>
        <w:kinsoku/>
        <w:wordWrap/>
        <w:overflowPunct/>
        <w:topLinePunct w:val="0"/>
        <w:autoSpaceDE w:val="0"/>
        <w:autoSpaceDN w:val="0"/>
        <w:bidi w:val="0"/>
        <w:adjustRightInd w:val="0"/>
        <w:snapToGrid/>
        <w:spacing w:line="500" w:lineRule="atLeast"/>
        <w:ind w:firstLine="640"/>
        <w:jc w:val="left"/>
        <w:textAlignment w:val="auto"/>
        <w:rPr>
          <w:rFonts w:hint="default" w:ascii="仿宋_GB2312"/>
          <w:szCs w:val="32"/>
          <w:lang w:val="en-US" w:eastAsia="zh-CN"/>
        </w:rPr>
      </w:pPr>
      <w:r>
        <w:rPr>
          <w:rFonts w:hint="eastAsia" w:ascii="仿宋_GB2312"/>
          <w:szCs w:val="32"/>
          <w:lang w:val="en-US" w:eastAsia="zh-CN"/>
        </w:rPr>
        <w:t>福建省福州市长乐区人民法院于2023年12月18日作出（2023）闽0112刑初445号刑事判决，以被告人陈良栋犯开设赌场罪，判处有期徒刑二年三个月，并处罚金人民币三万元，退出的犯罪所得人民币50000元予以没收，上缴国库。宣判后，同案被告人不服，提出上诉。福建省福州市中级人民法院于2024年3月18日作出（2024）闽01刑终206号刑释裁定：驳回上诉，维持原判。刑期自2023年12月13日起至2025年11月18日止。2024年4月23日</w:t>
      </w:r>
      <w:r>
        <w:rPr>
          <w:rFonts w:hint="eastAsia" w:ascii="仿宋_GB2312"/>
          <w:szCs w:val="32"/>
          <w:highlight w:val="none"/>
          <w:lang w:val="en-US" w:eastAsia="zh-CN"/>
        </w:rPr>
        <w:t>交付福建省未成年犯管教所执行刑罚。属普管级</w:t>
      </w:r>
      <w:r>
        <w:rPr>
          <w:rFonts w:hint="eastAsia" w:ascii="仿宋_GB2312" w:hAnsi="仿宋_GB2312" w:cs="仿宋_GB2312"/>
          <w:szCs w:val="32"/>
          <w:highlight w:val="none"/>
          <w:lang w:val="en-US" w:eastAsia="zh-CN"/>
        </w:rPr>
        <w:t>罪犯</w:t>
      </w:r>
      <w:r>
        <w:rPr>
          <w:rFonts w:hint="eastAsia" w:ascii="仿宋_GB2312" w:hAnsi="仿宋" w:cs="宋体"/>
          <w:szCs w:val="32"/>
          <w:highlight w:val="none"/>
          <w:lang w:val="zh-CN"/>
        </w:rPr>
        <w:t>。</w:t>
      </w: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该犯</w:t>
      </w:r>
      <w:r>
        <w:rPr>
          <w:rFonts w:hint="eastAsia" w:ascii="仿宋_GB2312" w:hAnsi="Times New Roman" w:eastAsia="仿宋_GB2312" w:cs="Times New Roman"/>
          <w:kern w:val="32"/>
          <w:sz w:val="32"/>
          <w:szCs w:val="32"/>
          <w:lang w:val="zh-CN" w:eastAsia="zh-CN" w:bidi="ar-SA"/>
        </w:rPr>
        <w:t>自</w:t>
      </w:r>
      <w:r>
        <w:rPr>
          <w:rFonts w:hint="eastAsia" w:ascii="仿宋_GB2312" w:hAnsi="Times New Roman" w:eastAsia="仿宋_GB2312" w:cs="Times New Roman"/>
          <w:kern w:val="32"/>
          <w:sz w:val="32"/>
          <w:szCs w:val="32"/>
          <w:lang w:val="en-US" w:eastAsia="zh-CN" w:bidi="ar-SA"/>
        </w:rPr>
        <w:t>入监</w:t>
      </w:r>
      <w:r>
        <w:rPr>
          <w:rFonts w:hint="eastAsia" w:ascii="仿宋_GB2312" w:hAnsi="Times New Roman" w:eastAsia="仿宋_GB2312" w:cs="Times New Roman"/>
          <w:kern w:val="32"/>
          <w:sz w:val="32"/>
          <w:szCs w:val="32"/>
          <w:lang w:val="zh-CN" w:eastAsia="zh-CN" w:bidi="ar-SA"/>
        </w:rPr>
        <w:t>以来</w:t>
      </w:r>
      <w:r>
        <w:rPr>
          <w:rFonts w:hint="eastAsia" w:ascii="仿宋_GB2312" w:hAnsi="Times New Roman" w:eastAsia="仿宋_GB2312" w:cs="Times New Roman"/>
          <w:kern w:val="32"/>
          <w:sz w:val="32"/>
          <w:szCs w:val="32"/>
          <w:lang w:val="en-US" w:eastAsia="zh-CN" w:bidi="ar-SA"/>
        </w:rPr>
        <w:t>确有悔改表现，具体事实如下：</w:t>
      </w:r>
    </w:p>
    <w:p>
      <w:pPr>
        <w:pStyle w:val="8"/>
        <w:keepNext w:val="0"/>
        <w:keepLines w:val="0"/>
        <w:pageBreakBefore w:val="0"/>
        <w:widowControl w:val="0"/>
        <w:kinsoku/>
        <w:wordWrap/>
        <w:overflowPunct/>
        <w:topLinePunct w:val="0"/>
        <w:autoSpaceDE w:val="0"/>
        <w:autoSpaceDN w:val="0"/>
        <w:bidi w:val="0"/>
        <w:adjustRightInd w:val="0"/>
        <w:snapToGrid/>
        <w:spacing w:line="500" w:lineRule="atLeast"/>
        <w:ind w:firstLine="64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zh-CN" w:eastAsia="zh-CN" w:bidi="ar-SA"/>
        </w:rPr>
        <w:t>1.</w:t>
      </w:r>
      <w:r>
        <w:rPr>
          <w:rFonts w:hint="eastAsia" w:ascii="仿宋_GB2312" w:hAnsi="Times New Roman" w:eastAsia="仿宋_GB2312" w:cs="Times New Roman"/>
          <w:kern w:val="32"/>
          <w:sz w:val="32"/>
          <w:szCs w:val="32"/>
          <w:lang w:val="en-US" w:eastAsia="zh-CN" w:bidi="ar-SA"/>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napToGrid/>
        <w:spacing w:line="500" w:lineRule="atLeast"/>
        <w:ind w:firstLine="64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2.遵守监规</w:t>
      </w:r>
      <w:r>
        <w:rPr>
          <w:rFonts w:hint="eastAsia" w:ascii="仿宋_GB2312" w:hAnsi="Times New Roman" w:eastAsia="仿宋_GB2312" w:cs="Times New Roman"/>
          <w:kern w:val="32"/>
          <w:sz w:val="32"/>
          <w:szCs w:val="32"/>
          <w:lang w:val="zh-CN" w:eastAsia="zh-CN" w:bidi="ar-SA"/>
        </w:rPr>
        <w:t>：能遵守法律法规及监规纪律，接受教育改造</w:t>
      </w:r>
      <w:r>
        <w:rPr>
          <w:rFonts w:hint="eastAsia" w:ascii="仿宋_GB2312" w:cs="Times New Roman"/>
          <w:kern w:val="32"/>
          <w:sz w:val="32"/>
          <w:szCs w:val="32"/>
          <w:lang w:val="zh-CN" w:eastAsia="zh-CN" w:bidi="ar-SA"/>
        </w:rPr>
        <w:t>。</w:t>
      </w:r>
    </w:p>
    <w:p>
      <w:pPr>
        <w:pStyle w:val="8"/>
        <w:keepNext w:val="0"/>
        <w:keepLines w:val="0"/>
        <w:pageBreakBefore w:val="0"/>
        <w:widowControl w:val="0"/>
        <w:kinsoku/>
        <w:wordWrap/>
        <w:overflowPunct/>
        <w:topLinePunct w:val="0"/>
        <w:autoSpaceDE w:val="0"/>
        <w:autoSpaceDN w:val="0"/>
        <w:bidi w:val="0"/>
        <w:adjustRightInd w:val="0"/>
        <w:snapToGrid/>
        <w:spacing w:line="500" w:lineRule="atLeast"/>
        <w:ind w:left="640" w:firstLine="0" w:firstLineChars="0"/>
        <w:jc w:val="left"/>
        <w:textAlignment w:val="auto"/>
        <w:rPr>
          <w:rFonts w:hint="eastAsia" w:ascii="仿宋_GB2312" w:hAnsi="Times New Roman" w:eastAsia="仿宋_GB2312" w:cs="Times New Roman"/>
          <w:kern w:val="32"/>
          <w:sz w:val="32"/>
          <w:szCs w:val="32"/>
          <w:lang w:val="zh-CN" w:eastAsia="zh-CN" w:bidi="ar-SA"/>
        </w:rPr>
      </w:pPr>
      <w:r>
        <w:rPr>
          <w:rFonts w:hint="eastAsia" w:ascii="仿宋_GB2312" w:hAnsi="Times New Roman" w:eastAsia="仿宋_GB2312" w:cs="Times New Roman"/>
          <w:kern w:val="32"/>
          <w:sz w:val="32"/>
          <w:szCs w:val="32"/>
          <w:lang w:val="zh-CN" w:eastAsia="zh-CN" w:bidi="ar-SA"/>
        </w:rPr>
        <w:t>3.学习情况：能参加</w:t>
      </w:r>
      <w:r>
        <w:rPr>
          <w:rFonts w:hint="eastAsia" w:ascii="仿宋_GB2312" w:hAnsi="Times New Roman" w:eastAsia="仿宋_GB2312" w:cs="Times New Roman"/>
          <w:kern w:val="32"/>
          <w:sz w:val="32"/>
          <w:szCs w:val="32"/>
          <w:lang w:val="en-US" w:eastAsia="zh-CN" w:bidi="ar-SA"/>
        </w:rPr>
        <w:t>思想、文化、职业技术教育</w:t>
      </w:r>
      <w:r>
        <w:rPr>
          <w:rFonts w:hint="eastAsia" w:ascii="仿宋_GB2312" w:hAnsi="Times New Roman" w:eastAsia="仿宋_GB2312" w:cs="Times New Roman"/>
          <w:kern w:val="32"/>
          <w:sz w:val="32"/>
          <w:szCs w:val="32"/>
          <w:lang w:val="zh-CN" w:eastAsia="zh-CN" w:bidi="ar-SA"/>
        </w:rPr>
        <w:t>。</w:t>
      </w:r>
    </w:p>
    <w:p>
      <w:pPr>
        <w:pStyle w:val="8"/>
        <w:keepNext w:val="0"/>
        <w:keepLines w:val="0"/>
        <w:pageBreakBefore w:val="0"/>
        <w:widowControl w:val="0"/>
        <w:kinsoku/>
        <w:wordWrap/>
        <w:overflowPunct/>
        <w:topLinePunct w:val="0"/>
        <w:bidi w:val="0"/>
        <w:snapToGrid/>
        <w:spacing w:line="500" w:lineRule="atLeast"/>
        <w:ind w:firstLine="640"/>
        <w:jc w:val="left"/>
        <w:textAlignment w:val="auto"/>
        <w:rPr>
          <w:rFonts w:hint="eastAsia" w:ascii="仿宋_GB2312" w:hAnsi="Times New Roman" w:eastAsia="仿宋_GB2312" w:cs="Times New Roman"/>
          <w:kern w:val="32"/>
          <w:sz w:val="32"/>
          <w:szCs w:val="32"/>
          <w:lang w:val="zh-CN" w:eastAsia="zh-CN" w:bidi="ar-SA"/>
        </w:rPr>
      </w:pPr>
      <w:r>
        <w:rPr>
          <w:rFonts w:hint="eastAsia" w:ascii="仿宋_GB2312" w:hAnsi="Times New Roman" w:eastAsia="仿宋_GB2312" w:cs="Times New Roman"/>
          <w:kern w:val="32"/>
          <w:sz w:val="32"/>
          <w:szCs w:val="32"/>
          <w:lang w:val="zh-CN" w:eastAsia="zh-CN" w:bidi="ar-SA"/>
        </w:rPr>
        <w:t>4.劳动改造：能参加劳动，努力完成</w:t>
      </w:r>
      <w:r>
        <w:rPr>
          <w:rFonts w:hint="eastAsia" w:ascii="仿宋_GB2312" w:hAnsi="Times New Roman" w:eastAsia="仿宋_GB2312" w:cs="Times New Roman"/>
          <w:kern w:val="32"/>
          <w:sz w:val="32"/>
          <w:szCs w:val="32"/>
          <w:lang w:val="en-US" w:eastAsia="zh-CN" w:bidi="ar-SA"/>
        </w:rPr>
        <w:t>劳动</w:t>
      </w:r>
      <w:r>
        <w:rPr>
          <w:rFonts w:hint="eastAsia" w:ascii="仿宋_GB2312" w:hAnsi="Times New Roman" w:eastAsia="仿宋_GB2312" w:cs="Times New Roman"/>
          <w:kern w:val="32"/>
          <w:sz w:val="32"/>
          <w:szCs w:val="32"/>
          <w:lang w:val="zh-CN" w:eastAsia="zh-CN" w:bidi="ar-SA"/>
        </w:rPr>
        <w:t>任务。</w:t>
      </w: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仿宋_GB2312" w:cs="仿宋_GB2312"/>
          <w:bCs/>
          <w:color w:val="auto"/>
          <w:sz w:val="32"/>
          <w:szCs w:val="32"/>
          <w:highlight w:val="none"/>
          <w:lang w:val="en-US" w:eastAsia="zh-CN"/>
        </w:rPr>
      </w:pPr>
      <w:r>
        <w:rPr>
          <w:rFonts w:hint="eastAsia" w:ascii="仿宋_GB2312" w:hAnsi="Times New Roman" w:eastAsia="仿宋_GB2312" w:cs="Times New Roman"/>
          <w:kern w:val="32"/>
          <w:sz w:val="32"/>
          <w:szCs w:val="32"/>
          <w:lang w:val="zh-CN" w:eastAsia="zh-CN" w:bidi="ar-SA"/>
        </w:rPr>
        <w:t>5.奖惩情况</w:t>
      </w:r>
      <w:r>
        <w:rPr>
          <w:rFonts w:hint="eastAsia" w:ascii="仿宋_GB2312" w:cs="Times New Roman"/>
          <w:kern w:val="32"/>
          <w:sz w:val="32"/>
          <w:szCs w:val="32"/>
          <w:lang w:val="zh-CN" w:eastAsia="zh-CN" w:bidi="ar-SA"/>
        </w:rPr>
        <w:t>：</w:t>
      </w:r>
      <w:r>
        <w:rPr>
          <w:rFonts w:hint="eastAsia" w:ascii="仿宋_GB2312" w:cs="Times New Roman"/>
          <w:kern w:val="32"/>
          <w:sz w:val="32"/>
          <w:szCs w:val="32"/>
          <w:highlight w:val="none"/>
          <w:lang w:val="en-US" w:eastAsia="zh-CN" w:bidi="ar-SA"/>
        </w:rPr>
        <w:t>该犯考核期2024年4月23日至2025年3月31日累计</w:t>
      </w:r>
      <w:r>
        <w:rPr>
          <w:rFonts w:hint="eastAsia" w:ascii="仿宋_GB2312" w:hAnsi="仿宋_GB2312" w:cs="仿宋_GB2312"/>
          <w:bCs/>
          <w:color w:val="auto"/>
          <w:sz w:val="32"/>
          <w:szCs w:val="32"/>
          <w:highlight w:val="none"/>
        </w:rPr>
        <w:t>获</w:t>
      </w:r>
      <w:r>
        <w:rPr>
          <w:rFonts w:hint="eastAsia" w:ascii="仿宋_GB2312" w:hAnsi="仿宋_GB2312" w:cs="仿宋_GB2312"/>
          <w:bCs/>
          <w:color w:val="auto"/>
          <w:sz w:val="32"/>
          <w:szCs w:val="32"/>
          <w:highlight w:val="none"/>
          <w:lang w:val="en-US" w:eastAsia="zh-CN"/>
        </w:rPr>
        <w:t>947.5</w:t>
      </w:r>
      <w:r>
        <w:rPr>
          <w:rFonts w:hint="eastAsia" w:ascii="仿宋_GB2312" w:hAnsi="仿宋_GB2312" w:cs="仿宋_GB2312"/>
          <w:bCs/>
          <w:color w:val="auto"/>
          <w:sz w:val="32"/>
          <w:szCs w:val="32"/>
          <w:highlight w:val="none"/>
        </w:rPr>
        <w:t>分，</w:t>
      </w:r>
      <w:r>
        <w:rPr>
          <w:rFonts w:hint="eastAsia" w:ascii="仿宋_GB2312" w:hAnsi="仿宋_GB2312" w:cs="仿宋_GB2312"/>
          <w:bCs/>
          <w:color w:val="auto"/>
          <w:sz w:val="32"/>
          <w:szCs w:val="32"/>
          <w:highlight w:val="none"/>
          <w:lang w:val="en-US" w:eastAsia="zh-CN"/>
        </w:rPr>
        <w:t>物质奖励1</w:t>
      </w:r>
      <w:r>
        <w:rPr>
          <w:rFonts w:hint="eastAsia" w:ascii="仿宋_GB2312" w:hAnsi="仿宋_GB2312" w:cs="仿宋_GB2312"/>
          <w:bCs/>
          <w:color w:val="auto"/>
          <w:sz w:val="32"/>
          <w:szCs w:val="32"/>
          <w:highlight w:val="none"/>
        </w:rPr>
        <w:t>次</w:t>
      </w:r>
      <w:r>
        <w:rPr>
          <w:rFonts w:hint="eastAsia" w:ascii="仿宋_GB2312" w:hAnsi="仿宋_GB2312" w:cs="仿宋_GB2312"/>
          <w:bCs/>
          <w:color w:val="auto"/>
          <w:sz w:val="32"/>
          <w:szCs w:val="32"/>
          <w:highlight w:val="none"/>
          <w:lang w:eastAsia="zh-CN"/>
        </w:rPr>
        <w:t>；</w:t>
      </w:r>
      <w:r>
        <w:rPr>
          <w:rFonts w:hint="eastAsia" w:ascii="仿宋_GB2312" w:hAnsi="仿宋_GB2312" w:cs="仿宋_GB2312"/>
          <w:bCs/>
          <w:color w:val="auto"/>
          <w:sz w:val="32"/>
          <w:szCs w:val="32"/>
          <w:highlight w:val="none"/>
        </w:rPr>
        <w:t>考核期内</w:t>
      </w:r>
      <w:r>
        <w:rPr>
          <w:rFonts w:hint="eastAsia" w:ascii="仿宋_GB2312" w:hAnsi="仿宋_GB2312" w:cs="仿宋_GB2312"/>
          <w:bCs/>
          <w:color w:val="auto"/>
          <w:sz w:val="32"/>
          <w:szCs w:val="32"/>
          <w:highlight w:val="none"/>
          <w:lang w:val="en-US" w:eastAsia="zh-CN"/>
        </w:rPr>
        <w:t>无违规扣分。</w:t>
      </w: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仿宋_GB2312" w:cs="仿宋_GB2312"/>
          <w:bCs/>
          <w:color w:val="auto"/>
          <w:szCs w:val="32"/>
          <w:highlight w:val="none"/>
          <w:lang w:val="en-US" w:eastAsia="zh-CN"/>
        </w:rPr>
      </w:pPr>
      <w:r>
        <w:rPr>
          <w:rFonts w:hint="eastAsia" w:ascii="仿宋_GB2312" w:hAnsi="仿宋_GB2312" w:cs="仿宋_GB2312"/>
          <w:bCs/>
          <w:color w:val="auto"/>
          <w:szCs w:val="32"/>
          <w:highlight w:val="none"/>
          <w:lang w:val="en-US" w:eastAsia="zh-CN"/>
        </w:rPr>
        <w:t>6.原判财产性判项：罚金人民币30000元，退出犯罪所得人民币50000元。该犯在判决前已退出犯罪所得人民币50000元，本考核期向福建省福州市长乐区人民法院缴纳罚金人民币30000元，已全部履行完毕。福建省福州市长乐区人民法院出具缴款凭证及履行债务证明书予以证实。</w:t>
      </w:r>
    </w:p>
    <w:p>
      <w:pPr>
        <w:pStyle w:val="8"/>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仿宋_GB2312"/>
          <w:szCs w:val="32"/>
          <w:lang w:val="en-US" w:eastAsia="zh-CN"/>
        </w:rPr>
      </w:pPr>
      <w:r>
        <w:rPr>
          <w:rFonts w:hint="eastAsia" w:ascii="仿宋_GB2312"/>
          <w:szCs w:val="32"/>
          <w:lang w:val="en-US" w:eastAsia="zh-CN"/>
        </w:rPr>
        <w:t>本案于2025年6月24日至2025年6月30日在狱内公示未收到不同意见。</w:t>
      </w: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因此，依照《中华人民共和国刑法》第七十八条、第七十九条《中华人民共和国刑事诉讼法》第二百七十三条第二款、《中华人民共和国监狱法》第二十九条的规定，建议对罪犯</w:t>
      </w:r>
      <w:r>
        <w:rPr>
          <w:rFonts w:hint="eastAsia" w:ascii="仿宋_GB2312" w:cs="Times New Roman"/>
          <w:kern w:val="32"/>
          <w:sz w:val="32"/>
          <w:szCs w:val="32"/>
          <w:lang w:val="en-US" w:eastAsia="zh-CN" w:bidi="ar-SA"/>
        </w:rPr>
        <w:t>陈良栋</w:t>
      </w:r>
      <w:r>
        <w:rPr>
          <w:rFonts w:hint="eastAsia" w:ascii="仿宋_GB2312" w:hAnsi="Times New Roman" w:eastAsia="仿宋_GB2312" w:cs="Times New Roman"/>
          <w:kern w:val="32"/>
          <w:sz w:val="32"/>
          <w:szCs w:val="32"/>
          <w:lang w:val="en-US" w:eastAsia="zh-CN" w:bidi="ar-SA"/>
        </w:rPr>
        <w:t>予以减刑</w:t>
      </w:r>
      <w:r>
        <w:rPr>
          <w:rFonts w:hint="eastAsia" w:ascii="仿宋_GB2312" w:cs="Times New Roman"/>
          <w:kern w:val="32"/>
          <w:sz w:val="32"/>
          <w:szCs w:val="32"/>
          <w:lang w:val="en-US" w:eastAsia="zh-CN" w:bidi="ar-SA"/>
        </w:rPr>
        <w:t>二</w:t>
      </w:r>
      <w:r>
        <w:rPr>
          <w:rFonts w:hint="eastAsia" w:ascii="仿宋_GB2312" w:hAnsi="Times New Roman" w:eastAsia="仿宋_GB2312" w:cs="Times New Roman"/>
          <w:kern w:val="32"/>
          <w:sz w:val="32"/>
          <w:szCs w:val="32"/>
          <w:lang w:val="en-US" w:eastAsia="zh-CN" w:bidi="ar-SA"/>
        </w:rPr>
        <w:t>个月。特提请你院审理裁定。</w:t>
      </w:r>
    </w:p>
    <w:p>
      <w:pPr>
        <w:pStyle w:val="2"/>
        <w:keepNext w:val="0"/>
        <w:keepLines w:val="0"/>
        <w:pageBreakBefore w:val="0"/>
        <w:widowControl w:val="0"/>
        <w:kinsoku/>
        <w:wordWrap/>
        <w:overflowPunct/>
        <w:topLinePunct w:val="0"/>
        <w:bidi w:val="0"/>
        <w:snapToGrid/>
        <w:spacing w:line="500" w:lineRule="atLeast"/>
        <w:ind w:right="-48" w:rightChars="-15" w:firstLine="640" w:firstLineChars="20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此致</w:t>
      </w:r>
    </w:p>
    <w:p>
      <w:pPr>
        <w:pStyle w:val="8"/>
        <w:keepNext w:val="0"/>
        <w:keepLines w:val="0"/>
        <w:pageBreakBefore w:val="0"/>
        <w:widowControl w:val="0"/>
        <w:kinsoku/>
        <w:wordWrap/>
        <w:overflowPunct/>
        <w:topLinePunct w:val="0"/>
        <w:bidi w:val="0"/>
        <w:snapToGrid/>
        <w:spacing w:line="500" w:lineRule="atLeast"/>
        <w:ind w:right="-48" w:rightChars="-15" w:firstLine="0" w:firstLineChars="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福建省福州市中级人民法院</w:t>
      </w:r>
    </w:p>
    <w:p>
      <w:pPr>
        <w:pStyle w:val="8"/>
        <w:keepNext w:val="0"/>
        <w:keepLines w:val="0"/>
        <w:pageBreakBefore w:val="0"/>
        <w:widowControl w:val="0"/>
        <w:kinsoku/>
        <w:wordWrap/>
        <w:overflowPunct/>
        <w:topLinePunct w:val="0"/>
        <w:bidi w:val="0"/>
        <w:snapToGrid/>
        <w:spacing w:line="500" w:lineRule="atLeast"/>
        <w:ind w:left="640" w:firstLine="0" w:firstLineChars="0"/>
        <w:jc w:val="left"/>
        <w:textAlignment w:val="auto"/>
        <w:rPr>
          <w:rFonts w:hint="eastAsia" w:ascii="仿宋_GB2312" w:hAnsi="Times New Roman" w:eastAsia="仿宋_GB2312" w:cs="Times New Roman"/>
          <w:kern w:val="32"/>
          <w:sz w:val="32"/>
          <w:szCs w:val="32"/>
          <w:lang w:val="en-US" w:eastAsia="zh-CN" w:bidi="ar-SA"/>
        </w:rPr>
      </w:pPr>
    </w:p>
    <w:p>
      <w:pPr>
        <w:pStyle w:val="8"/>
        <w:keepNext w:val="0"/>
        <w:keepLines w:val="0"/>
        <w:pageBreakBefore w:val="0"/>
        <w:widowControl w:val="0"/>
        <w:kinsoku/>
        <w:wordWrap/>
        <w:overflowPunct/>
        <w:topLinePunct w:val="0"/>
        <w:bidi w:val="0"/>
        <w:snapToGrid/>
        <w:spacing w:line="500" w:lineRule="atLeast"/>
        <w:ind w:left="640" w:firstLine="0" w:firstLineChars="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附件：⒈罪犯</w:t>
      </w:r>
      <w:r>
        <w:rPr>
          <w:rFonts w:hint="eastAsia" w:ascii="仿宋_GB2312" w:cs="Times New Roman"/>
          <w:kern w:val="32"/>
          <w:sz w:val="32"/>
          <w:szCs w:val="32"/>
          <w:lang w:val="en-US" w:eastAsia="zh-CN" w:bidi="ar-SA"/>
        </w:rPr>
        <w:t>陈良栋</w:t>
      </w:r>
      <w:r>
        <w:rPr>
          <w:rFonts w:hint="eastAsia" w:ascii="仿宋_GB2312" w:hAnsi="Times New Roman" w:eastAsia="仿宋_GB2312" w:cs="Times New Roman"/>
          <w:kern w:val="32"/>
          <w:sz w:val="32"/>
          <w:szCs w:val="32"/>
          <w:lang w:val="en-US" w:eastAsia="zh-CN" w:bidi="ar-SA"/>
        </w:rPr>
        <w:t>卷宗贰册</w:t>
      </w:r>
    </w:p>
    <w:p>
      <w:pPr>
        <w:pStyle w:val="8"/>
        <w:keepNext w:val="0"/>
        <w:keepLines w:val="0"/>
        <w:pageBreakBefore w:val="0"/>
        <w:widowControl w:val="0"/>
        <w:kinsoku/>
        <w:wordWrap/>
        <w:overflowPunct/>
        <w:topLinePunct w:val="0"/>
        <w:bidi w:val="0"/>
        <w:snapToGrid/>
        <w:spacing w:line="500" w:lineRule="atLeast"/>
        <w:ind w:left="640" w:right="-48" w:rightChars="-15" w:firstLine="960" w:firstLineChars="300"/>
        <w:jc w:val="left"/>
        <w:textAlignment w:val="auto"/>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⒉减刑建议书肆份</w:t>
      </w:r>
    </w:p>
    <w:p>
      <w:pPr>
        <w:pStyle w:val="2"/>
        <w:keepNext w:val="0"/>
        <w:keepLines w:val="0"/>
        <w:pageBreakBefore w:val="0"/>
        <w:widowControl w:val="0"/>
        <w:kinsoku/>
        <w:wordWrap/>
        <w:overflowPunct/>
        <w:topLinePunct w:val="0"/>
        <w:autoSpaceDE/>
        <w:autoSpaceDN/>
        <w:bidi w:val="0"/>
        <w:adjustRightInd/>
        <w:snapToGrid/>
        <w:spacing w:after="0" w:line="560" w:lineRule="exact"/>
        <w:ind w:left="640" w:right="-48" w:rightChars="-15"/>
        <w:jc w:val="left"/>
        <w:textAlignment w:val="auto"/>
        <w:rPr>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autoSpaceDE/>
        <w:autoSpaceDN/>
        <w:bidi w:val="0"/>
        <w:adjustRightInd/>
        <w:snapToGrid/>
        <w:spacing w:after="0" w:line="560" w:lineRule="exact"/>
        <w:ind w:right="1280" w:rightChars="400"/>
        <w:jc w:val="left"/>
        <w:textAlignment w:val="auto"/>
        <w:rPr>
          <w:rFonts w:hint="default" w:ascii="仿宋_GB2312" w:hAnsi="Times New Roman" w:eastAsia="仿宋_GB2312" w:cs="Times New Roman"/>
          <w:kern w:val="32"/>
          <w:sz w:val="32"/>
          <w:szCs w:val="32"/>
          <w:lang w:val="en-US" w:eastAsia="zh-CN" w:bidi="ar-SA"/>
        </w:rPr>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2</w:t>
      </w:r>
      <w:r>
        <w:rPr>
          <w:rFonts w:hint="eastAsia"/>
          <w:szCs w:val="32"/>
        </w:rPr>
        <w:t>日</w:t>
      </w: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Times New Roman" w:eastAsia="仿宋_GB2312" w:cs="Times New Roman"/>
          <w:kern w:val="32"/>
          <w:sz w:val="32"/>
          <w:szCs w:val="32"/>
          <w:lang w:val="en-US" w:eastAsia="zh-CN" w:bidi="ar-SA"/>
        </w:rPr>
      </w:pPr>
    </w:p>
    <w:p>
      <w:pPr>
        <w:keepNext w:val="0"/>
        <w:keepLines w:val="0"/>
        <w:pageBreakBefore w:val="0"/>
        <w:widowControl w:val="0"/>
        <w:kinsoku/>
        <w:wordWrap/>
        <w:overflowPunct/>
        <w:topLinePunct w:val="0"/>
        <w:bidi w:val="0"/>
        <w:snapToGrid/>
        <w:spacing w:line="500" w:lineRule="atLeast"/>
        <w:ind w:firstLine="640" w:firstLineChars="200"/>
        <w:jc w:val="left"/>
        <w:textAlignment w:val="auto"/>
        <w:rPr>
          <w:rFonts w:hint="eastAsia" w:ascii="仿宋_GB2312" w:hAnsi="Times New Roman" w:eastAsia="仿宋_GB2312" w:cs="Times New Roman"/>
          <w:kern w:val="32"/>
          <w:sz w:val="32"/>
          <w:szCs w:val="32"/>
          <w:lang w:val="en-US" w:eastAsia="zh-CN" w:bidi="ar-SA"/>
        </w:rPr>
      </w:pPr>
    </w:p>
    <w:p>
      <w:pPr>
        <w:keepNext w:val="0"/>
        <w:keepLines w:val="0"/>
        <w:pageBreakBefore w:val="0"/>
        <w:widowControl w:val="0"/>
        <w:kinsoku/>
        <w:wordWrap/>
        <w:overflowPunct/>
        <w:topLinePunct w:val="0"/>
        <w:bidi w:val="0"/>
        <w:snapToGrid/>
        <w:spacing w:line="500" w:lineRule="atLeast"/>
        <w:jc w:val="left"/>
        <w:textAlignment w:val="auto"/>
        <w:rPr>
          <w:rFonts w:hint="eastAsia" w:ascii="仿宋_GB2312" w:hAnsi="Times New Roman" w:eastAsia="仿宋_GB2312" w:cs="Times New Roman"/>
          <w:kern w:val="32"/>
          <w:sz w:val="32"/>
          <w:szCs w:val="32"/>
          <w:lang w:val="en-US" w:eastAsia="zh-CN" w:bidi="ar-SA"/>
        </w:rPr>
      </w:pPr>
    </w:p>
    <w:sectPr>
      <w:pgSz w:w="11906" w:h="16838"/>
      <w:pgMar w:top="1871" w:right="1304" w:bottom="1871"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18"/>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hlNmM3ODRmOWZmNDJhMjJmNzk2MDYzNDI3ZTBkZDYifQ=="/>
  </w:docVars>
  <w:rsids>
    <w:rsidRoot w:val="00DC397F"/>
    <w:rsid w:val="00297A05"/>
    <w:rsid w:val="004A3A94"/>
    <w:rsid w:val="005E768D"/>
    <w:rsid w:val="00804641"/>
    <w:rsid w:val="00A6077B"/>
    <w:rsid w:val="00C3536F"/>
    <w:rsid w:val="00DC397F"/>
    <w:rsid w:val="00E261E3"/>
    <w:rsid w:val="03B94545"/>
    <w:rsid w:val="06657D8C"/>
    <w:rsid w:val="06787641"/>
    <w:rsid w:val="08CC5230"/>
    <w:rsid w:val="09563EEC"/>
    <w:rsid w:val="09CD5731"/>
    <w:rsid w:val="0A7F59C4"/>
    <w:rsid w:val="0C5D626F"/>
    <w:rsid w:val="0D612F40"/>
    <w:rsid w:val="0DFD1519"/>
    <w:rsid w:val="0ED06AC8"/>
    <w:rsid w:val="0ED37F46"/>
    <w:rsid w:val="0F7B2AAD"/>
    <w:rsid w:val="0FDF1DD0"/>
    <w:rsid w:val="11737E86"/>
    <w:rsid w:val="157016E4"/>
    <w:rsid w:val="157463C1"/>
    <w:rsid w:val="16527FAD"/>
    <w:rsid w:val="16BE1A66"/>
    <w:rsid w:val="180C6085"/>
    <w:rsid w:val="18AC60CE"/>
    <w:rsid w:val="19D95B68"/>
    <w:rsid w:val="1BBF4261"/>
    <w:rsid w:val="1BD476FF"/>
    <w:rsid w:val="1C832F6F"/>
    <w:rsid w:val="1CD55AE2"/>
    <w:rsid w:val="1CE37B65"/>
    <w:rsid w:val="1F004878"/>
    <w:rsid w:val="1F7511FB"/>
    <w:rsid w:val="20063F55"/>
    <w:rsid w:val="2075128F"/>
    <w:rsid w:val="210D2C72"/>
    <w:rsid w:val="26CE6DA4"/>
    <w:rsid w:val="270A25E3"/>
    <w:rsid w:val="2AE93D23"/>
    <w:rsid w:val="2AFB6893"/>
    <w:rsid w:val="2B91620D"/>
    <w:rsid w:val="2C867719"/>
    <w:rsid w:val="2D4659B9"/>
    <w:rsid w:val="2D4A2D15"/>
    <w:rsid w:val="2D695B87"/>
    <w:rsid w:val="2E824062"/>
    <w:rsid w:val="305708CE"/>
    <w:rsid w:val="307866FE"/>
    <w:rsid w:val="31461D8C"/>
    <w:rsid w:val="34234C7B"/>
    <w:rsid w:val="35BE5994"/>
    <w:rsid w:val="37015718"/>
    <w:rsid w:val="377441A0"/>
    <w:rsid w:val="37A421DA"/>
    <w:rsid w:val="38172FC1"/>
    <w:rsid w:val="38631714"/>
    <w:rsid w:val="38A673F7"/>
    <w:rsid w:val="3A680CB4"/>
    <w:rsid w:val="3DA4448B"/>
    <w:rsid w:val="3F560C04"/>
    <w:rsid w:val="418C7DE8"/>
    <w:rsid w:val="43CA7149"/>
    <w:rsid w:val="45DE43EF"/>
    <w:rsid w:val="45E158C1"/>
    <w:rsid w:val="46C817C8"/>
    <w:rsid w:val="487A71EF"/>
    <w:rsid w:val="48F92C46"/>
    <w:rsid w:val="49814D91"/>
    <w:rsid w:val="4AE110E3"/>
    <w:rsid w:val="4BB72847"/>
    <w:rsid w:val="4E7C6032"/>
    <w:rsid w:val="4E945511"/>
    <w:rsid w:val="4E9E146A"/>
    <w:rsid w:val="500478D6"/>
    <w:rsid w:val="537B54B7"/>
    <w:rsid w:val="568300EE"/>
    <w:rsid w:val="5A077E36"/>
    <w:rsid w:val="5A283186"/>
    <w:rsid w:val="5AFE6138"/>
    <w:rsid w:val="5BFF555F"/>
    <w:rsid w:val="5CC46D98"/>
    <w:rsid w:val="606F0B3E"/>
    <w:rsid w:val="60BF6F8F"/>
    <w:rsid w:val="60EF12E0"/>
    <w:rsid w:val="65FB334A"/>
    <w:rsid w:val="66AE48C0"/>
    <w:rsid w:val="67206C39"/>
    <w:rsid w:val="67BD489F"/>
    <w:rsid w:val="681B0336"/>
    <w:rsid w:val="68755362"/>
    <w:rsid w:val="69D349FB"/>
    <w:rsid w:val="6C171CF3"/>
    <w:rsid w:val="6C4E2F84"/>
    <w:rsid w:val="6D0712D2"/>
    <w:rsid w:val="6D636F83"/>
    <w:rsid w:val="6D910A89"/>
    <w:rsid w:val="6E6F1E74"/>
    <w:rsid w:val="7059505B"/>
    <w:rsid w:val="71B26EC4"/>
    <w:rsid w:val="73886CE5"/>
    <w:rsid w:val="739D4C68"/>
    <w:rsid w:val="74CC701D"/>
    <w:rsid w:val="75894140"/>
    <w:rsid w:val="76B344CD"/>
    <w:rsid w:val="77A1723E"/>
    <w:rsid w:val="77B840DD"/>
    <w:rsid w:val="788B3FF4"/>
    <w:rsid w:val="79C0402E"/>
    <w:rsid w:val="7A3A0436"/>
    <w:rsid w:val="7B5806E6"/>
    <w:rsid w:val="7BF33DE5"/>
    <w:rsid w:val="7CE07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778</Words>
  <Characters>873</Characters>
  <Lines>17</Lines>
  <Paragraphs>4</Paragraphs>
  <TotalTime>7</TotalTime>
  <ScaleCrop>false</ScaleCrop>
  <LinksUpToDate>false</LinksUpToDate>
  <CharactersWithSpaces>911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2025-07-07T02:47:10Z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BB67BE41A5EE4B0EA422D6B4ECA765CF</vt:lpwstr>
  </property>
</Properties>
</file>