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ind w:firstLine="2200" w:firstLineChars="5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2"/>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〕闽狱未减字第</w:t>
      </w:r>
      <w:r>
        <w:rPr>
          <w:rFonts w:hint="eastAsia" w:eastAsia="楷体_GB2312"/>
          <w:szCs w:val="32"/>
          <w:lang w:val="en-US" w:eastAsia="zh-CN"/>
        </w:rPr>
        <w:t>190</w:t>
      </w:r>
      <w:r>
        <w:rPr>
          <w:rFonts w:hint="eastAsia" w:eastAsia="楷体_GB2312" w:cs="楷体_GB2312"/>
          <w:szCs w:val="32"/>
        </w:rPr>
        <w:t>号</w:t>
      </w:r>
    </w:p>
    <w:p>
      <w:pPr>
        <w:pStyle w:val="12"/>
        <w:spacing w:line="430" w:lineRule="exact"/>
        <w:ind w:left="640" w:right="-48" w:rightChars="-15" w:firstLine="0" w:firstLineChars="0"/>
        <w:rPr>
          <w:rFonts w:ascii="仿宋_GB2312"/>
          <w:b/>
          <w:bCs/>
          <w:sz w:val="28"/>
        </w:rPr>
      </w:pPr>
    </w:p>
    <w:p>
      <w:pPr>
        <w:spacing w:line="500" w:lineRule="exact"/>
        <w:ind w:firstLine="640" w:firstLineChars="200"/>
        <w:rPr>
          <w:rFonts w:ascii="仿宋_GB2312"/>
          <w:szCs w:val="32"/>
        </w:rPr>
      </w:pPr>
      <w:r>
        <w:rPr>
          <w:rFonts w:hint="eastAsia" w:ascii="仿宋_GB2312"/>
          <w:szCs w:val="32"/>
        </w:rPr>
        <w:t>罪犯</w:t>
      </w:r>
      <w:r>
        <w:rPr>
          <w:rFonts w:hint="eastAsia" w:ascii="仿宋_GB2312"/>
          <w:szCs w:val="32"/>
          <w:lang w:val="en-US" w:eastAsia="zh-CN"/>
        </w:rPr>
        <w:t>鲍金利</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w:t>
      </w:r>
      <w:r>
        <w:rPr>
          <w:rFonts w:hint="eastAsia" w:ascii="仿宋_GB2312"/>
          <w:szCs w:val="32"/>
          <w:lang w:val="en-US" w:eastAsia="zh-CN"/>
        </w:rPr>
        <w:t>1968</w:t>
      </w:r>
      <w:r>
        <w:rPr>
          <w:rFonts w:hint="eastAsia" w:ascii="仿宋_GB2312"/>
          <w:szCs w:val="32"/>
        </w:rPr>
        <w:t>年</w:t>
      </w:r>
      <w:r>
        <w:rPr>
          <w:rFonts w:hint="eastAsia" w:ascii="仿宋_GB2312"/>
          <w:szCs w:val="32"/>
          <w:lang w:val="en-US" w:eastAsia="zh-CN"/>
        </w:rPr>
        <w:t>2</w:t>
      </w:r>
      <w:r>
        <w:rPr>
          <w:rFonts w:hint="eastAsia" w:ascii="仿宋_GB2312"/>
          <w:szCs w:val="32"/>
        </w:rPr>
        <w:t>月</w:t>
      </w:r>
      <w:r>
        <w:rPr>
          <w:rFonts w:hint="eastAsia" w:ascii="仿宋_GB2312"/>
          <w:szCs w:val="32"/>
          <w:lang w:val="en-US" w:eastAsia="zh-CN"/>
        </w:rPr>
        <w:t>1</w:t>
      </w:r>
      <w:r>
        <w:rPr>
          <w:rFonts w:hint="eastAsia" w:ascii="仿宋_GB2312"/>
          <w:szCs w:val="32"/>
        </w:rPr>
        <w:t>日出生，</w:t>
      </w:r>
      <w:r>
        <w:rPr>
          <w:rFonts w:hint="eastAsia" w:ascii="仿宋_GB2312"/>
          <w:szCs w:val="32"/>
          <w:lang w:val="en-US" w:eastAsia="zh-CN"/>
        </w:rPr>
        <w:t>汉</w:t>
      </w:r>
      <w:r>
        <w:rPr>
          <w:rFonts w:hint="eastAsia" w:ascii="仿宋_GB2312"/>
          <w:szCs w:val="32"/>
        </w:rPr>
        <w:t>族，</w:t>
      </w:r>
      <w:r>
        <w:rPr>
          <w:rFonts w:hint="eastAsia" w:ascii="仿宋_GB2312"/>
          <w:szCs w:val="32"/>
          <w:lang w:val="en-US" w:eastAsia="zh-CN"/>
        </w:rPr>
        <w:t>文盲</w:t>
      </w:r>
      <w:r>
        <w:rPr>
          <w:rFonts w:hint="eastAsia" w:ascii="仿宋_GB2312"/>
          <w:szCs w:val="32"/>
        </w:rPr>
        <w:t>，</w:t>
      </w:r>
      <w:r>
        <w:rPr>
          <w:rFonts w:hint="eastAsia" w:ascii="仿宋_GB2312"/>
          <w:szCs w:val="32"/>
          <w:lang w:val="en-US" w:eastAsia="zh-CN"/>
        </w:rPr>
        <w:t>户籍地</w:t>
      </w:r>
      <w:r>
        <w:rPr>
          <w:rFonts w:hint="eastAsia" w:ascii="仿宋_GB2312"/>
          <w:szCs w:val="32"/>
        </w:rPr>
        <w:t>福建省福州市长乐区</w:t>
      </w:r>
      <w:bookmarkStart w:id="0" w:name="_GoBack"/>
      <w:bookmarkEnd w:id="0"/>
      <w:r>
        <w:rPr>
          <w:rFonts w:hint="eastAsia" w:ascii="仿宋_GB2312"/>
          <w:szCs w:val="32"/>
          <w:lang w:eastAsia="zh-CN"/>
        </w:rPr>
        <w:t>，</w:t>
      </w:r>
      <w:r>
        <w:rPr>
          <w:rFonts w:hint="eastAsia" w:ascii="仿宋_GB2312"/>
          <w:szCs w:val="32"/>
        </w:rPr>
        <w:t>捕前系</w:t>
      </w:r>
      <w:r>
        <w:rPr>
          <w:rFonts w:hint="eastAsia" w:ascii="仿宋_GB2312"/>
          <w:szCs w:val="32"/>
          <w:lang w:val="en-US" w:eastAsia="zh-CN"/>
        </w:rPr>
        <w:t>经商</w:t>
      </w:r>
      <w:r>
        <w:rPr>
          <w:rFonts w:hint="eastAsia" w:ascii="仿宋_GB2312"/>
          <w:szCs w:val="32"/>
        </w:rPr>
        <w:t>。</w:t>
      </w:r>
      <w:r>
        <w:rPr>
          <w:rFonts w:hint="eastAsia" w:ascii="仿宋_GB2312"/>
          <w:szCs w:val="32"/>
          <w:lang w:val="en-US" w:eastAsia="zh-CN"/>
        </w:rPr>
        <w:t>因犯聚众斗殴罪、非法持有枪支罪，于2008年11月19日被福建省福州市长乐区人民法院判处有期徒刑三年六个月，2010年7月7日刑满释放</w:t>
      </w:r>
      <w:r>
        <w:rPr>
          <w:rFonts w:hint="eastAsia" w:ascii="仿宋_GB2312"/>
          <w:szCs w:val="32"/>
        </w:rPr>
        <w:t>。</w:t>
      </w:r>
    </w:p>
    <w:p>
      <w:pPr>
        <w:spacing w:line="500" w:lineRule="exact"/>
        <w:ind w:firstLine="640" w:firstLineChars="200"/>
        <w:rPr>
          <w:rFonts w:ascii="仿宋_GB2312" w:cs="仿宋_GB2312"/>
          <w:szCs w:val="32"/>
        </w:rPr>
      </w:pPr>
      <w:r>
        <w:rPr>
          <w:rFonts w:hint="eastAsia" w:ascii="仿宋_GB2312"/>
          <w:szCs w:val="32"/>
        </w:rPr>
        <w:t>福建省福州市长乐区人民法院于</w:t>
      </w:r>
      <w:r>
        <w:rPr>
          <w:rFonts w:hint="eastAsia" w:ascii="仿宋_GB2312"/>
          <w:szCs w:val="32"/>
          <w:lang w:val="en-US" w:eastAsia="zh-CN"/>
        </w:rPr>
        <w:t>2022</w:t>
      </w:r>
      <w:r>
        <w:rPr>
          <w:rFonts w:hint="eastAsia" w:ascii="仿宋_GB2312"/>
          <w:szCs w:val="32"/>
        </w:rPr>
        <w:t>年</w:t>
      </w:r>
      <w:r>
        <w:rPr>
          <w:rFonts w:hint="eastAsia" w:ascii="仿宋_GB2312"/>
          <w:szCs w:val="32"/>
          <w:lang w:val="en-US" w:eastAsia="zh-CN"/>
        </w:rPr>
        <w:t>3</w:t>
      </w:r>
      <w:r>
        <w:rPr>
          <w:rFonts w:hint="eastAsia" w:ascii="仿宋_GB2312"/>
          <w:szCs w:val="32"/>
        </w:rPr>
        <w:t>月</w:t>
      </w:r>
      <w:r>
        <w:rPr>
          <w:rFonts w:hint="eastAsia" w:ascii="仿宋_GB2312"/>
          <w:szCs w:val="32"/>
          <w:lang w:val="en-US" w:eastAsia="zh-CN"/>
        </w:rPr>
        <w:t>18</w:t>
      </w:r>
      <w:r>
        <w:rPr>
          <w:rFonts w:hint="eastAsia" w:ascii="仿宋_GB2312"/>
          <w:szCs w:val="32"/>
        </w:rPr>
        <w:t>日作出（2021）闽0112刑初759号刑事判决，以被告人鲍金利犯生产、销售伪劣产品罪，判处有期徒刑六年六个月，并处罚金人民币七万元</w:t>
      </w:r>
      <w:r>
        <w:rPr>
          <w:rFonts w:hint="eastAsia" w:ascii="仿宋_GB2312"/>
          <w:szCs w:val="32"/>
          <w:lang w:eastAsia="zh-CN"/>
        </w:rPr>
        <w:t>。</w:t>
      </w:r>
      <w:r>
        <w:rPr>
          <w:rFonts w:hint="eastAsia" w:ascii="仿宋_GB2312"/>
          <w:szCs w:val="32"/>
        </w:rPr>
        <w:t>刑期自2021年9月4日起至2028年2月27日止。</w:t>
      </w:r>
      <w:r>
        <w:rPr>
          <w:rFonts w:hint="eastAsia" w:ascii="仿宋_GB2312"/>
          <w:szCs w:val="32"/>
          <w:lang w:val="en-US" w:eastAsia="zh-CN"/>
        </w:rPr>
        <w:t>2022</w:t>
      </w:r>
      <w:r>
        <w:rPr>
          <w:rFonts w:hint="eastAsia" w:ascii="仿宋_GB2312"/>
          <w:szCs w:val="32"/>
        </w:rPr>
        <w:t>年</w:t>
      </w:r>
      <w:r>
        <w:rPr>
          <w:rFonts w:hint="eastAsia" w:ascii="仿宋_GB2312"/>
          <w:szCs w:val="32"/>
          <w:lang w:val="en-US" w:eastAsia="zh-CN"/>
        </w:rPr>
        <w:t>5</w:t>
      </w:r>
      <w:r>
        <w:rPr>
          <w:rFonts w:hint="eastAsia" w:ascii="仿宋_GB2312"/>
          <w:szCs w:val="32"/>
        </w:rPr>
        <w:t>月</w:t>
      </w:r>
      <w:r>
        <w:rPr>
          <w:rFonts w:hint="eastAsia" w:ascii="仿宋_GB2312"/>
          <w:szCs w:val="32"/>
          <w:lang w:val="en-US" w:eastAsia="zh-CN"/>
        </w:rPr>
        <w:t>18</w:t>
      </w:r>
      <w:r>
        <w:rPr>
          <w:rFonts w:hint="eastAsia" w:ascii="仿宋_GB2312"/>
          <w:szCs w:val="32"/>
        </w:rPr>
        <w:t>日交付福建省未成年犯管教所执行刑罚。属</w:t>
      </w:r>
      <w:r>
        <w:rPr>
          <w:rFonts w:hint="eastAsia" w:ascii="仿宋_GB2312"/>
          <w:szCs w:val="32"/>
          <w:lang w:val="en-US" w:eastAsia="zh-CN"/>
        </w:rPr>
        <w:t>普管</w:t>
      </w:r>
      <w:r>
        <w:rPr>
          <w:rFonts w:hint="eastAsia" w:ascii="仿宋_GB2312"/>
          <w:szCs w:val="32"/>
        </w:rPr>
        <w:t>级罪犯。</w:t>
      </w:r>
    </w:p>
    <w:p>
      <w:pPr>
        <w:spacing w:line="50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color w:val="FF0000"/>
          <w:kern w:val="0"/>
          <w:szCs w:val="32"/>
          <w:lang w:val="zh-CN"/>
        </w:rPr>
        <w:t>入监</w:t>
      </w:r>
      <w:r>
        <w:rPr>
          <w:rFonts w:hint="eastAsia" w:ascii="仿宋_GB2312" w:hAnsi="宋体"/>
          <w:iCs/>
          <w:kern w:val="0"/>
          <w:szCs w:val="32"/>
          <w:lang w:val="zh-CN"/>
        </w:rPr>
        <w:t>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12"/>
        <w:autoSpaceDE w:val="0"/>
        <w:autoSpaceDN w:val="0"/>
        <w:adjustRightInd w:val="0"/>
        <w:spacing w:line="500" w:lineRule="exact"/>
        <w:ind w:firstLine="640"/>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12"/>
        <w:autoSpaceDE w:val="0"/>
        <w:autoSpaceDN w:val="0"/>
        <w:adjustRightInd w:val="0"/>
        <w:spacing w:line="500" w:lineRule="exact"/>
        <w:ind w:firstLine="640"/>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w:t>
      </w:r>
      <w:r>
        <w:rPr>
          <w:rFonts w:hint="eastAsia" w:ascii="仿宋_GB2312" w:hAnsi="仿宋_GB2312" w:cs="仿宋_GB2312"/>
          <w:b w:val="0"/>
          <w:bCs w:val="0"/>
          <w:szCs w:val="32"/>
        </w:rPr>
        <w:t>罪犯存在违规行为，但经民警教育引导后能遵守法律法规及监规纪律、接</w:t>
      </w:r>
      <w:r>
        <w:rPr>
          <w:rFonts w:hint="eastAsia" w:ascii="仿宋_GB2312" w:hAnsi="仿宋_GB2312" w:cs="仿宋_GB2312"/>
          <w:b w:val="0"/>
          <w:bCs w:val="0"/>
          <w:szCs w:val="32"/>
          <w:lang w:val="zh-CN"/>
        </w:rPr>
        <w:t>受教育改造</w:t>
      </w:r>
      <w:r>
        <w:rPr>
          <w:rFonts w:hint="eastAsia" w:ascii="仿宋_GB2312" w:hAnsi="仿宋" w:cs="宋体"/>
          <w:szCs w:val="32"/>
          <w:lang w:val="zh-CN"/>
        </w:rPr>
        <w:t>。</w:t>
      </w:r>
    </w:p>
    <w:p>
      <w:pPr>
        <w:pStyle w:val="12"/>
        <w:autoSpaceDE w:val="0"/>
        <w:autoSpaceDN w:val="0"/>
        <w:adjustRightInd w:val="0"/>
        <w:spacing w:line="500" w:lineRule="exact"/>
        <w:ind w:left="640" w:firstLine="0" w:firstLineChars="0"/>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2"/>
        <w:autoSpaceDE w:val="0"/>
        <w:autoSpaceDN w:val="0"/>
        <w:adjustRightInd w:val="0"/>
        <w:spacing w:line="500" w:lineRule="exact"/>
        <w:ind w:firstLine="640"/>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2"/>
        <w:spacing w:line="500" w:lineRule="exact"/>
        <w:ind w:firstLine="640"/>
        <w:rPr>
          <w:rFonts w:hint="eastAsia" w:ascii="仿宋_GB2312" w:hAnsi="仿宋" w:cs="宋体"/>
          <w:szCs w:val="32"/>
          <w:lang w:val="zh-CN"/>
        </w:rPr>
      </w:pPr>
      <w:r>
        <w:rPr>
          <w:rFonts w:hint="eastAsia" w:cs="宋体"/>
          <w:szCs w:val="32"/>
          <w:lang w:val="zh-CN"/>
        </w:rPr>
        <w:t>5</w:t>
      </w:r>
      <w:r>
        <w:rPr>
          <w:rFonts w:hint="eastAsia" w:ascii="仿宋_GB2312" w:hAnsi="仿宋" w:cs="宋体"/>
          <w:szCs w:val="32"/>
          <w:lang w:val="zh-CN"/>
        </w:rPr>
        <w:t>.奖惩情况：该犯考核期2022年5月18日至2025年5月31日止累计获3799.1分，表扬4次，物质奖励2次。考核期共违规扣分2次，累计扣分11分，其中2023年07月28日，因分管区进行内务卫生检查，该犯个人用品摆放不规范，扣1分；2024年11月09日，因经查，罪犯鲍金利于2022年12月至2023年1月间存在“借卡消费”，其违反生活卫生规范，非以逃避财产性判项执行为目的，参与、出借、使用他人账户或消费卡，扣10分。</w:t>
      </w:r>
    </w:p>
    <w:p>
      <w:pPr>
        <w:pStyle w:val="12"/>
        <w:spacing w:line="500" w:lineRule="exact"/>
        <w:ind w:firstLine="640"/>
        <w:rPr>
          <w:rFonts w:ascii="仿宋_GB2312" w:hAnsi="仿宋" w:cs="宋体"/>
          <w:szCs w:val="32"/>
          <w:lang w:val="zh-CN"/>
        </w:rPr>
      </w:pPr>
      <w:r>
        <w:rPr>
          <w:rFonts w:hint="eastAsia" w:ascii="仿宋_GB2312" w:hAnsi="仿宋" w:cs="宋体"/>
          <w:szCs w:val="32"/>
          <w:lang w:val="zh-CN"/>
        </w:rPr>
        <w:t xml:space="preserve"> </w:t>
      </w:r>
      <w:r>
        <w:rPr>
          <w:rFonts w:hint="eastAsia" w:ascii="仿宋_GB2312" w:hAnsi="仿宋" w:cs="宋体"/>
          <w:szCs w:val="32"/>
          <w:lang w:val="en-US" w:eastAsia="zh-CN"/>
        </w:rPr>
        <w:t>6.</w:t>
      </w:r>
      <w:r>
        <w:rPr>
          <w:rFonts w:hint="eastAsia" w:ascii="仿宋_GB2312" w:hAnsi="仿宋" w:cs="宋体"/>
          <w:szCs w:val="32"/>
          <w:lang w:val="zh-CN"/>
        </w:rPr>
        <w:t>原判财产性判项：罚金人民币70000元。该犯已履行人民币70000元，已全部履行完毕；其中本考核期向福建省福州市长乐区人民法院缴纳罚金人民币70000元。福建省福州市长乐区人民法院出具缴款凭证及复函履行债务证明予以证实。</w:t>
      </w:r>
    </w:p>
    <w:p>
      <w:pPr>
        <w:spacing w:line="500" w:lineRule="exact"/>
        <w:ind w:firstLine="640" w:firstLineChars="200"/>
        <w:rPr>
          <w:rFonts w:ascii="仿宋_GB2312"/>
          <w:szCs w:val="32"/>
        </w:rPr>
      </w:pPr>
      <w:r>
        <w:rPr>
          <w:rFonts w:hint="eastAsia" w:ascii="仿宋_GB2312"/>
          <w:szCs w:val="32"/>
        </w:rPr>
        <w:t>本案于</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8</w:t>
      </w:r>
      <w:r>
        <w:rPr>
          <w:rFonts w:hint="eastAsia" w:ascii="仿宋_GB2312"/>
          <w:szCs w:val="32"/>
        </w:rPr>
        <w:t>月</w:t>
      </w:r>
      <w:r>
        <w:rPr>
          <w:rFonts w:hint="eastAsia" w:ascii="仿宋_GB2312"/>
          <w:szCs w:val="32"/>
          <w:lang w:val="en-US" w:eastAsia="zh-CN"/>
        </w:rPr>
        <w:t>27</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9</w:t>
      </w:r>
      <w:r>
        <w:rPr>
          <w:rFonts w:hint="eastAsia" w:ascii="仿宋_GB2312"/>
          <w:szCs w:val="32"/>
        </w:rPr>
        <w:t>月</w:t>
      </w:r>
      <w:r>
        <w:rPr>
          <w:rFonts w:hint="eastAsia" w:ascii="仿宋_GB2312"/>
          <w:szCs w:val="32"/>
          <w:lang w:val="en-US" w:eastAsia="zh-CN"/>
        </w:rPr>
        <w:t>2</w:t>
      </w:r>
      <w:r>
        <w:rPr>
          <w:rFonts w:hint="eastAsia" w:ascii="仿宋_GB2312"/>
          <w:szCs w:val="32"/>
        </w:rPr>
        <w:t>日在狱内公示未收到不同意见。</w:t>
      </w:r>
    </w:p>
    <w:p>
      <w:pPr>
        <w:spacing w:line="50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鲍金利</w:t>
      </w:r>
      <w:r>
        <w:rPr>
          <w:rFonts w:hint="eastAsia" w:ascii="仿宋_GB2312" w:hAnsi="仿宋_GB2312" w:cs="仿宋_GB2312"/>
          <w:szCs w:val="32"/>
        </w:rPr>
        <w:t>予以减刑</w:t>
      </w:r>
      <w:r>
        <w:rPr>
          <w:rFonts w:hint="eastAsia" w:ascii="仿宋_GB2312" w:hAnsi="仿宋_GB2312" w:cs="仿宋_GB2312"/>
          <w:szCs w:val="32"/>
          <w:lang w:val="en-US" w:eastAsia="zh-CN"/>
        </w:rPr>
        <w:t>七</w:t>
      </w:r>
      <w:r>
        <w:rPr>
          <w:rFonts w:hint="eastAsia" w:ascii="仿宋_GB2312" w:hAnsi="仿宋_GB2312" w:cs="仿宋_GB2312"/>
          <w:szCs w:val="32"/>
        </w:rPr>
        <w:t>个月。特提请你院审理裁定。</w:t>
      </w:r>
    </w:p>
    <w:p>
      <w:pPr>
        <w:pStyle w:val="3"/>
        <w:spacing w:line="500" w:lineRule="exact"/>
        <w:ind w:right="-48" w:rightChars="-15" w:firstLine="640" w:firstLineChars="200"/>
        <w:rPr>
          <w:szCs w:val="32"/>
        </w:rPr>
      </w:pPr>
      <w:r>
        <w:rPr>
          <w:rFonts w:hint="eastAsia"/>
          <w:szCs w:val="32"/>
        </w:rPr>
        <w:t>此致</w:t>
      </w:r>
    </w:p>
    <w:p>
      <w:pPr>
        <w:pStyle w:val="12"/>
        <w:spacing w:line="500" w:lineRule="exact"/>
        <w:ind w:right="-48" w:rightChars="-15" w:firstLine="0" w:firstLineChars="0"/>
        <w:rPr>
          <w:szCs w:val="32"/>
        </w:rPr>
      </w:pPr>
      <w:r>
        <w:rPr>
          <w:rFonts w:hint="eastAsia"/>
          <w:szCs w:val="32"/>
        </w:rPr>
        <w:t>福建省福州市中级人民法院</w:t>
      </w:r>
    </w:p>
    <w:p>
      <w:pPr>
        <w:pStyle w:val="12"/>
        <w:spacing w:line="500" w:lineRule="exact"/>
        <w:ind w:left="640" w:firstLine="0" w:firstLineChars="0"/>
        <w:rPr>
          <w:rFonts w:cs="仿宋_GB2312"/>
          <w:szCs w:val="32"/>
        </w:rPr>
      </w:pPr>
    </w:p>
    <w:p>
      <w:pPr>
        <w:pStyle w:val="12"/>
        <w:spacing w:line="500" w:lineRule="exact"/>
        <w:ind w:left="640" w:firstLine="0" w:firstLineChars="0"/>
        <w:rPr>
          <w:rFonts w:cs="仿宋_GB2312"/>
          <w:szCs w:val="32"/>
        </w:rPr>
      </w:pPr>
      <w:r>
        <w:rPr>
          <w:rFonts w:hint="eastAsia" w:cs="仿宋_GB2312"/>
          <w:szCs w:val="32"/>
        </w:rPr>
        <w:t>附件：⒈罪犯</w:t>
      </w:r>
      <w:r>
        <w:rPr>
          <w:rFonts w:hint="eastAsia" w:cs="仿宋_GB2312"/>
          <w:szCs w:val="32"/>
          <w:lang w:val="en-US" w:eastAsia="zh-CN"/>
        </w:rPr>
        <w:t>鲍金利</w:t>
      </w:r>
      <w:r>
        <w:rPr>
          <w:rFonts w:hint="eastAsia" w:cs="仿宋_GB2312"/>
          <w:szCs w:val="32"/>
        </w:rPr>
        <w:t>卷宗贰册</w:t>
      </w:r>
    </w:p>
    <w:p>
      <w:pPr>
        <w:pStyle w:val="12"/>
        <w:spacing w:line="500" w:lineRule="exact"/>
        <w:ind w:left="640" w:right="-48" w:rightChars="-15" w:firstLine="960" w:firstLineChars="300"/>
        <w:rPr>
          <w:rFonts w:cs="仿宋_GB2312"/>
          <w:szCs w:val="32"/>
        </w:rPr>
      </w:pPr>
      <w:r>
        <w:rPr>
          <w:rFonts w:hint="eastAsia" w:cs="仿宋_GB2312"/>
          <w:szCs w:val="32"/>
        </w:rPr>
        <w:t>⒉减刑建议书肆份</w:t>
      </w:r>
    </w:p>
    <w:p>
      <w:pPr>
        <w:pStyle w:val="3"/>
        <w:spacing w:line="500" w:lineRule="exact"/>
        <w:ind w:left="640" w:right="-48" w:rightChars="-15"/>
        <w:rPr>
          <w:szCs w:val="32"/>
        </w:rPr>
      </w:pPr>
    </w:p>
    <w:p/>
    <w:p>
      <w:pPr>
        <w:pStyle w:val="3"/>
        <w:spacing w:line="500" w:lineRule="exact"/>
        <w:ind w:right="1280" w:rightChars="400"/>
        <w:jc w:val="right"/>
        <w:rPr>
          <w:szCs w:val="32"/>
        </w:rPr>
      </w:pPr>
      <w:r>
        <w:rPr>
          <w:rFonts w:hint="eastAsia"/>
          <w:szCs w:val="32"/>
        </w:rPr>
        <w:t>福建省未成年犯管教所</w:t>
      </w:r>
    </w:p>
    <w:p>
      <w:pPr>
        <w:pStyle w:val="3"/>
        <w:spacing w:line="500" w:lineRule="exact"/>
        <w:ind w:right="1280" w:rightChars="400"/>
        <w:jc w:val="center"/>
        <w:rPr>
          <w:szCs w:val="32"/>
        </w:rPr>
      </w:pPr>
      <w:r>
        <w:rPr>
          <w:rFonts w:hint="eastAsia"/>
          <w:szCs w:val="32"/>
        </w:rPr>
        <w:t xml:space="preserve">                            </w:t>
      </w:r>
      <w:r>
        <w:rPr>
          <w:rFonts w:hint="eastAsia"/>
          <w:szCs w:val="32"/>
          <w:lang w:val="en-US" w:eastAsia="zh-CN"/>
        </w:rPr>
        <w:t>2025</w:t>
      </w:r>
      <w:r>
        <w:rPr>
          <w:rFonts w:hint="eastAsia"/>
          <w:szCs w:val="32"/>
        </w:rPr>
        <w:t>年</w:t>
      </w:r>
      <w:r>
        <w:rPr>
          <w:rFonts w:hint="eastAsia"/>
          <w:szCs w:val="32"/>
          <w:lang w:val="en-US" w:eastAsia="zh-CN"/>
        </w:rPr>
        <w:t>9</w:t>
      </w:r>
      <w:r>
        <w:rPr>
          <w:rFonts w:hint="eastAsia"/>
          <w:szCs w:val="32"/>
        </w:rPr>
        <w:t>月</w:t>
      </w:r>
      <w:r>
        <w:rPr>
          <w:rFonts w:hint="eastAsia"/>
          <w:szCs w:val="32"/>
          <w:lang w:val="en-US" w:eastAsia="zh-CN"/>
        </w:rPr>
        <w:t>11</w:t>
      </w:r>
      <w:r>
        <w:rPr>
          <w:rFonts w:hint="eastAsia"/>
          <w:szCs w:val="32"/>
        </w:rPr>
        <w:t>日</w:t>
      </w:r>
    </w:p>
    <w:p>
      <w:pPr>
        <w:spacing w:line="500" w:lineRule="exact"/>
      </w:pPr>
    </w:p>
    <w:sectPr>
      <w:pgSz w:w="11906" w:h="16838"/>
      <w:pgMar w:top="1871" w:right="1304" w:bottom="1871" w:left="1587" w:header="851" w:footer="992" w:gutter="0"/>
      <w:cols w:space="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EwNDYyOTc1MmIwN2JhOWE5NjExMmEwY2E2MWI5NDIifQ=="/>
  </w:docVars>
  <w:rsids>
    <w:rsidRoot w:val="00DC397F"/>
    <w:rsid w:val="00265648"/>
    <w:rsid w:val="00297A05"/>
    <w:rsid w:val="004A3A94"/>
    <w:rsid w:val="005E768D"/>
    <w:rsid w:val="00804641"/>
    <w:rsid w:val="008C3729"/>
    <w:rsid w:val="009C4D1B"/>
    <w:rsid w:val="00A6077B"/>
    <w:rsid w:val="00AE798E"/>
    <w:rsid w:val="00C3536F"/>
    <w:rsid w:val="00DC397F"/>
    <w:rsid w:val="00E261E3"/>
    <w:rsid w:val="038A03FA"/>
    <w:rsid w:val="05061364"/>
    <w:rsid w:val="0BBA0B5B"/>
    <w:rsid w:val="0CE30C54"/>
    <w:rsid w:val="0E364075"/>
    <w:rsid w:val="0FA3609D"/>
    <w:rsid w:val="14343444"/>
    <w:rsid w:val="14E46BC1"/>
    <w:rsid w:val="1DAC588E"/>
    <w:rsid w:val="1F651A49"/>
    <w:rsid w:val="21D213A3"/>
    <w:rsid w:val="22465E24"/>
    <w:rsid w:val="22D11FF5"/>
    <w:rsid w:val="26FD64AD"/>
    <w:rsid w:val="28506985"/>
    <w:rsid w:val="298343EA"/>
    <w:rsid w:val="2A4058E8"/>
    <w:rsid w:val="2A622C26"/>
    <w:rsid w:val="3468753F"/>
    <w:rsid w:val="3AB24C1B"/>
    <w:rsid w:val="3E6FD8E3"/>
    <w:rsid w:val="475362E7"/>
    <w:rsid w:val="4BA5410D"/>
    <w:rsid w:val="500F2763"/>
    <w:rsid w:val="50C4642F"/>
    <w:rsid w:val="514B1852"/>
    <w:rsid w:val="51E81ECC"/>
    <w:rsid w:val="5455046E"/>
    <w:rsid w:val="545654E5"/>
    <w:rsid w:val="56B63A01"/>
    <w:rsid w:val="576517BF"/>
    <w:rsid w:val="645E0BFF"/>
    <w:rsid w:val="6AD840C4"/>
    <w:rsid w:val="6B804CA1"/>
    <w:rsid w:val="7C4967C4"/>
    <w:rsid w:val="7E5943F3"/>
    <w:rsid w:val="7EA25F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Salutation"/>
    <w:basedOn w:val="1"/>
    <w:next w:val="1"/>
    <w:link w:val="11"/>
    <w:qFormat/>
    <w:uiPriority w:val="99"/>
  </w:style>
  <w:style w:type="paragraph" w:styleId="4">
    <w:name w:val="Balloon Text"/>
    <w:basedOn w:val="1"/>
    <w:link w:val="14"/>
    <w:semiHidden/>
    <w:unhideWhenUsed/>
    <w:qFormat/>
    <w:uiPriority w:val="99"/>
    <w:rPr>
      <w:sz w:val="18"/>
      <w:szCs w:val="18"/>
    </w:rPr>
  </w:style>
  <w:style w:type="paragraph" w:styleId="5">
    <w:name w:val="footer"/>
    <w:basedOn w:val="1"/>
    <w:link w:val="16"/>
    <w:semiHidden/>
    <w:unhideWhenUsed/>
    <w:qFormat/>
    <w:uiPriority w:val="99"/>
    <w:pPr>
      <w:tabs>
        <w:tab w:val="center" w:pos="4153"/>
        <w:tab w:val="right" w:pos="8306"/>
      </w:tabs>
      <w:snapToGrid w:val="0"/>
      <w:jc w:val="left"/>
    </w:pPr>
    <w:rPr>
      <w:sz w:val="18"/>
      <w:szCs w:val="18"/>
    </w:rPr>
  </w:style>
  <w:style w:type="paragraph" w:styleId="6">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character" w:styleId="10">
    <w:name w:val="annotation reference"/>
    <w:basedOn w:val="9"/>
    <w:semiHidden/>
    <w:unhideWhenUsed/>
    <w:qFormat/>
    <w:uiPriority w:val="99"/>
    <w:rPr>
      <w:sz w:val="21"/>
      <w:szCs w:val="21"/>
    </w:rPr>
  </w:style>
  <w:style w:type="character" w:customStyle="1" w:styleId="11">
    <w:name w:val="称呼 Char"/>
    <w:basedOn w:val="9"/>
    <w:link w:val="3"/>
    <w:qFormat/>
    <w:uiPriority w:val="99"/>
    <w:rPr>
      <w:rFonts w:ascii="Times New Roman" w:hAnsi="Times New Roman" w:eastAsia="仿宋_GB2312" w:cs="Times New Roman"/>
      <w:kern w:val="32"/>
      <w:sz w:val="32"/>
      <w:szCs w:val="20"/>
    </w:rPr>
  </w:style>
  <w:style w:type="paragraph" w:customStyle="1" w:styleId="12">
    <w:name w:val="列表段落1"/>
    <w:basedOn w:val="1"/>
    <w:qFormat/>
    <w:uiPriority w:val="99"/>
    <w:pPr>
      <w:ind w:firstLine="420" w:firstLineChars="200"/>
    </w:p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rFonts w:ascii="Times New Roman" w:hAnsi="Times New Roman" w:eastAsia="仿宋_GB2312"/>
      <w:kern w:val="32"/>
      <w:sz w:val="18"/>
      <w:szCs w:val="18"/>
    </w:rPr>
  </w:style>
  <w:style w:type="character" w:customStyle="1" w:styleId="15">
    <w:name w:val="页眉 Char"/>
    <w:basedOn w:val="9"/>
    <w:link w:val="6"/>
    <w:semiHidden/>
    <w:qFormat/>
    <w:uiPriority w:val="99"/>
    <w:rPr>
      <w:rFonts w:ascii="Times New Roman" w:hAnsi="Times New Roman" w:eastAsia="仿宋_GB2312"/>
      <w:kern w:val="32"/>
      <w:sz w:val="18"/>
      <w:szCs w:val="18"/>
    </w:rPr>
  </w:style>
  <w:style w:type="character" w:customStyle="1" w:styleId="16">
    <w:name w:val="页脚 Char"/>
    <w:basedOn w:val="9"/>
    <w:link w:val="5"/>
    <w:semiHidden/>
    <w:qFormat/>
    <w:uiPriority w:val="99"/>
    <w:rPr>
      <w:rFonts w:ascii="Times New Roman" w:hAnsi="Times New Roman" w:eastAsia="仿宋_GB2312"/>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5</Pages>
  <Words>445</Words>
  <Characters>2537</Characters>
  <Lines>21</Lines>
  <Paragraphs>5</Paragraphs>
  <TotalTime>30</TotalTime>
  <ScaleCrop>false</ScaleCrop>
  <LinksUpToDate>false</LinksUpToDate>
  <CharactersWithSpaces>2977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2023-12-20T09:44:00Z</dcterms:created>
  <dc:creator>杨敏</dc:creator>
  <cp:lastModifiedBy>叶贤蔚</cp:lastModifiedBy>
  <dcterms:modified xsi:type="dcterms:W3CDTF">2025-09-15T07:03:47Z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B03BA3B169A98F566F85106731A34FD1</vt:lpwstr>
  </property>
</Properties>
</file>