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234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琚浪浪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大专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户籍地湖北省襄樊市，捕前系务工。系涉恶犯罪罪犯。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 w:val="32"/>
          <w:lang w:val="en-US" w:eastAsia="zh-CN"/>
        </w:rPr>
      </w:pPr>
      <w:r>
        <w:rPr>
          <w:rFonts w:hint="eastAsia" w:ascii="仿宋_GB2312"/>
          <w:sz w:val="32"/>
          <w:lang w:val="en-US" w:eastAsia="zh-CN"/>
        </w:rPr>
        <w:t>福建省三明市三明区人民法院于2019年11月26日作出（2019）闽0403刑初64号刑事判决，以被告人琚浪浪犯组织、领导传销活动罪，判处有期徒刑一年四个月，并处罚金人民币四千元；犯抢劫罪，判处有期徒刑十二年，并处罚金人民币五万元；犯非法拘禁罪，判处有期徒刑一年九个月；三罪并罚，决定执行有期徒刑十二年六个月，并处罚金人民币五万四千元。责令被告人</w:t>
      </w:r>
      <w:r>
        <w:rPr>
          <w:rFonts w:hint="eastAsia" w:ascii="仿宋_GB2312"/>
          <w:szCs w:val="32"/>
          <w:lang w:val="en-US" w:eastAsia="zh-CN"/>
        </w:rPr>
        <w:t>琚浪浪退赔违法所得人民币8000元，发还被害人；继续追缴其他违法所得，予以没收，上交国库。</w:t>
      </w:r>
      <w:r>
        <w:rPr>
          <w:rFonts w:hint="eastAsia" w:ascii="仿宋_GB2312"/>
          <w:sz w:val="32"/>
          <w:lang w:val="en-US" w:eastAsia="zh-CN"/>
        </w:rPr>
        <w:t>宣判后，被告人不服，提出上诉。福建省三明市中级人民法院于2020年2月28日作出（2020）闽04刑终12号刑事裁定：驳回上诉，维持原判。刑期自2018年11月7日起至2031年5月6日止。2020年4月20日交付福建省未成年犯管教所执行刑罚。2023年2月23日，福建省福州市中级人民法院作出（2023）闽01刑更160号刑事裁定，对其减刑五个月，2023年2月23日送达。现刑期至2030年12月6日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cs="Times New Roman"/>
          <w:kern w:val="2"/>
          <w:sz w:val="32"/>
          <w:szCs w:val="24"/>
          <w:lang w:val="zh-CN" w:eastAsia="zh-CN"/>
        </w:rPr>
        <w:t>能遵守法律法规及监规纪律，接受教育改造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zh-CN"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该犯上次评定表扬剩余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596.5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分，本轮考核期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2022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日至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2025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31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日累计获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3600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分，合计获得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4196.5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次；间隔期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2023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23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日至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2025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31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日，获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3062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分。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考核期内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无违规扣分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仿宋_GB2312" w:hAnsi="宋体"/>
          <w:iCs/>
          <w:kern w:val="0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default" w:ascii="仿宋_GB2312" w:hAnsi="宋体"/>
          <w:iCs/>
          <w:kern w:val="0"/>
          <w:szCs w:val="32"/>
          <w:lang w:val="en-US" w:eastAsia="zh-CN"/>
        </w:rPr>
        <w:t>原判财产性判项：罚金人民币54000元，责令退赔违法所得人民币8000元，继续追缴其他违法所得。该犯已履行人民币62000元，已全部履行完毕。福建省三明市三元区人民法院出具缴款凭证及复函载明：被告人琚浪浪无其他违法所得需继续追缴，对其财产性判项内容已全部执行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default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该犯系涉恶罪犯罪犯，又因犯抢劫罪被判处十年以上有期徒刑，属于从严掌握减刑对象，因此提请减刑幅度扣减二个月。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琚浪浪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琚浪浪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D24A8A"/>
    <w:rsid w:val="039B5B42"/>
    <w:rsid w:val="083B402A"/>
    <w:rsid w:val="09372A91"/>
    <w:rsid w:val="09E07723"/>
    <w:rsid w:val="09E5745A"/>
    <w:rsid w:val="0A2567A1"/>
    <w:rsid w:val="10127714"/>
    <w:rsid w:val="142E4E89"/>
    <w:rsid w:val="240D3042"/>
    <w:rsid w:val="26AB2461"/>
    <w:rsid w:val="32A83F58"/>
    <w:rsid w:val="348E0C5B"/>
    <w:rsid w:val="4F5802D1"/>
    <w:rsid w:val="5E193780"/>
    <w:rsid w:val="63A37932"/>
    <w:rsid w:val="64761401"/>
    <w:rsid w:val="6BA85A3B"/>
    <w:rsid w:val="6F33435C"/>
    <w:rsid w:val="73BD36E7"/>
    <w:rsid w:val="76F5510B"/>
    <w:rsid w:val="7C11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2025-11-18T06:04:16Z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DD0ED96428B642888D8ECC714742BCA8</vt:lpwstr>
  </property>
</Properties>
</file>