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6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 w:cs="楷体_GB2312"/>
          <w:szCs w:val="32"/>
          <w:lang w:val="en-US" w:eastAsia="zh-CN"/>
        </w:rPr>
        <w:t>25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316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0" w:rightChars="0" w:firstLine="0" w:firstLineChars="0"/>
        <w:textAlignment w:val="auto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default" w:ascii="仿宋_GB2312" w:eastAsia="仿宋_GB2312"/>
          <w:szCs w:val="32"/>
          <w:lang w:val="en-US" w:eastAsia="zh-CN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陈杨希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</w:t>
      </w:r>
      <w:r>
        <w:rPr>
          <w:rFonts w:hint="eastAsia" w:ascii="仿宋_GB2312"/>
          <w:szCs w:val="32"/>
          <w:lang w:val="en-US" w:eastAsia="zh-CN"/>
        </w:rPr>
        <w:t>1983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28</w:t>
      </w:r>
      <w:r>
        <w:rPr>
          <w:rFonts w:hint="eastAsia" w:ascii="仿宋_GB2312"/>
          <w:szCs w:val="32"/>
        </w:rPr>
        <w:t>日出生，汉族，</w:t>
      </w:r>
      <w:r>
        <w:rPr>
          <w:rFonts w:hint="eastAsia" w:ascii="仿宋_GB2312"/>
          <w:szCs w:val="32"/>
          <w:lang w:val="en-US" w:eastAsia="zh-CN"/>
        </w:rPr>
        <w:t>小学文化</w:t>
      </w:r>
      <w:r>
        <w:rPr>
          <w:rFonts w:hint="eastAsia" w:ascii="仿宋_GB2312"/>
          <w:szCs w:val="32"/>
        </w:rPr>
        <w:t>，住福建省</w:t>
      </w:r>
      <w:r>
        <w:rPr>
          <w:rFonts w:hint="eastAsia" w:ascii="仿宋_GB2312"/>
          <w:szCs w:val="32"/>
          <w:lang w:val="en-US" w:eastAsia="zh-CN"/>
        </w:rPr>
        <w:t>宁德市</w:t>
      </w:r>
      <w:r>
        <w:rPr>
          <w:rFonts w:hint="eastAsia" w:ascii="仿宋_GB2312"/>
          <w:szCs w:val="32"/>
        </w:rPr>
        <w:t>霞浦县</w:t>
      </w:r>
      <w:bookmarkStart w:id="0" w:name="_GoBack"/>
      <w:bookmarkEnd w:id="0"/>
      <w:r>
        <w:rPr>
          <w:rFonts w:hint="eastAsia" w:ascii="仿宋_GB2312"/>
          <w:szCs w:val="32"/>
        </w:rPr>
        <w:t>，捕前系</w:t>
      </w:r>
      <w:r>
        <w:rPr>
          <w:rFonts w:hint="eastAsia" w:ascii="仿宋_GB2312"/>
          <w:szCs w:val="32"/>
          <w:lang w:val="en-US" w:eastAsia="zh-CN"/>
        </w:rPr>
        <w:t>无业</w:t>
      </w:r>
      <w:r>
        <w:rPr>
          <w:rFonts w:hint="eastAsia" w:ascii="仿宋_GB2312"/>
          <w:szCs w:val="32"/>
          <w:lang w:eastAsia="zh-CN"/>
        </w:rPr>
        <w:t>。</w:t>
      </w:r>
      <w:r>
        <w:rPr>
          <w:rFonts w:hint="eastAsia" w:ascii="仿宋_GB2312"/>
          <w:szCs w:val="32"/>
          <w:lang w:val="en-US" w:eastAsia="zh-CN"/>
        </w:rPr>
        <w:t>曾因犯盗窃罪于2003年9月3日被福建省福州市鼓楼区人民法院判处有期徒刑二年；因犯抢劫罪于2008年2月25日被福建省福州市长乐区人民法院判处有期徒刑十一年，2014年7月4日刑满释放</w:t>
      </w:r>
      <w:r>
        <w:rPr>
          <w:rFonts w:hint="eastAsia" w:ascii="仿宋_GB2312"/>
          <w:szCs w:val="32"/>
        </w:rPr>
        <w:t>。</w:t>
      </w:r>
      <w:r>
        <w:rPr>
          <w:rFonts w:hint="eastAsia" w:ascii="仿宋_GB2312"/>
          <w:szCs w:val="32"/>
          <w:lang w:val="en-US" w:eastAsia="zh-CN"/>
        </w:rPr>
        <w:t>系累犯。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  <w:lang w:val="en-US" w:eastAsia="zh-CN"/>
        </w:rPr>
        <w:t>福建</w:t>
      </w:r>
      <w:r>
        <w:rPr>
          <w:rFonts w:hint="eastAsia" w:ascii="仿宋_GB2312"/>
          <w:szCs w:val="32"/>
        </w:rPr>
        <w:t>省</w:t>
      </w:r>
      <w:r>
        <w:rPr>
          <w:rFonts w:hint="eastAsia" w:ascii="仿宋_GB2312"/>
          <w:szCs w:val="32"/>
          <w:lang w:val="en-US" w:eastAsia="zh-CN"/>
        </w:rPr>
        <w:t>福州市长乐区</w:t>
      </w:r>
      <w:r>
        <w:rPr>
          <w:rFonts w:hint="eastAsia" w:ascii="仿宋_GB2312"/>
          <w:szCs w:val="32"/>
        </w:rPr>
        <w:t>人民法院于</w:t>
      </w:r>
      <w:r>
        <w:rPr>
          <w:rFonts w:hint="eastAsia" w:ascii="仿宋_GB2312"/>
          <w:szCs w:val="32"/>
          <w:lang w:val="en-US" w:eastAsia="zh-CN"/>
        </w:rPr>
        <w:t>2022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15</w:t>
      </w:r>
      <w:r>
        <w:rPr>
          <w:rFonts w:hint="eastAsia" w:ascii="仿宋_GB2312"/>
          <w:szCs w:val="32"/>
        </w:rPr>
        <w:t>日作出（</w:t>
      </w:r>
      <w:r>
        <w:rPr>
          <w:rFonts w:hint="eastAsia" w:ascii="仿宋_GB2312"/>
          <w:szCs w:val="32"/>
          <w:lang w:val="en-US" w:eastAsia="zh-CN"/>
        </w:rPr>
        <w:t>2022</w:t>
      </w:r>
      <w:r>
        <w:rPr>
          <w:rFonts w:hint="eastAsia" w:ascii="仿宋_GB2312"/>
          <w:szCs w:val="32"/>
        </w:rPr>
        <w:t>）</w:t>
      </w:r>
      <w:r>
        <w:rPr>
          <w:rFonts w:hint="eastAsia" w:ascii="仿宋_GB2312"/>
          <w:szCs w:val="32"/>
          <w:lang w:val="en-US" w:eastAsia="zh-CN"/>
        </w:rPr>
        <w:t>闽0112刑初255</w:t>
      </w:r>
      <w:r>
        <w:rPr>
          <w:rFonts w:hint="eastAsia" w:ascii="仿宋_GB2312"/>
          <w:szCs w:val="32"/>
        </w:rPr>
        <w:t>号刑事判决，以被告人</w:t>
      </w:r>
      <w:r>
        <w:rPr>
          <w:rFonts w:hint="eastAsia" w:ascii="仿宋_GB2312"/>
          <w:szCs w:val="32"/>
          <w:lang w:val="en-US" w:eastAsia="zh-CN"/>
        </w:rPr>
        <w:t>陈杨希</w:t>
      </w:r>
      <w:r>
        <w:rPr>
          <w:rFonts w:hint="eastAsia" w:ascii="仿宋_GB2312"/>
          <w:szCs w:val="32"/>
        </w:rPr>
        <w:t>犯</w:t>
      </w:r>
      <w:r>
        <w:rPr>
          <w:rFonts w:hint="eastAsia" w:ascii="仿宋_GB2312"/>
          <w:szCs w:val="32"/>
          <w:lang w:val="en-US" w:eastAsia="zh-CN"/>
        </w:rPr>
        <w:t>聚众斗殴</w:t>
      </w:r>
      <w:r>
        <w:rPr>
          <w:rFonts w:hint="eastAsia" w:ascii="仿宋_GB2312"/>
          <w:szCs w:val="32"/>
        </w:rPr>
        <w:t>罪，判处有期徒刑</w:t>
      </w:r>
      <w:r>
        <w:rPr>
          <w:rFonts w:hint="eastAsia" w:ascii="仿宋_GB2312"/>
          <w:szCs w:val="32"/>
          <w:lang w:val="en-US" w:eastAsia="zh-CN"/>
        </w:rPr>
        <w:t>四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三个月</w:t>
      </w:r>
      <w:r>
        <w:rPr>
          <w:rFonts w:hint="eastAsia" w:ascii="仿宋_GB2312"/>
          <w:szCs w:val="32"/>
        </w:rPr>
        <w:t>。</w:t>
      </w:r>
      <w:r>
        <w:rPr>
          <w:rFonts w:hint="eastAsia" w:ascii="仿宋_GB2312"/>
          <w:szCs w:val="32"/>
          <w:lang w:val="en-US" w:eastAsia="zh-CN"/>
        </w:rPr>
        <w:t>宣判后，同案被告人不服，提出上诉</w:t>
      </w:r>
      <w:r>
        <w:rPr>
          <w:rFonts w:hint="eastAsia" w:ascii="仿宋_GB2312"/>
          <w:szCs w:val="32"/>
        </w:rPr>
        <w:t>。</w:t>
      </w:r>
      <w:r>
        <w:rPr>
          <w:rFonts w:hint="eastAsia" w:ascii="仿宋_GB2312"/>
          <w:szCs w:val="32"/>
          <w:lang w:val="en-US" w:eastAsia="zh-CN"/>
        </w:rPr>
        <w:t>福建省福州市中级人民法院于2022年9月8日作出(2022)闽01刑终832号刑事裁定：驳回上诉，维持原判。</w:t>
      </w:r>
      <w:r>
        <w:rPr>
          <w:rFonts w:hint="eastAsia" w:ascii="仿宋_GB2312"/>
          <w:szCs w:val="32"/>
        </w:rPr>
        <w:t>刑期自</w:t>
      </w:r>
      <w:r>
        <w:rPr>
          <w:rFonts w:hint="eastAsia" w:ascii="仿宋_GB2312"/>
          <w:szCs w:val="32"/>
          <w:lang w:val="en-US" w:eastAsia="zh-CN"/>
        </w:rPr>
        <w:t>2022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18</w:t>
      </w:r>
      <w:r>
        <w:rPr>
          <w:rFonts w:hint="eastAsia" w:ascii="仿宋_GB2312"/>
          <w:szCs w:val="32"/>
        </w:rPr>
        <w:t>日起至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17</w:t>
      </w:r>
      <w:r>
        <w:rPr>
          <w:rFonts w:hint="eastAsia" w:ascii="仿宋_GB2312"/>
          <w:szCs w:val="32"/>
        </w:rPr>
        <w:t>日止。</w:t>
      </w:r>
      <w:r>
        <w:rPr>
          <w:rFonts w:hint="eastAsia" w:ascii="仿宋_GB2312"/>
          <w:szCs w:val="32"/>
          <w:lang w:val="en-US" w:eastAsia="zh-CN"/>
        </w:rPr>
        <w:t>2022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29</w:t>
      </w:r>
      <w:r>
        <w:rPr>
          <w:rFonts w:hint="eastAsia" w:ascii="仿宋_GB2312"/>
          <w:szCs w:val="32"/>
        </w:rPr>
        <w:t>日交付福建省未成年犯管教所执行刑罚。属</w:t>
      </w:r>
      <w:r>
        <w:rPr>
          <w:rFonts w:hint="eastAsia" w:ascii="仿宋_GB2312"/>
          <w:szCs w:val="32"/>
          <w:lang w:val="en-US" w:eastAsia="zh-CN"/>
        </w:rPr>
        <w:t>考察</w:t>
      </w:r>
      <w:r>
        <w:rPr>
          <w:rFonts w:hint="eastAsia" w:ascii="仿宋_GB2312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left"/>
        <w:textAlignment w:val="auto"/>
        <w:rPr>
          <w:rFonts w:ascii="仿宋_GB2312" w:hAnsi="仿宋"/>
          <w:iCs/>
          <w:kern w:val="2"/>
          <w:szCs w:val="32"/>
        </w:rPr>
      </w:pPr>
      <w:r>
        <w:rPr>
          <w:rFonts w:hint="eastAsia" w:ascii="Times New Roman" w:hAnsi="Times New Roman" w:cs="Times New Roman"/>
          <w:szCs w:val="32"/>
          <w:lang w:val="zh-CN"/>
        </w:rPr>
        <w:t>1.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 w:hAnsi="仿宋_GB2312" w:cs="仿宋_GB2312"/>
          <w:szCs w:val="32"/>
        </w:rPr>
        <w:t>罪犯存在违规行为，但经民警教育引导后能遵守法律法规及监规纪律、接</w:t>
      </w:r>
      <w:r>
        <w:rPr>
          <w:rFonts w:hint="eastAsia" w:ascii="仿宋_GB2312" w:hAnsi="仿宋_GB2312" w:cs="仿宋_GB2312"/>
          <w:szCs w:val="32"/>
          <w:lang w:val="zh-CN"/>
        </w:rPr>
        <w:t>受教育改造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left="640" w:firstLine="0" w:firstLineChars="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Times New Roman" w:hAnsi="Times New Roman" w:cs="Times New Roman"/>
          <w:szCs w:val="32"/>
          <w:lang w:val="zh-CN"/>
        </w:rPr>
        <w:t>3.</w:t>
      </w: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/>
        <w:jc w:val="left"/>
        <w:textAlignment w:val="auto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ascii="Times New Roman" w:hAnsi="Times New Roman" w:cs="Times New Roman"/>
          <w:szCs w:val="32"/>
          <w:lang w:val="zh-CN"/>
        </w:rPr>
        <w:t>4.</w:t>
      </w: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/>
        <w:jc w:val="left"/>
        <w:textAlignment w:val="auto"/>
        <w:rPr>
          <w:rFonts w:hint="default" w:ascii="仿宋_GB2312" w:hAnsi="仿宋_GB2312" w:cs="仿宋_GB2312"/>
          <w:bCs/>
          <w:szCs w:val="32"/>
          <w:lang w:val="en-US" w:eastAsia="zh-CN"/>
        </w:rPr>
      </w:pPr>
      <w:r>
        <w:rPr>
          <w:rFonts w:hint="eastAsia" w:ascii="Times New Roman" w:hAnsi="Times New Roman" w:cs="Times New Roman"/>
          <w:szCs w:val="32"/>
          <w:lang w:val="zh-CN"/>
        </w:rPr>
        <w:t>5.</w:t>
      </w: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该犯考核期</w:t>
      </w:r>
      <w:r>
        <w:rPr>
          <w:rFonts w:hint="eastAsia" w:ascii="仿宋_GB2312"/>
          <w:szCs w:val="32"/>
          <w:lang w:val="en-US" w:eastAsia="zh-CN"/>
        </w:rPr>
        <w:t>2022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29</w:t>
      </w:r>
      <w:r>
        <w:rPr>
          <w:rFonts w:hint="eastAsia" w:ascii="仿宋_GB2312"/>
          <w:szCs w:val="32"/>
        </w:rPr>
        <w:t>日</w:t>
      </w:r>
      <w:r>
        <w:rPr>
          <w:rFonts w:hint="eastAsia" w:ascii="仿宋_GB2312" w:hAnsi="仿宋_GB2312" w:cs="仿宋_GB2312"/>
          <w:bCs/>
          <w:szCs w:val="32"/>
        </w:rPr>
        <w:t>至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9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30</w:t>
      </w:r>
      <w:r>
        <w:rPr>
          <w:rFonts w:hint="eastAsia" w:ascii="仿宋_GB2312" w:hAnsi="仿宋_GB2312" w:cs="仿宋_GB2312"/>
          <w:bCs/>
          <w:szCs w:val="32"/>
        </w:rPr>
        <w:t>日累计获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3396.1</w:t>
      </w:r>
      <w:r>
        <w:rPr>
          <w:rFonts w:hint="eastAsia" w:ascii="仿宋_GB2312" w:hAnsi="仿宋_GB2312" w:cs="仿宋_GB2312"/>
          <w:bCs/>
          <w:szCs w:val="32"/>
        </w:rPr>
        <w:t>分，表扬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bCs/>
          <w:szCs w:val="32"/>
        </w:rPr>
        <w:t>次，物质奖励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bCs/>
          <w:szCs w:val="32"/>
        </w:rPr>
        <w:t>次</w:t>
      </w:r>
      <w:r>
        <w:rPr>
          <w:rFonts w:hint="eastAsia" w:ascii="仿宋_GB2312" w:hAnsi="仿宋_GB2312" w:cs="仿宋_GB2312"/>
          <w:bCs/>
          <w:szCs w:val="32"/>
          <w:lang w:eastAsia="zh-CN"/>
        </w:rPr>
        <w:t>。</w:t>
      </w:r>
      <w:r>
        <w:rPr>
          <w:rFonts w:hint="eastAsia" w:ascii="仿宋_GB2312" w:hAnsi="仿宋_GB2312" w:cs="仿宋_GB2312"/>
          <w:bCs/>
          <w:szCs w:val="32"/>
        </w:rPr>
        <w:t>考核期内违规6次，累计扣18分</w:t>
      </w:r>
      <w:r>
        <w:rPr>
          <w:rFonts w:hint="eastAsia" w:ascii="仿宋_GB2312" w:hAnsi="仿宋_GB2312" w:cs="仿宋_GB2312"/>
          <w:bCs/>
          <w:szCs w:val="32"/>
          <w:lang w:eastAsia="zh-CN"/>
        </w:rPr>
        <w:t>。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fldChar w:fldCharType="begin"/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instrText xml:space="preserve"> HYPERLINK "javascript:;" </w:instrTex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fldChar w:fldCharType="separate"/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该犯系累犯，属于从严掌握减刑对象，因此提请减刑幅度扣减一个月。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24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30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、</w:t>
      </w:r>
      <w:r>
        <w:rPr>
          <w:rFonts w:hint="eastAsia" w:ascii="仿宋_GB2312" w:hAnsi="仿宋_GB2312" w:cs="仿宋_GB2312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/>
          <w:szCs w:val="32"/>
          <w:lang w:val="en-US" w:eastAsia="zh-CN"/>
        </w:rPr>
        <w:t>陈杨希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eastAsia="zh-CN"/>
        </w:rPr>
        <w:t>四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0" w:firstLineChars="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val="en-US" w:eastAsia="zh-CN"/>
        </w:rPr>
        <w:t>福州</w:t>
      </w:r>
      <w:r>
        <w:rPr>
          <w:rFonts w:hint="eastAsia"/>
          <w:szCs w:val="32"/>
        </w:rPr>
        <w:t>市中级人民法院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ascii="仿宋_GB2312"/>
          <w:szCs w:val="32"/>
          <w:lang w:val="en-US" w:eastAsia="zh-CN"/>
        </w:rPr>
        <w:t>陈杨希</w:t>
      </w:r>
      <w:r>
        <w:rPr>
          <w:rFonts w:hint="eastAsia" w:cs="仿宋_GB2312"/>
          <w:szCs w:val="32"/>
        </w:rPr>
        <w:t>卷宗</w:t>
      </w:r>
      <w:r>
        <w:rPr>
          <w:rFonts w:hint="eastAsia" w:ascii="Times New Roman" w:hAnsi="Times New Roman" w:cs="仿宋_GB2312"/>
          <w:szCs w:val="32"/>
          <w:lang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 w:firstLine="960" w:firstLineChars="30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ascii="Times New Roman" w:hAnsi="Times New Roman" w:cs="仿宋_GB2312"/>
          <w:szCs w:val="32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/>
        <w:jc w:val="left"/>
        <w:textAlignment w:val="auto"/>
        <w:rPr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1280" w:rightChars="400" w:firstLine="4480" w:firstLineChars="1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1280" w:rightChars="400"/>
        <w:jc w:val="left"/>
        <w:textAlignment w:val="auto"/>
      </w:pPr>
      <w:r>
        <w:rPr>
          <w:rFonts w:hint="eastAsia"/>
          <w:szCs w:val="32"/>
        </w:rPr>
        <w:t xml:space="preserve">                        </w:t>
      </w:r>
      <w:r>
        <w:rPr>
          <w:rFonts w:hint="eastAsia"/>
          <w:szCs w:val="32"/>
          <w:lang w:val="en-US" w:eastAsia="zh-CN"/>
        </w:rPr>
        <w:t xml:space="preserve">       2026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1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8</w:t>
      </w:r>
      <w:r>
        <w:rPr>
          <w:rFonts w:hint="eastAsia"/>
          <w:szCs w:val="32"/>
        </w:rPr>
        <w:t>日</w:t>
      </w:r>
    </w:p>
    <w:p/>
    <w:sectPr>
      <w:pgSz w:w="11906" w:h="16838"/>
      <w:pgMar w:top="1871" w:right="1304" w:bottom="1871" w:left="1587" w:header="851" w:footer="992" w:gutter="0"/>
      <w:cols w:space="0" w:num="1"/>
      <w:rtlGutter w:val="0"/>
      <w:docGrid w:type="lines" w:linePitch="43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218"/>
  <w:displayHorizontalDrawingGridEvery w:val="1"/>
  <w:displayVerticalDrawingGridEvery w:val="2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261E3"/>
    <w:rsid w:val="030A77C3"/>
    <w:rsid w:val="0B3A2691"/>
    <w:rsid w:val="112266DC"/>
    <w:rsid w:val="1E1A5DEE"/>
    <w:rsid w:val="4EBA770C"/>
    <w:rsid w:val="595E53F3"/>
    <w:rsid w:val="59B338F8"/>
    <w:rsid w:val="5E1E6CE9"/>
    <w:rsid w:val="65054FF1"/>
    <w:rsid w:val="68047B29"/>
    <w:rsid w:val="749C579F"/>
    <w:rsid w:val="74D745D8"/>
    <w:rsid w:val="766F5885"/>
    <w:rsid w:val="78C46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5"/>
    <w:qFormat/>
    <w:uiPriority w:val="99"/>
  </w:style>
  <w:style w:type="character" w:customStyle="1" w:styleId="5">
    <w:name w:val="称呼 Char"/>
    <w:basedOn w:val="4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4</Pages>
  <Words>367</Words>
  <Characters>2097</Characters>
  <Lines>17</Lines>
  <Paragraphs>4</Paragraphs>
  <TotalTime>0</TotalTime>
  <ScaleCrop>false</ScaleCrop>
  <LinksUpToDate>false</LinksUpToDate>
  <CharactersWithSpaces>2460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dcterms:modified xsi:type="dcterms:W3CDTF">2026-01-12T03:22:28Z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5A284BC3C0DE4595AF2C7E5398367C55</vt:lpwstr>
  </property>
</Properties>
</file>