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楷体_GB2312" w:hAnsi="Times New Roman" w:eastAsia="楷体_GB2312" w:cs="楷体_GB2312"/>
          <w:kern w:val="32"/>
          <w:sz w:val="32"/>
          <w:szCs w:val="32"/>
          <w:lang w:val="en-US" w:eastAsia="zh-CN"/>
        </w:rPr>
        <w:t>92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兰小雄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1963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畲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小学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无业。2003年2月17日，因犯贩卖、运输毒品罪被判处有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期徒刑十二年，剥夺政治权利三年，并处罚金人民币20000元，于2009年12月25日被假释，假释期限至2012年5月16日，系累犯，系毒品再犯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福建省南平市中级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29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闽07刑初16号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兰小雄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贩卖毒品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罪，判处无期徒刑，剥夺政治权利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终身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并处没收个人财产人民币60000元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被告人不服，提出上诉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福建省高级人民法院于2018年6月26日作出（2018）闽刑终139号刑事裁定，驳回上诉，维持原判。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2018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color w:val="auto"/>
          <w:kern w:val="32"/>
          <w:sz w:val="32"/>
          <w:szCs w:val="32"/>
          <w:lang w:val="en-US" w:eastAsia="zh-CN"/>
        </w:rPr>
        <w:t>监狱执行。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高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（2022）闽刑更286号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刑事裁定将其刑罚减为有期徒刑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二十二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年，剥夺政治权利改为十年。裁定书送达时间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2044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日止）。现属普管级罪犯。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自上次减刑以来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奖惩情况：该犯上次评定表扬剩余考核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334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分，本轮考核期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3392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分，合计获得考核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3726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次；间隔期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日至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月，获考核</w:t>
      </w:r>
      <w:r>
        <w:rPr>
          <w:rFonts w:hint="default" w:ascii="仿宋_GB2312" w:eastAsia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2756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分。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违规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次，累计扣考核分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无重大违规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60000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元；其中本次提请向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福建省南平市中级人民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法院缴纳没收个人财产人民币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59000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元。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财产性判项已全部履行完毕。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累犯、毒品再犯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，属于从严掌握减刑对象，因此提请减刑幅度扣减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widowControl w:val="0"/>
        <w:spacing w:before="0" w:beforeAutospacing="0" w:after="0" w:afterAutospacing="0" w:line="430" w:lineRule="exact"/>
        <w:ind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兰小雄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年不变。特提请你院审理裁定。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兰小雄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50C3B8A"/>
    <w:rsid w:val="2D9D57E9"/>
    <w:rsid w:val="5DB35D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2025-01-04T00:19:00Z</cp:lastPrinted>
  <dcterms:modified xsi:type="dcterms:W3CDTF">2025-03-03T01:30:38Z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