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="0" w:beforeAutospacing="0" w:after="0" w:afterAutospacing="0" w:line="800" w:lineRule="exact"/>
        <w:ind w:left="0" w:leftChars="0" w:right="0" w:firstLine="0" w:firstLineChars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91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邱遵礼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1995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务工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2014年9月16日因犯非法持有枪支罪被福鼎市人民法院判处有期徒刑一年六个月，撤销前罪缓刑，数罪并罚，执行有期徒刑二年三个月，2016年3月4日刑满释放,系累犯。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福建省宁德市中级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闽09刑初50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号刑事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附带民事判决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邱遵礼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故意伤害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罪，判处无期徒刑，剥夺政治权利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终身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被告人不服，提出上诉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福建省高级人民法院于2018年9月25日作出（2018）闽刑终217号刑事裁定：驳回上诉，维持原判。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2018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监狱执行。福建省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高级人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（2022）闽刑更208号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刑事裁定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将其刑罚减为有期徒刑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二十二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年，剥夺政治权利改为十年。裁定书送达时间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2044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自上次减刑以来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遵守监规：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eastAsia="仿宋_GB2312" w:cs="仿宋_GB2312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奖惩情况：该犯上次评定表扬剩余考核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428.5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分，本轮考核期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1日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3867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分，合计获得考核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4295.5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分，表扬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次，物质奖励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次；间隔期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2022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19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日至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月，获考核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积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3035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分。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考核期内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违规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次，累计扣考核分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38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分，</w:t>
      </w:r>
      <w:r>
        <w:rPr>
          <w:rFonts w:hint="eastAsia" w:ascii="仿宋_GB2312" w:cs="仿宋_GB2312"/>
          <w:bCs/>
          <w:kern w:val="32"/>
          <w:sz w:val="32"/>
          <w:szCs w:val="32"/>
          <w:lang w:eastAsia="zh-CN"/>
        </w:rPr>
        <w:t>无重大违规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累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犯，属于从严掌握减刑对象，因此提请减刑幅度扣减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14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日至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日在狱内公示未收到不同意见。</w:t>
      </w:r>
    </w:p>
    <w:p>
      <w:pPr>
        <w:widowControl w:val="0"/>
        <w:spacing w:before="0" w:beforeAutospacing="0" w:after="0" w:afterAutospacing="0" w:line="430" w:lineRule="exact"/>
        <w:ind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邱遵礼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六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个月，剥夺政治权利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十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年不变。特提请你院审理裁定。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ascii="仿宋_GB2312" w:cs="仿宋_GB2312"/>
          <w:kern w:val="32"/>
          <w:sz w:val="32"/>
          <w:szCs w:val="32"/>
          <w:lang w:eastAsia="zh-CN"/>
        </w:rPr>
        <w:t>南平市中级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邱遵礼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福建省武夷山监狱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日</w:t>
      </w: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CD63A3"/>
    <w:rsid w:val="2B01145E"/>
    <w:rsid w:val="727F20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2025-03-03T01:30:26Z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