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楷体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〕闽</w:t>
      </w:r>
      <w:r>
        <w:rPr>
          <w:rFonts w:hint="eastAsia" w:eastAsia="楷体_GB2312" w:cs="楷体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武</w:t>
      </w:r>
      <w:r>
        <w:rPr>
          <w:rFonts w:hint="eastAsia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狱减字第</w:t>
      </w:r>
      <w:r>
        <w:rPr>
          <w:rFonts w:hint="eastAsia" w:eastAsia="楷体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150</w:t>
      </w:r>
      <w:r>
        <w:rPr>
          <w:rFonts w:hint="eastAsia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黎坤城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  <w:lang w:eastAsia="zh-CN"/>
        </w:rPr>
        <w:t>，19</w:t>
      </w:r>
      <w:r>
        <w:rPr>
          <w:rFonts w:hint="eastAsia" w:ascii="仿宋_GB2312"/>
          <w:color w:val="auto"/>
          <w:szCs w:val="32"/>
          <w:lang w:val="en-US" w:eastAsia="zh-CN"/>
        </w:rPr>
        <w:t>93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初中肄业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，捕前系无业。</w:t>
      </w:r>
      <w:r>
        <w:rPr>
          <w:rFonts w:hint="eastAsia" w:ascii="仿宋_GB2312"/>
          <w:color w:val="auto"/>
          <w:szCs w:val="32"/>
          <w:lang w:val="en-US" w:eastAsia="zh-CN"/>
        </w:rPr>
        <w:t>曾因犯故意伤害罪、寻衅滋事罪于2015年11月30日被判处有期徒刑一年；又因犯寻衅滋事罪于2017年12月8日被判处有期徒刑八个月，系累犯。</w:t>
      </w:r>
      <w:r>
        <w:rPr>
          <w:rFonts w:hint="eastAsia" w:ascii="仿宋_GB2312"/>
          <w:color w:val="auto"/>
          <w:szCs w:val="32"/>
          <w:lang w:eastAsia="zh-CN"/>
        </w:rPr>
        <w:t>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南平市中级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号刑事</w:t>
      </w:r>
      <w:r>
        <w:rPr>
          <w:rFonts w:hint="eastAsia" w:ascii="仿宋_GB2312"/>
          <w:color w:val="auto"/>
          <w:szCs w:val="32"/>
          <w:lang w:val="en-US" w:eastAsia="zh-CN"/>
        </w:rPr>
        <w:t>附带民事判决</w:t>
      </w:r>
      <w:r>
        <w:rPr>
          <w:rFonts w:hint="eastAsia" w:ascii="仿宋_GB2312"/>
          <w:color w:val="auto"/>
          <w:szCs w:val="32"/>
        </w:rPr>
        <w:t>，以被告人</w:t>
      </w:r>
      <w:r>
        <w:rPr>
          <w:rFonts w:hint="eastAsia" w:ascii="仿宋_GB2312"/>
          <w:color w:val="auto"/>
          <w:szCs w:val="32"/>
          <w:lang w:val="en-US" w:eastAsia="zh-CN"/>
        </w:rPr>
        <w:t>黎坤城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故意伤害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死刑，缓刑二年执行，剥夺政治权利终身；应</w:t>
      </w:r>
      <w:r>
        <w:rPr>
          <w:rFonts w:hint="eastAsia" w:ascii="仿宋_GB2312"/>
          <w:color w:val="auto"/>
          <w:szCs w:val="32"/>
        </w:rPr>
        <w:t>赔偿</w:t>
      </w:r>
      <w:r>
        <w:rPr>
          <w:rFonts w:hint="eastAsia" w:ascii="仿宋_GB2312"/>
          <w:color w:val="auto"/>
          <w:szCs w:val="32"/>
          <w:lang w:eastAsia="zh-CN"/>
        </w:rPr>
        <w:t>给</w:t>
      </w:r>
      <w:r>
        <w:rPr>
          <w:rFonts w:hint="eastAsia" w:ascii="仿宋_GB2312"/>
          <w:color w:val="auto"/>
          <w:szCs w:val="32"/>
        </w:rPr>
        <w:t>附带民事诉讼</w:t>
      </w:r>
      <w:r>
        <w:rPr>
          <w:rFonts w:hint="eastAsia" w:ascii="仿宋_GB2312"/>
          <w:color w:val="auto"/>
          <w:szCs w:val="32"/>
          <w:lang w:val="en-US" w:eastAsia="zh-CN"/>
        </w:rPr>
        <w:t>各</w:t>
      </w:r>
      <w:r>
        <w:rPr>
          <w:rFonts w:hint="eastAsia" w:ascii="仿宋_GB2312"/>
          <w:color w:val="auto"/>
          <w:szCs w:val="32"/>
        </w:rPr>
        <w:t>原告人</w:t>
      </w:r>
      <w:r>
        <w:rPr>
          <w:rFonts w:hint="eastAsia" w:ascii="仿宋_GB2312"/>
          <w:color w:val="auto"/>
          <w:szCs w:val="32"/>
          <w:lang w:val="en-US" w:eastAsia="zh-CN"/>
        </w:rPr>
        <w:t>的经济损失</w:t>
      </w:r>
      <w:r>
        <w:rPr>
          <w:rFonts w:hint="eastAsia" w:ascii="仿宋_GB2312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28870.45</w:t>
      </w:r>
      <w:r>
        <w:rPr>
          <w:rFonts w:hint="eastAsia" w:ascii="仿宋_GB2312"/>
          <w:color w:val="auto"/>
          <w:szCs w:val="32"/>
        </w:rPr>
        <w:t>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被告人</w:t>
      </w:r>
      <w:r>
        <w:rPr>
          <w:rFonts w:hint="eastAsia" w:ascii="仿宋_GB2312"/>
          <w:color w:val="auto"/>
          <w:szCs w:val="32"/>
        </w:rPr>
        <w:t>不服，提出上诉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高级</w:t>
      </w:r>
      <w:r>
        <w:rPr>
          <w:rFonts w:hint="eastAsia" w:ascii="仿宋_GB2312"/>
          <w:color w:val="auto"/>
          <w:szCs w:val="32"/>
        </w:rPr>
        <w:t>人民法院于20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日作出（20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）闽刑终</w:t>
      </w:r>
      <w:r>
        <w:rPr>
          <w:rFonts w:hint="eastAsia" w:ascii="仿宋_GB2312"/>
          <w:color w:val="auto"/>
          <w:szCs w:val="32"/>
          <w:lang w:val="en-US" w:eastAsia="zh-CN"/>
        </w:rPr>
        <w:t>140</w:t>
      </w:r>
      <w:r>
        <w:rPr>
          <w:rFonts w:hint="eastAsia" w:ascii="仿宋_GB2312"/>
          <w:color w:val="auto"/>
          <w:szCs w:val="32"/>
        </w:rPr>
        <w:t>号刑事</w:t>
      </w:r>
      <w:r>
        <w:rPr>
          <w:rFonts w:hint="eastAsia" w:ascii="仿宋_GB2312"/>
          <w:color w:val="auto"/>
          <w:szCs w:val="32"/>
          <w:lang w:eastAsia="zh-CN"/>
        </w:rPr>
        <w:t>附带民事</w:t>
      </w:r>
      <w:r>
        <w:rPr>
          <w:rFonts w:hint="eastAsia" w:ascii="仿宋_GB2312"/>
          <w:color w:val="auto"/>
          <w:szCs w:val="32"/>
          <w:lang w:val="en-US" w:eastAsia="zh-CN"/>
        </w:rPr>
        <w:t>裁定</w:t>
      </w:r>
      <w:r>
        <w:rPr>
          <w:rFonts w:hint="eastAsia" w:ascii="仿宋_GB2312"/>
          <w:color w:val="auto"/>
          <w:szCs w:val="32"/>
          <w:lang w:eastAsia="zh-CN"/>
        </w:rPr>
        <w:t>：</w:t>
      </w:r>
      <w:r>
        <w:rPr>
          <w:rFonts w:hint="eastAsia" w:ascii="仿宋_GB2312"/>
          <w:color w:val="auto"/>
          <w:szCs w:val="32"/>
          <w:lang w:val="en-US" w:eastAsia="zh-CN"/>
        </w:rPr>
        <w:t>驳回上诉，维持原判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核准以故意</w:t>
      </w:r>
      <w:r>
        <w:rPr>
          <w:rFonts w:hint="eastAsia" w:ascii="仿宋_GB2312"/>
          <w:color w:val="auto"/>
          <w:szCs w:val="32"/>
          <w:lang w:val="en-US" w:eastAsia="zh-CN"/>
        </w:rPr>
        <w:t>伤害</w:t>
      </w:r>
      <w:r>
        <w:rPr>
          <w:rFonts w:hint="eastAsia" w:ascii="仿宋_GB2312"/>
          <w:color w:val="auto"/>
          <w:szCs w:val="32"/>
          <w:lang w:eastAsia="zh-CN"/>
        </w:rPr>
        <w:t>罪判处被告人</w:t>
      </w:r>
      <w:r>
        <w:rPr>
          <w:rFonts w:hint="eastAsia" w:ascii="仿宋_GB2312"/>
          <w:color w:val="auto"/>
          <w:szCs w:val="32"/>
          <w:lang w:val="en-US" w:eastAsia="zh-CN"/>
        </w:rPr>
        <w:t>黎坤城</w:t>
      </w:r>
      <w:r>
        <w:rPr>
          <w:rFonts w:hint="eastAsia" w:ascii="仿宋_GB2312"/>
          <w:color w:val="auto"/>
          <w:szCs w:val="32"/>
          <w:lang w:eastAsia="zh-CN"/>
        </w:rPr>
        <w:t>死刑，缓期二年执行，剥夺政治权利终身的刑事裁定（死刑，缓期二年执行起算日期：</w:t>
      </w:r>
      <w:r>
        <w:rPr>
          <w:rFonts w:hint="eastAsia" w:ascii="仿宋_GB2312"/>
          <w:color w:val="auto"/>
          <w:szCs w:val="32"/>
          <w:lang w:val="en-US" w:eastAsia="zh-CN"/>
        </w:rPr>
        <w:t>2022年11月8日，届满日期：2024年11月7日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。2022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val="en-US" w:eastAsia="zh-CN"/>
        </w:rPr>
        <w:t>考察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黎坤城</w:t>
      </w:r>
      <w:r>
        <w:rPr>
          <w:rFonts w:hint="eastAsia" w:ascii="仿宋_GB2312"/>
          <w:color w:val="auto"/>
          <w:szCs w:val="32"/>
          <w:lang w:eastAsia="zh-CN"/>
        </w:rPr>
        <w:t>在死刑缓期执行期间没有故意犯罪，自入监以来改造表现如下</w:t>
      </w:r>
      <w:r>
        <w:rPr>
          <w:rFonts w:hint="eastAsia" w:ascii="仿宋_GB2312"/>
          <w:color w:val="auto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/>
          <w:color w:val="auto"/>
          <w:szCs w:val="32"/>
        </w:rPr>
        <w:t>该犯考核期2022年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月19日至2024年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月累计获核分</w:t>
      </w:r>
      <w:r>
        <w:rPr>
          <w:rFonts w:hint="eastAsia" w:ascii="仿宋_GB2312"/>
          <w:color w:val="auto"/>
          <w:szCs w:val="32"/>
          <w:lang w:val="en-US" w:eastAsia="zh-CN"/>
        </w:rPr>
        <w:t>2243.5</w:t>
      </w:r>
      <w:r>
        <w:rPr>
          <w:rFonts w:hint="eastAsia" w:ascii="仿宋_GB2312"/>
          <w:color w:val="auto"/>
          <w:szCs w:val="32"/>
        </w:rPr>
        <w:t>分，表扬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次；</w:t>
      </w:r>
      <w:r>
        <w:rPr>
          <w:rFonts w:hint="eastAsia" w:ascii="仿宋_GB2312"/>
          <w:color w:val="auto"/>
          <w:szCs w:val="32"/>
          <w:lang w:val="en-US" w:eastAsia="zh-CN"/>
        </w:rPr>
        <w:t>考核期内无违规扣分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该犯原判财产性判项已履行人民币28870.45元，其中本次提请向南平市中级人民法院缴纳人民币28870.45元。财产性判项已履行完毕。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该犯系累犯，属于从严掌握减刑对象。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因此，依照《中华人民共和国刑法》第五十条、第五十七条、《中华人民共和国刑事诉讼法》第二百六十一条和《中华人民共和国监狱法》第三十一条规定，建议</w:t>
      </w:r>
      <w:r>
        <w:rPr>
          <w:rFonts w:hint="eastAsia" w:ascii="仿宋_GB2312"/>
          <w:color w:val="auto"/>
          <w:szCs w:val="32"/>
          <w:lang w:eastAsia="zh-CN"/>
        </w:rPr>
        <w:t>将</w:t>
      </w: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黎坤城刑罚</w:t>
      </w:r>
      <w:r>
        <w:rPr>
          <w:rFonts w:hint="eastAsia" w:ascii="仿宋_GB2312"/>
          <w:color w:val="auto"/>
          <w:szCs w:val="32"/>
        </w:rPr>
        <w:t>减为无期徒刑，剥夺政治权利终身不变。特提请你院审理裁定。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640" w:firstLineChars="200"/>
        <w:jc w:val="both"/>
        <w:textAlignment w:val="auto"/>
        <w:outlineLvl w:val="9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outlineLvl w:val="9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福建省高级人民法院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outlineLvl w:val="9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both"/>
        <w:textAlignment w:val="auto"/>
        <w:outlineLvl w:val="9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黎坤城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both"/>
        <w:textAlignment w:val="auto"/>
        <w:outlineLvl w:val="9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both"/>
        <w:textAlignment w:val="auto"/>
        <w:outlineLvl w:val="9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outlineLvl w:val="9"/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" w:hAnsi="仿宋" w:eastAsia="仿宋" w:cs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color w:val="auto"/>
          <w:szCs w:val="32"/>
        </w:rPr>
        <w:t>年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32"/>
        </w:rPr>
        <w:t>月</w:t>
      </w:r>
      <w:r>
        <w:rPr>
          <w:rFonts w:hint="eastAsia" w:ascii="仿宋" w:hAnsi="仿宋" w:eastAsia="仿宋" w:cs="仿宋"/>
          <w:color w:val="auto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color w:val="auto"/>
          <w:szCs w:val="32"/>
        </w:rPr>
        <w:t>日</w:t>
      </w: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D5E65"/>
    <w:rsid w:val="01047579"/>
    <w:rsid w:val="01413797"/>
    <w:rsid w:val="023E3E6B"/>
    <w:rsid w:val="03BC14C2"/>
    <w:rsid w:val="07687862"/>
    <w:rsid w:val="08821C39"/>
    <w:rsid w:val="0AB26651"/>
    <w:rsid w:val="0ADD6620"/>
    <w:rsid w:val="0B980467"/>
    <w:rsid w:val="0D4D32A5"/>
    <w:rsid w:val="0D80424A"/>
    <w:rsid w:val="0E3A5EFC"/>
    <w:rsid w:val="0E797107"/>
    <w:rsid w:val="0EBB7CBD"/>
    <w:rsid w:val="0F3B7C50"/>
    <w:rsid w:val="0FB70159"/>
    <w:rsid w:val="112E4B8A"/>
    <w:rsid w:val="119A6202"/>
    <w:rsid w:val="14870B09"/>
    <w:rsid w:val="14B15BBE"/>
    <w:rsid w:val="15191DB6"/>
    <w:rsid w:val="15613038"/>
    <w:rsid w:val="15D93169"/>
    <w:rsid w:val="16095EFB"/>
    <w:rsid w:val="1A0757A4"/>
    <w:rsid w:val="1CA072FB"/>
    <w:rsid w:val="1DD02306"/>
    <w:rsid w:val="231A527A"/>
    <w:rsid w:val="232B2088"/>
    <w:rsid w:val="24AF5985"/>
    <w:rsid w:val="264E0609"/>
    <w:rsid w:val="29D56070"/>
    <w:rsid w:val="29E74FEE"/>
    <w:rsid w:val="2A41302E"/>
    <w:rsid w:val="2BBA6F6F"/>
    <w:rsid w:val="2D462528"/>
    <w:rsid w:val="2DF24729"/>
    <w:rsid w:val="32595746"/>
    <w:rsid w:val="346E1536"/>
    <w:rsid w:val="37376172"/>
    <w:rsid w:val="37465CB4"/>
    <w:rsid w:val="3A4066C3"/>
    <w:rsid w:val="3B7A3A2D"/>
    <w:rsid w:val="3CEC42BB"/>
    <w:rsid w:val="3E036E74"/>
    <w:rsid w:val="3FF46EF3"/>
    <w:rsid w:val="3FFE0905"/>
    <w:rsid w:val="405B2010"/>
    <w:rsid w:val="4239675C"/>
    <w:rsid w:val="426D62FB"/>
    <w:rsid w:val="45100E6A"/>
    <w:rsid w:val="45D5564D"/>
    <w:rsid w:val="48351C89"/>
    <w:rsid w:val="48AC3534"/>
    <w:rsid w:val="48E86422"/>
    <w:rsid w:val="48EC79AF"/>
    <w:rsid w:val="496B4A2E"/>
    <w:rsid w:val="497E1AD3"/>
    <w:rsid w:val="49FB0AD8"/>
    <w:rsid w:val="4A4817B6"/>
    <w:rsid w:val="4CC406FF"/>
    <w:rsid w:val="4D145211"/>
    <w:rsid w:val="503E0A7F"/>
    <w:rsid w:val="504F2CF3"/>
    <w:rsid w:val="540C4DC4"/>
    <w:rsid w:val="54CD23BA"/>
    <w:rsid w:val="557119D4"/>
    <w:rsid w:val="572A26C5"/>
    <w:rsid w:val="586C6112"/>
    <w:rsid w:val="5874582E"/>
    <w:rsid w:val="58E1265B"/>
    <w:rsid w:val="5BAB377C"/>
    <w:rsid w:val="5BBD2AAC"/>
    <w:rsid w:val="5C2A51C2"/>
    <w:rsid w:val="5DD33504"/>
    <w:rsid w:val="603873D4"/>
    <w:rsid w:val="65237E49"/>
    <w:rsid w:val="65FF72EC"/>
    <w:rsid w:val="68402C2A"/>
    <w:rsid w:val="684D15ED"/>
    <w:rsid w:val="6C88364A"/>
    <w:rsid w:val="6CC75C37"/>
    <w:rsid w:val="6E0B3507"/>
    <w:rsid w:val="6E3D32F8"/>
    <w:rsid w:val="6E967EBF"/>
    <w:rsid w:val="6ED61FBC"/>
    <w:rsid w:val="6F8942B2"/>
    <w:rsid w:val="6FAE158B"/>
    <w:rsid w:val="71387EAD"/>
    <w:rsid w:val="71E04E9C"/>
    <w:rsid w:val="71F57082"/>
    <w:rsid w:val="726E55EE"/>
    <w:rsid w:val="728E7FC7"/>
    <w:rsid w:val="72D356C6"/>
    <w:rsid w:val="73437C4C"/>
    <w:rsid w:val="73783AA1"/>
    <w:rsid w:val="77FE3FAB"/>
    <w:rsid w:val="781374B9"/>
    <w:rsid w:val="7A2179A1"/>
    <w:rsid w:val="7AD91925"/>
    <w:rsid w:val="7CA95EC6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2025-02-10T00:37:00Z</cp:lastPrinted>
  <dcterms:modified xsi:type="dcterms:W3CDTF">2025-03-03T01:58:33Z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EA03DBD4500F411491ACEC616FD0CEFB</vt:lpwstr>
  </property>
</Properties>
</file>