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="0" w:beforeAutospacing="0" w:after="0" w:afterAutospacing="0" w:line="800" w:lineRule="exact"/>
        <w:ind w:left="0" w:leftChars="0" w:right="0" w:firstLine="2200" w:firstLineChars="5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Times New Roman" w:hAnsi="Times New Roman" w:eastAsia="楷体_GB2312" w:cs="Times New Roman"/>
          <w:color w:val="auto"/>
          <w:kern w:val="32"/>
          <w:sz w:val="32"/>
          <w:szCs w:val="24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kern w:val="32"/>
          <w:sz w:val="32"/>
          <w:szCs w:val="24"/>
          <w:lang w:val="en-US" w:eastAsia="zh-CN"/>
        </w:rPr>
        <w:t>〔202</w:t>
      </w:r>
      <w:r>
        <w:rPr>
          <w:rFonts w:hint="eastAsia" w:ascii="Times New Roman" w:hAnsi="Times New Roman" w:eastAsia="楷体_GB2312" w:cs="Times New Roman"/>
          <w:color w:val="auto"/>
          <w:kern w:val="32"/>
          <w:sz w:val="32"/>
          <w:szCs w:val="24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color w:val="auto"/>
          <w:kern w:val="32"/>
          <w:sz w:val="32"/>
          <w:szCs w:val="24"/>
          <w:lang w:val="en-US" w:eastAsia="zh-CN"/>
        </w:rPr>
        <w:t>〕闽武狱减字第</w:t>
      </w:r>
      <w:r>
        <w:rPr>
          <w:rFonts w:hint="eastAsia" w:ascii="Times New Roman" w:hAnsi="Times New Roman" w:eastAsia="楷体_GB2312" w:cs="Times New Roman"/>
          <w:color w:val="auto"/>
          <w:kern w:val="32"/>
          <w:sz w:val="32"/>
          <w:szCs w:val="24"/>
          <w:lang w:val="en-US" w:eastAsia="zh-CN"/>
        </w:rPr>
        <w:t>265</w:t>
      </w:r>
      <w:r>
        <w:rPr>
          <w:rFonts w:hint="default" w:ascii="Times New Roman" w:hAnsi="Times New Roman" w:eastAsia="楷体_GB2312" w:cs="Times New Roman"/>
          <w:color w:val="auto"/>
          <w:kern w:val="32"/>
          <w:sz w:val="32"/>
          <w:szCs w:val="24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李孟贵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1981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小学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无固定职业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曾因犯盗窃罪，于2004年9月3日被福建省福清市人民法院判处有期徒刑二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年，并处罚金人民币2000元。又因盗窃罪，于2007年3月15日被福建省福清市人民法院判处有期徒刑五年六个月，并处罚金人民币5000元，于2010年11月23日刑满释放，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系累犯。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福建省闽清县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2020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2020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闽0124刑初79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号刑事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李孟贵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参加黑社会性质组织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2万元；犯非法采矿罪，判处有期徒刑三年八个月，并处罚金人民币2万元；犯强迫交易罪，判处有期徒刑一年六个月，并处罚金人民币1万元。数罪并罚，决定执行有期徒刑六年五个月，并处罚金人民币5万元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被告人不服,提出上诉。福建省福州市中级人民法院于2021年5月21日作出（2021）闽01刑终91号刑事判决，维持福建省闽清县人民法院（2020）闽0124刑初79号刑事判决第十三项，即对被告人李孟贵的判决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0" w:firstLine="64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2021年6月16日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4518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于2024年3月5日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福建省闽清县人民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法院缴纳罚金人民币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50000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，财产性判项已履行完毕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该犯系涉黑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犯罪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、累犯，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属于从严掌握减刑对象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日在狱内公示未收到不同意见。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李孟贵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八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李孟贵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30" w:lineRule="exact"/>
        <w:ind w:left="0" w:right="8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30" w:lineRule="exact"/>
        <w:ind w:left="0" w:right="8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2025年4月27日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33B6472"/>
    <w:rsid w:val="62EA5DC4"/>
    <w:rsid w:val="75CA7F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cp:lastPrinted>2025-03-05T07:30:00Z</cp:lastPrinted>
  <dcterms:modified xsi:type="dcterms:W3CDTF">2025-04-29T03:12:26Z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