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罪犯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魏德苘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fldChar w:fldCharType="begin"/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instrText xml:space="preserve"> AUTOTEXTLIST  \* MERGEFORMAT </w:instrTex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fldChar w:fldCharType="end"/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男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1992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年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月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日出生，汉族，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初中文化，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捕前系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农民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曾因犯信用卡诈骗罪、贩卖毒品罪于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2014年3月27日被福建省建瓯市人民法院判处有期徒刑二年，并处罚金人民币23000元，2015年10月23日刑满释放。系累犯、毒品再犯。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现在福建省武夷山监狱六监区十七分监区服刑。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福建省建瓯市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人民法院于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2019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年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月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日作出（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2019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）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闽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0783刑初98号刑事判决，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以被告人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魏德苘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犯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参加黑社会性质组织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罪，判处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有期徒刑一年六个月，并处罚金人民币三万元；犯聚众斗殴罪，判处有期徒刑二年三个月。决定执行有期徒刑三年六个月，并处罚金人民币三万元。该犯在看守所期间，因余罪被另案起诉，福建省南平市中级人民法院于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2020年3月17日作出（2019）闽07刑初25号刑事判决，以被告人魏德苘犯诈骗罪，判处有期徒刑四年十个月，并处罚金人民币30000元；犯贩卖毒品罪，判处无期徒刑，剥夺政治权利终身，并处没收个人全部财产；与原犯参加黑社会性质组织罪、聚众斗殴罪，判处有期徒刑三年六个月，并处罚金人民币30000元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数罪并罚，决定执行无期徒刑，剥夺政治权利终身，并处没收个人全部财产；继续追缴被告人魏德苘违法所得人民币1400元，上缴国库。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被告人不服，提出上诉。福建省高级人民法院于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2020年9月10日作出（2020）闽刑终148号刑事裁定：驳回上诉，维持原判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（无期徒刑起刑日期2020年9月28日）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。判决发生法律效力后，于2021年1月19日交付福建省武夷山监狱执行</w:t>
      </w:r>
      <w:r>
        <w:rPr>
          <w:rFonts w:hint="eastAsia" w:ascii="仿宋_GB2312" w:cs="Times New Roman"/>
          <w:spacing w:val="-8"/>
          <w:kern w:val="2"/>
          <w:sz w:val="30"/>
          <w:szCs w:val="24"/>
          <w:lang w:val="en-US" w:eastAsia="zh-CN"/>
        </w:rPr>
        <w:t>刑罚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。该犯因余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漏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罪于2021年4月27日被福建省建瓯市公安局提回重审。福建省建瓯市人民法院于2020年5月31日作出（2020）闽0783刑初365号刑事判决，以被告人魏德苘犯故意伤害罪，判处有期徒刑三年。与原犯诈骗罪、贩卖毒品罪、参加黑社会性质组织罪、聚众斗殴罪合并执行无期徒刑，剥夺政治权利终身，并处没收个人全部财产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数罪并罚，决定执行无期徒刑，剥夺政治权利终身，并处没收个人全部财产。于2021年6月16日交付福建省武夷山监狱执行</w:t>
      </w:r>
      <w:r>
        <w:rPr>
          <w:rFonts w:hint="eastAsia" w:ascii="仿宋_GB2312" w:cs="Times New Roman"/>
          <w:spacing w:val="-8"/>
          <w:kern w:val="2"/>
          <w:sz w:val="30"/>
          <w:szCs w:val="24"/>
          <w:lang w:val="en-US" w:eastAsia="zh-CN"/>
        </w:rPr>
        <w:t>刑罚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现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属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普管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级罪犯。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该犯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自入监以来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确有悔改表现，具体事实如下：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认罪悔罪：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能服从法院判决，自书认罪悔罪书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遵守监规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虽有违规行为，经民警教育后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能认识错误，继续安心改造，规范行为，能遵守法律法规及监规纪律，接受教育改造。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学习情况：能参加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思想、文化、职业技术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教育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劳动改造：能参加劳动，努力完成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劳动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任务。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zh-CN"/>
        </w:rPr>
        <w:t>奖惩情况：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该犯考核期2021年6月16日起至2025年2月累计获考核分4533分，表扬7次；考核期内违规3次，累计扣考核分6分，无重大违规。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该犯原判财产性判项已履行罚金人民币59198.28元，退缴违法所得人民币1400元，缴纳没收个人财产人民币4000元，共计已履行人民币64598.28元。其中本次于2024年5月15日向福建省建瓯市人民法院缴交罚金29198.28元；于2024年5月29日向福建省南平市中级人民法院缴交罚金30000元及违法所得1400元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向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福建省高级人民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法院缴纳没收个人财产人民币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4000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元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该犯考核期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内消费总额人民币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12252.1元，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月均消费人民币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278.45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元，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账户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可用余额人民币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291.42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元。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福建省南平市中级人民法院于2025年2月10日财产性判项履行情况的复函载明：未发现被执行人魏德苘有可供执行的财产，本案于2024年9月12日结案。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该犯系累犯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eastAsia="zh-CN"/>
        </w:rPr>
        <w:t>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毒品再犯，因数罪并罚被判处无期徒刑的罪犯，且系涉黑犯罪罪犯，属于从严掌握减刑对象。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本案于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年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月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16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日至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年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月</w:t>
      </w:r>
      <w:r>
        <w:rPr>
          <w:rFonts w:hint="eastAsia" w:ascii="仿宋_GB2312" w:hAnsi="Times New Roman" w:cs="Times New Roman"/>
          <w:spacing w:val="-8"/>
          <w:kern w:val="2"/>
          <w:sz w:val="30"/>
          <w:szCs w:val="24"/>
          <w:lang w:val="en-US" w:eastAsia="zh-CN"/>
        </w:rPr>
        <w:t>22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日在狱内公示未收到不同意见。</w:t>
      </w:r>
    </w:p>
    <w:p>
      <w:pPr>
        <w:spacing w:line="400" w:lineRule="exact"/>
        <w:ind w:firstLine="568" w:firstLineChars="200"/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</w:pP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因此，依照《中华人民共和国刑法》第五十七条、第七十八条《中华人民共和国刑事诉讼法》第二百七十三条第二款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《中华人民共和国监狱法》第二十九条规定，建议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将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罪犯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魏德苘刑罚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减为有期徒刑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二十二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年，剥夺政治权利改为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val="en-US" w:eastAsia="zh-CN"/>
        </w:rPr>
        <w:t>十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</w:rPr>
        <w:t>年。特提请你院审理裁定</w:t>
      </w:r>
      <w:r>
        <w:rPr>
          <w:rFonts w:hint="eastAsia" w:ascii="仿宋_GB2312" w:hAnsi="Times New Roman" w:eastAsia="仿宋_GB2312" w:cs="Times New Roman"/>
          <w:spacing w:val="-8"/>
          <w:kern w:val="2"/>
          <w:sz w:val="30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00" w:firstLineChars="200"/>
        <w:jc w:val="both"/>
        <w:textAlignment w:val="auto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福建省</w:t>
      </w:r>
      <w:r>
        <w:rPr>
          <w:rFonts w:hint="eastAsia"/>
          <w:color w:val="auto"/>
          <w:sz w:val="30"/>
          <w:szCs w:val="30"/>
          <w:lang w:val="en-US" w:eastAsia="zh-CN"/>
        </w:rPr>
        <w:t>高级</w:t>
      </w:r>
      <w:r>
        <w:rPr>
          <w:rFonts w:hint="eastAsia"/>
          <w:color w:val="auto"/>
          <w:sz w:val="30"/>
          <w:szCs w:val="30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 w:val="30"/>
          <w:szCs w:val="30"/>
        </w:rPr>
      </w:pPr>
      <w:r>
        <w:rPr>
          <w:rFonts w:hint="eastAsia" w:cs="仿宋_GB2312"/>
          <w:color w:val="auto"/>
          <w:sz w:val="30"/>
          <w:szCs w:val="30"/>
        </w:rPr>
        <w:t>附件：⒈罪犯</w:t>
      </w:r>
      <w:r>
        <w:rPr>
          <w:rFonts w:hint="eastAsia" w:cs="仿宋_GB2312"/>
          <w:color w:val="auto"/>
          <w:sz w:val="30"/>
          <w:szCs w:val="30"/>
          <w:lang w:eastAsia="zh-CN"/>
        </w:rPr>
        <w:t>魏德苘</w:t>
      </w:r>
      <w:r>
        <w:rPr>
          <w:rFonts w:hint="eastAsia" w:cs="仿宋_GB2312"/>
          <w:color w:val="auto"/>
          <w:sz w:val="30"/>
          <w:szCs w:val="30"/>
        </w:rPr>
        <w:t>卷宗</w:t>
      </w:r>
      <w:r>
        <w:rPr>
          <w:rFonts w:hint="eastAsia" w:cs="仿宋_GB2312"/>
          <w:color w:val="auto"/>
          <w:sz w:val="30"/>
          <w:szCs w:val="30"/>
          <w:lang w:val="en-US" w:eastAsia="zh-CN"/>
        </w:rPr>
        <w:t>二</w:t>
      </w:r>
      <w:r>
        <w:rPr>
          <w:rFonts w:hint="eastAsia" w:cs="仿宋_GB2312"/>
          <w:color w:val="auto"/>
          <w:sz w:val="30"/>
          <w:szCs w:val="30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00" w:firstLineChars="300"/>
        <w:jc w:val="both"/>
        <w:textAlignment w:val="auto"/>
        <w:rPr>
          <w:rFonts w:cs="仿宋_GB2312"/>
          <w:color w:val="auto"/>
          <w:sz w:val="30"/>
          <w:szCs w:val="30"/>
        </w:rPr>
      </w:pPr>
      <w:r>
        <w:rPr>
          <w:rFonts w:hint="eastAsia" w:cs="仿宋_GB2312"/>
          <w:color w:val="auto"/>
          <w:sz w:val="30"/>
          <w:szCs w:val="30"/>
        </w:rPr>
        <w:t>⒉减刑建议书</w:t>
      </w:r>
      <w:r>
        <w:rPr>
          <w:rFonts w:hint="eastAsia" w:cs="仿宋_GB2312"/>
          <w:color w:val="auto"/>
          <w:sz w:val="30"/>
          <w:szCs w:val="30"/>
          <w:lang w:val="en-US" w:eastAsia="zh-CN"/>
        </w:rPr>
        <w:t>五</w:t>
      </w:r>
      <w:r>
        <w:rPr>
          <w:rFonts w:hint="eastAsia" w:cs="仿宋_GB2312"/>
          <w:color w:val="auto"/>
          <w:sz w:val="30"/>
          <w:szCs w:val="30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福建省</w:t>
      </w:r>
      <w:r>
        <w:rPr>
          <w:rFonts w:hint="eastAsia"/>
          <w:color w:val="auto"/>
          <w:sz w:val="30"/>
          <w:szCs w:val="30"/>
          <w:lang w:val="en-US" w:eastAsia="zh-CN"/>
        </w:rPr>
        <w:t>武夷山</w:t>
      </w:r>
      <w:r>
        <w:rPr>
          <w:rFonts w:hint="eastAsia"/>
          <w:color w:val="auto"/>
          <w:sz w:val="30"/>
          <w:szCs w:val="30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 w:val="30"/>
          <w:szCs w:val="30"/>
          <w:lang w:val="en-US" w:eastAsia="zh-CN"/>
        </w:rPr>
        <w:t>2025</w:t>
      </w:r>
      <w:r>
        <w:rPr>
          <w:rFonts w:hint="eastAsia"/>
          <w:color w:val="auto"/>
          <w:sz w:val="30"/>
          <w:szCs w:val="30"/>
        </w:rPr>
        <w:t>年</w:t>
      </w:r>
      <w:r>
        <w:rPr>
          <w:rFonts w:hint="eastAsia"/>
          <w:color w:val="auto"/>
          <w:sz w:val="30"/>
          <w:szCs w:val="30"/>
          <w:lang w:val="en-US" w:eastAsia="zh-CN"/>
        </w:rPr>
        <w:t>5</w:t>
      </w:r>
      <w:r>
        <w:rPr>
          <w:rFonts w:hint="eastAsia"/>
          <w:color w:val="auto"/>
          <w:sz w:val="30"/>
          <w:szCs w:val="30"/>
        </w:rPr>
        <w:t>月</w:t>
      </w:r>
      <w:r>
        <w:rPr>
          <w:rFonts w:hint="eastAsia"/>
          <w:color w:val="auto"/>
          <w:sz w:val="30"/>
          <w:szCs w:val="30"/>
          <w:lang w:val="en-US" w:eastAsia="zh-CN"/>
        </w:rPr>
        <w:t>26</w:t>
      </w:r>
      <w:r>
        <w:rPr>
          <w:rFonts w:hint="eastAsia"/>
          <w:color w:val="auto"/>
          <w:sz w:val="30"/>
          <w:szCs w:val="30"/>
        </w:rPr>
        <w:t>日</w:t>
      </w:r>
    </w:p>
    <w:sectPr>
      <w:pgSz w:w="11906" w:h="16838"/>
      <w:pgMar w:top="1270" w:right="1746" w:bottom="127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F6DB5"/>
    <w:rsid w:val="07331B7A"/>
    <w:rsid w:val="07731B4A"/>
    <w:rsid w:val="08E5103D"/>
    <w:rsid w:val="099F7D7A"/>
    <w:rsid w:val="0B67722A"/>
    <w:rsid w:val="122A7AEF"/>
    <w:rsid w:val="13E54813"/>
    <w:rsid w:val="156C24EC"/>
    <w:rsid w:val="19B112AF"/>
    <w:rsid w:val="1C5F19D6"/>
    <w:rsid w:val="1D59380A"/>
    <w:rsid w:val="1E036D00"/>
    <w:rsid w:val="1E7F72BC"/>
    <w:rsid w:val="21973CBE"/>
    <w:rsid w:val="2206733C"/>
    <w:rsid w:val="235477B7"/>
    <w:rsid w:val="24BD1E88"/>
    <w:rsid w:val="280073B0"/>
    <w:rsid w:val="2CC8502B"/>
    <w:rsid w:val="2DA67FB7"/>
    <w:rsid w:val="2E3205AD"/>
    <w:rsid w:val="2FC433D1"/>
    <w:rsid w:val="2FE13BBD"/>
    <w:rsid w:val="353C2070"/>
    <w:rsid w:val="379F4AAD"/>
    <w:rsid w:val="37BC3350"/>
    <w:rsid w:val="38814B07"/>
    <w:rsid w:val="38BD411C"/>
    <w:rsid w:val="39C51E54"/>
    <w:rsid w:val="3DDE328E"/>
    <w:rsid w:val="3FD26BEF"/>
    <w:rsid w:val="40AB64F4"/>
    <w:rsid w:val="46012F69"/>
    <w:rsid w:val="47B65730"/>
    <w:rsid w:val="49275852"/>
    <w:rsid w:val="4C4D5B98"/>
    <w:rsid w:val="4CDA62EF"/>
    <w:rsid w:val="4F2A03BE"/>
    <w:rsid w:val="4F6E55A1"/>
    <w:rsid w:val="536A0AE9"/>
    <w:rsid w:val="55DE1A02"/>
    <w:rsid w:val="56280150"/>
    <w:rsid w:val="56EA322E"/>
    <w:rsid w:val="5A462939"/>
    <w:rsid w:val="5B441246"/>
    <w:rsid w:val="5C974599"/>
    <w:rsid w:val="5E0F5A47"/>
    <w:rsid w:val="605C1FCC"/>
    <w:rsid w:val="626E6DC9"/>
    <w:rsid w:val="639B588A"/>
    <w:rsid w:val="642316E0"/>
    <w:rsid w:val="67996803"/>
    <w:rsid w:val="69042B5A"/>
    <w:rsid w:val="6AC506A2"/>
    <w:rsid w:val="6EBE0E3F"/>
    <w:rsid w:val="6FC35EF8"/>
    <w:rsid w:val="700873D6"/>
    <w:rsid w:val="72661513"/>
    <w:rsid w:val="75726675"/>
    <w:rsid w:val="76B538B8"/>
    <w:rsid w:val="797B0CB7"/>
    <w:rsid w:val="7B611DA7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2025-04-28T03:13:00Z</cp:lastPrinted>
  <dcterms:modified xsi:type="dcterms:W3CDTF">2025-05-28T03:43:05Z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E3EE4628D5E1434D928ABEEFE2820E0C</vt:lpwstr>
  </property>
</Properties>
</file>